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CE" w:rsidRPr="00690421" w:rsidRDefault="00313C46" w:rsidP="007276D4">
      <w:pPr>
        <w:shd w:val="clear" w:color="auto" w:fill="FFFFFF"/>
        <w:ind w:left="1440" w:right="1440"/>
        <w:jc w:val="center"/>
        <w:rPr>
          <w:sz w:val="32"/>
          <w:szCs w:val="22"/>
        </w:rPr>
      </w:pPr>
      <w:bookmarkStart w:id="0" w:name="_GoBack"/>
      <w:bookmarkEnd w:id="0"/>
      <w:r w:rsidRPr="00690421">
        <w:rPr>
          <w:b/>
          <w:bCs/>
          <w:sz w:val="32"/>
          <w:szCs w:val="22"/>
        </w:rPr>
        <w:t>JUDICIARY (DIPLOMATIC REPRESENTATION) ACT 1977</w:t>
      </w:r>
    </w:p>
    <w:p w:rsidR="00B42ECE" w:rsidRPr="00690421" w:rsidRDefault="00313C46" w:rsidP="00690421">
      <w:pPr>
        <w:shd w:val="clear" w:color="auto" w:fill="FFFFFF"/>
        <w:spacing w:before="240" w:after="360"/>
        <w:jc w:val="center"/>
        <w:rPr>
          <w:caps/>
          <w:sz w:val="28"/>
          <w:szCs w:val="22"/>
        </w:rPr>
      </w:pPr>
      <w:r w:rsidRPr="00690421">
        <w:rPr>
          <w:b/>
          <w:bCs/>
          <w:caps/>
          <w:sz w:val="28"/>
          <w:szCs w:val="22"/>
        </w:rPr>
        <w:t>No. 115 of 1977</w:t>
      </w:r>
    </w:p>
    <w:p w:rsidR="00B42ECE" w:rsidRPr="00690421" w:rsidRDefault="00313C46" w:rsidP="00690421">
      <w:pPr>
        <w:shd w:val="clear" w:color="auto" w:fill="FFFFFF"/>
        <w:jc w:val="both"/>
        <w:rPr>
          <w:sz w:val="24"/>
          <w:szCs w:val="22"/>
        </w:rPr>
      </w:pPr>
      <w:r w:rsidRPr="00690421">
        <w:rPr>
          <w:sz w:val="24"/>
          <w:szCs w:val="22"/>
        </w:rPr>
        <w:t xml:space="preserve">An Act relating to the appointment of the </w:t>
      </w:r>
      <w:proofErr w:type="spellStart"/>
      <w:r w:rsidRPr="00690421">
        <w:rPr>
          <w:sz w:val="24"/>
          <w:szCs w:val="22"/>
        </w:rPr>
        <w:t>Honourable</w:t>
      </w:r>
      <w:proofErr w:type="spellEnd"/>
      <w:r w:rsidRPr="00690421">
        <w:rPr>
          <w:sz w:val="24"/>
          <w:szCs w:val="22"/>
        </w:rPr>
        <w:t xml:space="preserve"> Russell Walter Fox as an Ambassador-at-large.</w:t>
      </w:r>
    </w:p>
    <w:p w:rsidR="00B42ECE" w:rsidRPr="00690421" w:rsidRDefault="00313C46" w:rsidP="005609AA">
      <w:pPr>
        <w:shd w:val="clear" w:color="auto" w:fill="FFFFFF"/>
        <w:spacing w:before="240" w:after="240"/>
        <w:ind w:firstLine="288"/>
        <w:jc w:val="both"/>
        <w:rPr>
          <w:sz w:val="24"/>
          <w:szCs w:val="22"/>
        </w:rPr>
      </w:pPr>
      <w:r w:rsidRPr="00690421">
        <w:rPr>
          <w:sz w:val="24"/>
          <w:szCs w:val="22"/>
        </w:rPr>
        <w:t>BE IT ENACTED by the Queen, and the Senate and House of Representatives of the Commonwealth of Australia, as follows:</w:t>
      </w:r>
    </w:p>
    <w:p w:rsidR="00B42ECE" w:rsidRPr="005609AA" w:rsidRDefault="00313C46" w:rsidP="005609AA">
      <w:pPr>
        <w:shd w:val="clear" w:color="auto" w:fill="FFFFFF"/>
        <w:spacing w:before="120" w:after="60"/>
        <w:jc w:val="both"/>
        <w:rPr>
          <w:b/>
          <w:szCs w:val="22"/>
        </w:rPr>
      </w:pPr>
      <w:r w:rsidRPr="005609AA">
        <w:rPr>
          <w:b/>
          <w:szCs w:val="22"/>
        </w:rPr>
        <w:t>Short title</w:t>
      </w:r>
    </w:p>
    <w:p w:rsidR="00B42ECE" w:rsidRPr="00690421" w:rsidRDefault="00313C46" w:rsidP="005609AA">
      <w:pPr>
        <w:shd w:val="clear" w:color="auto" w:fill="FFFFFF"/>
        <w:spacing w:after="60"/>
        <w:ind w:firstLine="288"/>
        <w:jc w:val="both"/>
        <w:rPr>
          <w:sz w:val="24"/>
          <w:szCs w:val="22"/>
        </w:rPr>
      </w:pPr>
      <w:r w:rsidRPr="005609AA">
        <w:rPr>
          <w:b/>
          <w:sz w:val="24"/>
          <w:szCs w:val="22"/>
        </w:rPr>
        <w:t>1.</w:t>
      </w:r>
      <w:r w:rsidRPr="00690421">
        <w:rPr>
          <w:sz w:val="24"/>
          <w:szCs w:val="22"/>
        </w:rPr>
        <w:t xml:space="preserve"> This Act may be cited as the </w:t>
      </w:r>
      <w:r w:rsidRPr="00690421">
        <w:rPr>
          <w:i/>
          <w:iCs/>
          <w:sz w:val="24"/>
          <w:szCs w:val="22"/>
        </w:rPr>
        <w:t xml:space="preserve">Judiciary </w:t>
      </w:r>
      <w:r w:rsidR="006B6968" w:rsidRPr="00690421">
        <w:rPr>
          <w:iCs/>
          <w:sz w:val="24"/>
          <w:szCs w:val="22"/>
        </w:rPr>
        <w:t>(</w:t>
      </w:r>
      <w:r w:rsidRPr="00690421">
        <w:rPr>
          <w:i/>
          <w:iCs/>
          <w:sz w:val="24"/>
          <w:szCs w:val="22"/>
        </w:rPr>
        <w:t>Diplomatic Representation</w:t>
      </w:r>
      <w:r w:rsidR="006B6968" w:rsidRPr="00690421">
        <w:rPr>
          <w:iCs/>
          <w:sz w:val="24"/>
          <w:szCs w:val="22"/>
        </w:rPr>
        <w:t>)</w:t>
      </w:r>
      <w:r w:rsidRPr="00690421">
        <w:rPr>
          <w:i/>
          <w:iCs/>
          <w:sz w:val="24"/>
          <w:szCs w:val="22"/>
        </w:rPr>
        <w:t xml:space="preserve"> Act </w:t>
      </w:r>
      <w:r w:rsidRPr="00690421">
        <w:rPr>
          <w:sz w:val="24"/>
          <w:szCs w:val="22"/>
        </w:rPr>
        <w:t>1977.</w:t>
      </w:r>
    </w:p>
    <w:p w:rsidR="00B42ECE" w:rsidRPr="005609AA" w:rsidRDefault="00313C46" w:rsidP="005609AA">
      <w:pPr>
        <w:shd w:val="clear" w:color="auto" w:fill="FFFFFF"/>
        <w:spacing w:before="120" w:after="60"/>
        <w:jc w:val="both"/>
        <w:rPr>
          <w:b/>
          <w:szCs w:val="22"/>
        </w:rPr>
      </w:pPr>
      <w:r w:rsidRPr="005609AA">
        <w:rPr>
          <w:b/>
          <w:szCs w:val="22"/>
        </w:rPr>
        <w:t>Commencement</w:t>
      </w:r>
    </w:p>
    <w:p w:rsidR="00B42ECE" w:rsidRPr="00690421" w:rsidRDefault="00313C46" w:rsidP="005609AA">
      <w:pPr>
        <w:shd w:val="clear" w:color="auto" w:fill="FFFFFF"/>
        <w:spacing w:after="60"/>
        <w:ind w:firstLine="288"/>
        <w:jc w:val="both"/>
        <w:rPr>
          <w:sz w:val="24"/>
          <w:szCs w:val="22"/>
        </w:rPr>
      </w:pPr>
      <w:r w:rsidRPr="005609AA">
        <w:rPr>
          <w:b/>
          <w:sz w:val="24"/>
          <w:szCs w:val="22"/>
        </w:rPr>
        <w:t>2.</w:t>
      </w:r>
      <w:r w:rsidRPr="00690421">
        <w:rPr>
          <w:sz w:val="24"/>
          <w:szCs w:val="22"/>
        </w:rPr>
        <w:t xml:space="preserve"> This Act shall come into operation on the day on which it receives the Royal Assent.</w:t>
      </w:r>
    </w:p>
    <w:p w:rsidR="00B42ECE" w:rsidRPr="005609AA" w:rsidRDefault="00313C46" w:rsidP="005609AA">
      <w:pPr>
        <w:shd w:val="clear" w:color="auto" w:fill="FFFFFF"/>
        <w:spacing w:before="120" w:after="60"/>
        <w:jc w:val="both"/>
        <w:rPr>
          <w:b/>
          <w:szCs w:val="22"/>
        </w:rPr>
      </w:pPr>
      <w:r w:rsidRPr="005609AA">
        <w:rPr>
          <w:b/>
          <w:szCs w:val="22"/>
        </w:rPr>
        <w:t>Acceptance of appointment as Ambassador-at-large</w:t>
      </w:r>
    </w:p>
    <w:p w:rsidR="00B42ECE" w:rsidRPr="00690421" w:rsidRDefault="00313C46" w:rsidP="005609AA">
      <w:pPr>
        <w:shd w:val="clear" w:color="auto" w:fill="FFFFFF"/>
        <w:spacing w:after="60"/>
        <w:ind w:firstLine="288"/>
        <w:jc w:val="both"/>
        <w:rPr>
          <w:sz w:val="24"/>
          <w:szCs w:val="22"/>
        </w:rPr>
      </w:pPr>
      <w:r w:rsidRPr="005609AA">
        <w:rPr>
          <w:b/>
          <w:sz w:val="24"/>
          <w:szCs w:val="22"/>
        </w:rPr>
        <w:t>3.</w:t>
      </w:r>
      <w:r w:rsidRPr="00690421">
        <w:rPr>
          <w:sz w:val="24"/>
          <w:szCs w:val="22"/>
        </w:rPr>
        <w:t xml:space="preserve"> The </w:t>
      </w:r>
      <w:proofErr w:type="spellStart"/>
      <w:r w:rsidRPr="00690421">
        <w:rPr>
          <w:sz w:val="24"/>
          <w:szCs w:val="22"/>
        </w:rPr>
        <w:t>Honourable</w:t>
      </w:r>
      <w:proofErr w:type="spellEnd"/>
      <w:r w:rsidRPr="00690421">
        <w:rPr>
          <w:sz w:val="24"/>
          <w:szCs w:val="22"/>
        </w:rPr>
        <w:t xml:space="preserve"> Russell Walter Fox, the Chief Judge of the Supreme Court of the Australian Capital Territory and a Judge of the Federal Court of Australia, may accept appointment as an Ambassador-at-large for the Australian Government in relation to matters concerning nuclear non-proliferation and nuclear safeguards, and, if he accepts that appointment</w:t>
      </w:r>
      <w:r w:rsidRPr="00690421">
        <w:rPr>
          <w:rFonts w:eastAsia="Times New Roman"/>
          <w:sz w:val="24"/>
          <w:szCs w:val="22"/>
        </w:rPr>
        <w:t>—</w:t>
      </w:r>
    </w:p>
    <w:p w:rsidR="00B42ECE" w:rsidRPr="00690421" w:rsidRDefault="00313C46" w:rsidP="005609AA">
      <w:pPr>
        <w:shd w:val="clear" w:color="auto" w:fill="FFFFFF"/>
        <w:ind w:left="720" w:hanging="360"/>
        <w:jc w:val="both"/>
        <w:rPr>
          <w:sz w:val="24"/>
          <w:szCs w:val="22"/>
        </w:rPr>
      </w:pPr>
      <w:r w:rsidRPr="00690421">
        <w:rPr>
          <w:sz w:val="24"/>
          <w:szCs w:val="22"/>
        </w:rPr>
        <w:t>(a) his service as such an Ambassador-at-large shall, for all purposes, count as service in any judicial office held by him during his appointment as such an Ambassador-at-large; and</w:t>
      </w:r>
    </w:p>
    <w:p w:rsidR="00B42ECE" w:rsidRPr="00690421" w:rsidRDefault="00313C46" w:rsidP="005609AA">
      <w:pPr>
        <w:shd w:val="clear" w:color="auto" w:fill="FFFFFF"/>
        <w:ind w:left="720" w:hanging="360"/>
        <w:jc w:val="both"/>
        <w:rPr>
          <w:sz w:val="24"/>
          <w:szCs w:val="22"/>
        </w:rPr>
      </w:pPr>
      <w:r w:rsidRPr="00690421">
        <w:rPr>
          <w:sz w:val="24"/>
          <w:szCs w:val="22"/>
        </w:rPr>
        <w:t xml:space="preserve">(b) he shall, whether or not he resigns as such Chief Judge, continue to be entitled to receive, during his appointment as such an Ambassador-at-large but not after pension becomes payable to him under the </w:t>
      </w:r>
      <w:r w:rsidRPr="00690421">
        <w:rPr>
          <w:i/>
          <w:iCs/>
          <w:sz w:val="24"/>
          <w:szCs w:val="22"/>
        </w:rPr>
        <w:t>Judges</w:t>
      </w:r>
      <w:r w:rsidR="006B6968" w:rsidRPr="00690421">
        <w:rPr>
          <w:i/>
          <w:iCs/>
          <w:sz w:val="24"/>
          <w:szCs w:val="22"/>
        </w:rPr>
        <w:t>’</w:t>
      </w:r>
      <w:r w:rsidRPr="00690421">
        <w:rPr>
          <w:i/>
          <w:iCs/>
          <w:sz w:val="24"/>
          <w:szCs w:val="22"/>
        </w:rPr>
        <w:t xml:space="preserve"> Pensions Act </w:t>
      </w:r>
      <w:r w:rsidRPr="00690421">
        <w:rPr>
          <w:sz w:val="24"/>
          <w:szCs w:val="22"/>
        </w:rPr>
        <w:t>1968, the salary and annual allowance payable from time to time to a person who holds both the office of the Chief Judge of the Supreme Court of the Australian Capital Territory and the office of a Judge of the Federal Court of Australia.</w:t>
      </w:r>
    </w:p>
    <w:p w:rsidR="00B42ECE" w:rsidRPr="005609AA" w:rsidRDefault="00313C46" w:rsidP="005609AA">
      <w:pPr>
        <w:shd w:val="clear" w:color="auto" w:fill="FFFFFF"/>
        <w:spacing w:before="120" w:after="60"/>
        <w:jc w:val="both"/>
        <w:rPr>
          <w:b/>
          <w:szCs w:val="22"/>
        </w:rPr>
      </w:pPr>
      <w:r w:rsidRPr="005609AA">
        <w:rPr>
          <w:b/>
          <w:szCs w:val="22"/>
        </w:rPr>
        <w:t xml:space="preserve">Application of </w:t>
      </w:r>
      <w:r w:rsidRPr="005609AA">
        <w:rPr>
          <w:b/>
          <w:i/>
          <w:iCs/>
          <w:szCs w:val="22"/>
        </w:rPr>
        <w:t>Judges</w:t>
      </w:r>
      <w:r w:rsidR="006B6968" w:rsidRPr="005609AA">
        <w:rPr>
          <w:b/>
          <w:i/>
          <w:iCs/>
          <w:szCs w:val="22"/>
        </w:rPr>
        <w:t>’</w:t>
      </w:r>
      <w:r w:rsidRPr="005609AA">
        <w:rPr>
          <w:b/>
          <w:i/>
          <w:iCs/>
          <w:szCs w:val="22"/>
        </w:rPr>
        <w:t xml:space="preserve"> Pensions Act </w:t>
      </w:r>
      <w:r w:rsidRPr="005609AA">
        <w:rPr>
          <w:b/>
          <w:szCs w:val="22"/>
        </w:rPr>
        <w:t>1968</w:t>
      </w:r>
    </w:p>
    <w:p w:rsidR="00B42ECE" w:rsidRPr="00690421" w:rsidRDefault="00313C46" w:rsidP="005609AA">
      <w:pPr>
        <w:shd w:val="clear" w:color="auto" w:fill="FFFFFF"/>
        <w:spacing w:after="60"/>
        <w:ind w:firstLine="288"/>
        <w:jc w:val="both"/>
        <w:rPr>
          <w:sz w:val="24"/>
          <w:szCs w:val="22"/>
        </w:rPr>
      </w:pPr>
      <w:r w:rsidRPr="005609AA">
        <w:rPr>
          <w:b/>
          <w:sz w:val="24"/>
          <w:szCs w:val="22"/>
        </w:rPr>
        <w:t>4.</w:t>
      </w:r>
      <w:r w:rsidRPr="00690421">
        <w:rPr>
          <w:sz w:val="24"/>
          <w:szCs w:val="22"/>
        </w:rPr>
        <w:t xml:space="preserve"> (1) If the </w:t>
      </w:r>
      <w:proofErr w:type="spellStart"/>
      <w:r w:rsidRPr="00690421">
        <w:rPr>
          <w:sz w:val="24"/>
          <w:szCs w:val="22"/>
        </w:rPr>
        <w:t>Honourable</w:t>
      </w:r>
      <w:proofErr w:type="spellEnd"/>
      <w:r w:rsidRPr="00690421">
        <w:rPr>
          <w:sz w:val="24"/>
          <w:szCs w:val="22"/>
        </w:rPr>
        <w:t xml:space="preserve"> Russell Walter Fox resigns from the office of Chief Judge of the Supreme Court of the Australian Capital Territory and, either before or after so resigning, he accepts the appointment referred to in section 3, the </w:t>
      </w:r>
      <w:r w:rsidRPr="00690421">
        <w:rPr>
          <w:i/>
          <w:iCs/>
          <w:sz w:val="24"/>
          <w:szCs w:val="22"/>
        </w:rPr>
        <w:t>Judges</w:t>
      </w:r>
      <w:r w:rsidR="006B6968" w:rsidRPr="00690421">
        <w:rPr>
          <w:i/>
          <w:iCs/>
          <w:sz w:val="24"/>
          <w:szCs w:val="22"/>
        </w:rPr>
        <w:t>’</w:t>
      </w:r>
      <w:r w:rsidRPr="00690421">
        <w:rPr>
          <w:i/>
          <w:iCs/>
          <w:sz w:val="24"/>
          <w:szCs w:val="22"/>
        </w:rPr>
        <w:t xml:space="preserve"> Pensions Act </w:t>
      </w:r>
      <w:r w:rsidRPr="00690421">
        <w:rPr>
          <w:sz w:val="24"/>
          <w:szCs w:val="22"/>
        </w:rPr>
        <w:t>1968 shall apply in relation to him upon his ceasing to hold any office of Judge (whether by retirement or death) as if, immediately before so ceasing, he had held office as Chief Judge of the Supreme Court of the Australian Capital Territory in addition to any other office of Judge held by him.</w:t>
      </w:r>
    </w:p>
    <w:p w:rsidR="005609AA" w:rsidRDefault="00313C46" w:rsidP="005609AA">
      <w:pPr>
        <w:shd w:val="clear" w:color="auto" w:fill="FFFFFF"/>
        <w:spacing w:after="60"/>
        <w:ind w:firstLine="288"/>
        <w:jc w:val="both"/>
        <w:rPr>
          <w:sz w:val="24"/>
          <w:szCs w:val="22"/>
        </w:rPr>
      </w:pPr>
      <w:r w:rsidRPr="00690421">
        <w:rPr>
          <w:sz w:val="24"/>
          <w:szCs w:val="22"/>
        </w:rPr>
        <w:t xml:space="preserve">(2) In sub-section (1), </w:t>
      </w:r>
      <w:r w:rsidR="006B6968" w:rsidRPr="00690421">
        <w:rPr>
          <w:sz w:val="24"/>
          <w:szCs w:val="22"/>
        </w:rPr>
        <w:t>“</w:t>
      </w:r>
      <w:r w:rsidRPr="00690421">
        <w:rPr>
          <w:sz w:val="24"/>
          <w:szCs w:val="22"/>
        </w:rPr>
        <w:t>Judge</w:t>
      </w:r>
      <w:r w:rsidR="006B6968" w:rsidRPr="00690421">
        <w:rPr>
          <w:sz w:val="24"/>
          <w:szCs w:val="22"/>
        </w:rPr>
        <w:t>”</w:t>
      </w:r>
      <w:r w:rsidRPr="00690421">
        <w:rPr>
          <w:sz w:val="24"/>
          <w:szCs w:val="22"/>
        </w:rPr>
        <w:t xml:space="preserve"> has the same meaning as in the </w:t>
      </w:r>
      <w:r w:rsidRPr="00690421">
        <w:rPr>
          <w:i/>
          <w:iCs/>
          <w:sz w:val="24"/>
          <w:szCs w:val="22"/>
        </w:rPr>
        <w:t>Judges</w:t>
      </w:r>
      <w:r w:rsidR="006B6968" w:rsidRPr="00690421">
        <w:rPr>
          <w:i/>
          <w:iCs/>
          <w:sz w:val="24"/>
          <w:szCs w:val="22"/>
        </w:rPr>
        <w:t>’</w:t>
      </w:r>
      <w:r w:rsidRPr="00690421">
        <w:rPr>
          <w:i/>
          <w:iCs/>
          <w:sz w:val="24"/>
          <w:szCs w:val="22"/>
        </w:rPr>
        <w:t xml:space="preserve"> Pensions Act </w:t>
      </w:r>
      <w:r w:rsidRPr="00690421">
        <w:rPr>
          <w:sz w:val="24"/>
          <w:szCs w:val="22"/>
        </w:rPr>
        <w:t>1968.</w:t>
      </w:r>
    </w:p>
    <w:sectPr w:rsidR="005609AA" w:rsidSect="00080671">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35F" w:rsidRDefault="0077435F" w:rsidP="00080671">
      <w:r>
        <w:separator/>
      </w:r>
    </w:p>
  </w:endnote>
  <w:endnote w:type="continuationSeparator" w:id="0">
    <w:p w:rsidR="0077435F" w:rsidRDefault="0077435F" w:rsidP="0008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35F" w:rsidRDefault="0077435F" w:rsidP="00080671">
      <w:r>
        <w:separator/>
      </w:r>
    </w:p>
  </w:footnote>
  <w:footnote w:type="continuationSeparator" w:id="0">
    <w:p w:rsidR="0077435F" w:rsidRDefault="0077435F" w:rsidP="00080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71" w:rsidRPr="00080671" w:rsidRDefault="00080671" w:rsidP="00080671">
    <w:pPr>
      <w:pStyle w:val="Header"/>
      <w:tabs>
        <w:tab w:val="clear" w:pos="9360"/>
        <w:tab w:val="right" w:pos="9720"/>
      </w:tabs>
      <w:rPr>
        <w:sz w:val="22"/>
      </w:rPr>
    </w:pPr>
    <w:r w:rsidRPr="00080671">
      <w:rPr>
        <w:sz w:val="22"/>
      </w:rPr>
      <w:t xml:space="preserve">No. </w:t>
    </w:r>
    <w:r w:rsidRPr="00080671">
      <w:rPr>
        <w:rFonts w:cs="Arial"/>
        <w:sz w:val="22"/>
      </w:rPr>
      <w:t>115</w:t>
    </w:r>
    <w:r w:rsidRPr="00080671">
      <w:rPr>
        <w:rFonts w:cs="Arial"/>
        <w:sz w:val="22"/>
      </w:rPr>
      <w:tab/>
    </w:r>
    <w:r w:rsidRPr="00080671">
      <w:rPr>
        <w:i/>
        <w:iCs/>
        <w:sz w:val="22"/>
      </w:rPr>
      <w:t>Judiciary (Diplomatic Representation</w:t>
    </w:r>
    <w:r w:rsidR="006845D0">
      <w:rPr>
        <w:i/>
        <w:iCs/>
        <w:sz w:val="22"/>
      </w:rPr>
      <w:t>)</w:t>
    </w:r>
    <w:r w:rsidRPr="00080671">
      <w:rPr>
        <w:i/>
        <w:iCs/>
        <w:sz w:val="22"/>
      </w:rPr>
      <w:tab/>
    </w:r>
    <w:r w:rsidRPr="00080671">
      <w:rPr>
        <w:sz w:val="22"/>
      </w:rPr>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C0544150A8FF4E1A8326CEAB8AA7017A"/>
      </w:placeholder>
      <w:temporary/>
      <w:showingPlcHdr/>
    </w:sdtPr>
    <w:sdtContent>
      <w:p w:rsidR="00080671" w:rsidRDefault="00080671">
        <w:pPr>
          <w:pStyle w:val="Header"/>
        </w:pPr>
        <w:r>
          <w:t>[Type text]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68"/>
    <w:rsid w:val="000546BC"/>
    <w:rsid w:val="00080671"/>
    <w:rsid w:val="00176208"/>
    <w:rsid w:val="00260567"/>
    <w:rsid w:val="00313C46"/>
    <w:rsid w:val="0032538E"/>
    <w:rsid w:val="003F7B49"/>
    <w:rsid w:val="005609AA"/>
    <w:rsid w:val="006845D0"/>
    <w:rsid w:val="00690421"/>
    <w:rsid w:val="006B6968"/>
    <w:rsid w:val="007276D4"/>
    <w:rsid w:val="0077435F"/>
    <w:rsid w:val="00807860"/>
    <w:rsid w:val="00941A94"/>
    <w:rsid w:val="009F49D0"/>
    <w:rsid w:val="00B42ECE"/>
    <w:rsid w:val="00D6050E"/>
    <w:rsid w:val="00EB3FC8"/>
    <w:rsid w:val="00ED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671"/>
    <w:pPr>
      <w:tabs>
        <w:tab w:val="center" w:pos="4680"/>
        <w:tab w:val="right" w:pos="9360"/>
      </w:tabs>
    </w:pPr>
  </w:style>
  <w:style w:type="character" w:customStyle="1" w:styleId="HeaderChar">
    <w:name w:val="Header Char"/>
    <w:basedOn w:val="DefaultParagraphFont"/>
    <w:link w:val="Header"/>
    <w:uiPriority w:val="99"/>
    <w:rsid w:val="00080671"/>
    <w:rPr>
      <w:rFonts w:ascii="Times New Roman" w:hAnsi="Times New Roman" w:cs="Times New Roman"/>
      <w:sz w:val="20"/>
      <w:szCs w:val="20"/>
    </w:rPr>
  </w:style>
  <w:style w:type="paragraph" w:styleId="Footer">
    <w:name w:val="footer"/>
    <w:basedOn w:val="Normal"/>
    <w:link w:val="FooterChar"/>
    <w:uiPriority w:val="99"/>
    <w:unhideWhenUsed/>
    <w:rsid w:val="00080671"/>
    <w:pPr>
      <w:tabs>
        <w:tab w:val="center" w:pos="4680"/>
        <w:tab w:val="right" w:pos="9360"/>
      </w:tabs>
    </w:pPr>
  </w:style>
  <w:style w:type="character" w:customStyle="1" w:styleId="FooterChar">
    <w:name w:val="Footer Char"/>
    <w:basedOn w:val="DefaultParagraphFont"/>
    <w:link w:val="Footer"/>
    <w:uiPriority w:val="99"/>
    <w:rsid w:val="0008067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80671"/>
    <w:rPr>
      <w:rFonts w:ascii="Tahoma" w:hAnsi="Tahoma" w:cs="Tahoma"/>
      <w:sz w:val="16"/>
      <w:szCs w:val="16"/>
    </w:rPr>
  </w:style>
  <w:style w:type="character" w:customStyle="1" w:styleId="BalloonTextChar">
    <w:name w:val="Balloon Text Char"/>
    <w:basedOn w:val="DefaultParagraphFont"/>
    <w:link w:val="BalloonText"/>
    <w:uiPriority w:val="99"/>
    <w:semiHidden/>
    <w:rsid w:val="00080671"/>
    <w:rPr>
      <w:rFonts w:ascii="Tahoma" w:hAnsi="Tahoma" w:cs="Tahoma"/>
      <w:sz w:val="16"/>
      <w:szCs w:val="16"/>
    </w:rPr>
  </w:style>
  <w:style w:type="paragraph" w:styleId="Revision">
    <w:name w:val="Revision"/>
    <w:hidden/>
    <w:uiPriority w:val="99"/>
    <w:semiHidden/>
    <w:rsid w:val="003F7B49"/>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671"/>
    <w:pPr>
      <w:tabs>
        <w:tab w:val="center" w:pos="4680"/>
        <w:tab w:val="right" w:pos="9360"/>
      </w:tabs>
    </w:pPr>
  </w:style>
  <w:style w:type="character" w:customStyle="1" w:styleId="HeaderChar">
    <w:name w:val="Header Char"/>
    <w:basedOn w:val="DefaultParagraphFont"/>
    <w:link w:val="Header"/>
    <w:uiPriority w:val="99"/>
    <w:rsid w:val="00080671"/>
    <w:rPr>
      <w:rFonts w:ascii="Times New Roman" w:hAnsi="Times New Roman" w:cs="Times New Roman"/>
      <w:sz w:val="20"/>
      <w:szCs w:val="20"/>
    </w:rPr>
  </w:style>
  <w:style w:type="paragraph" w:styleId="Footer">
    <w:name w:val="footer"/>
    <w:basedOn w:val="Normal"/>
    <w:link w:val="FooterChar"/>
    <w:uiPriority w:val="99"/>
    <w:unhideWhenUsed/>
    <w:rsid w:val="00080671"/>
    <w:pPr>
      <w:tabs>
        <w:tab w:val="center" w:pos="4680"/>
        <w:tab w:val="right" w:pos="9360"/>
      </w:tabs>
    </w:pPr>
  </w:style>
  <w:style w:type="character" w:customStyle="1" w:styleId="FooterChar">
    <w:name w:val="Footer Char"/>
    <w:basedOn w:val="DefaultParagraphFont"/>
    <w:link w:val="Footer"/>
    <w:uiPriority w:val="99"/>
    <w:rsid w:val="0008067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80671"/>
    <w:rPr>
      <w:rFonts w:ascii="Tahoma" w:hAnsi="Tahoma" w:cs="Tahoma"/>
      <w:sz w:val="16"/>
      <w:szCs w:val="16"/>
    </w:rPr>
  </w:style>
  <w:style w:type="character" w:customStyle="1" w:styleId="BalloonTextChar">
    <w:name w:val="Balloon Text Char"/>
    <w:basedOn w:val="DefaultParagraphFont"/>
    <w:link w:val="BalloonText"/>
    <w:uiPriority w:val="99"/>
    <w:semiHidden/>
    <w:rsid w:val="00080671"/>
    <w:rPr>
      <w:rFonts w:ascii="Tahoma" w:hAnsi="Tahoma" w:cs="Tahoma"/>
      <w:sz w:val="16"/>
      <w:szCs w:val="16"/>
    </w:rPr>
  </w:style>
  <w:style w:type="paragraph" w:styleId="Revision">
    <w:name w:val="Revision"/>
    <w:hidden/>
    <w:uiPriority w:val="99"/>
    <w:semiHidden/>
    <w:rsid w:val="003F7B49"/>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544150A8FF4E1A8326CEAB8AA7017A"/>
        <w:category>
          <w:name w:val="General"/>
          <w:gallery w:val="placeholder"/>
        </w:category>
        <w:types>
          <w:type w:val="bbPlcHdr"/>
        </w:types>
        <w:behaviors>
          <w:behavior w:val="content"/>
        </w:behaviors>
        <w:guid w:val="{6E04DB26-18D9-416B-B428-532EDDF7E38E}"/>
      </w:docPartPr>
      <w:docPartBody>
        <w:p w:rsidR="0005605E" w:rsidRDefault="002F4090" w:rsidP="002F4090">
          <w:pPr>
            <w:pStyle w:val="C0544150A8FF4E1A8326CEAB8AA7017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90"/>
    <w:rsid w:val="0005605E"/>
    <w:rsid w:val="002F4090"/>
    <w:rsid w:val="003911AC"/>
    <w:rsid w:val="00731426"/>
    <w:rsid w:val="00AE2009"/>
    <w:rsid w:val="00B922B2"/>
    <w:rsid w:val="00FC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544150A8FF4E1A8326CEAB8AA7017A">
    <w:name w:val="C0544150A8FF4E1A8326CEAB8AA7017A"/>
    <w:rsid w:val="002F40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544150A8FF4E1A8326CEAB8AA7017A">
    <w:name w:val="C0544150A8FF4E1A8326CEAB8AA7017A"/>
    <w:rsid w:val="002F4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366</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INVTG</dc:creator>
  <cp:lastModifiedBy>Harper, Michael</cp:lastModifiedBy>
  <cp:revision>1</cp:revision>
  <dcterms:created xsi:type="dcterms:W3CDTF">2018-03-05T13:14:00Z</dcterms:created>
  <dcterms:modified xsi:type="dcterms:W3CDTF">2019-09-03T21:11:00Z</dcterms:modified>
</cp:coreProperties>
</file>