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9D691" w14:textId="77777777" w:rsidR="00E11A4F" w:rsidRPr="00325D78" w:rsidRDefault="00A62A7C" w:rsidP="00C33217">
      <w:pPr>
        <w:shd w:val="clear" w:color="auto" w:fill="FFFFFF"/>
        <w:spacing w:before="60" w:after="60"/>
        <w:ind w:left="1440" w:right="1440"/>
        <w:jc w:val="center"/>
        <w:rPr>
          <w:sz w:val="32"/>
          <w:szCs w:val="24"/>
        </w:rPr>
      </w:pPr>
      <w:r w:rsidRPr="00325D78">
        <w:rPr>
          <w:b/>
          <w:bCs/>
          <w:sz w:val="32"/>
          <w:szCs w:val="28"/>
          <w:lang w:val="fr-FR"/>
        </w:rPr>
        <w:t xml:space="preserve">NORTHERN </w:t>
      </w:r>
      <w:r w:rsidRPr="00325D78">
        <w:rPr>
          <w:b/>
          <w:bCs/>
          <w:sz w:val="32"/>
          <w:szCs w:val="28"/>
          <w:lang w:val="de-DE"/>
        </w:rPr>
        <w:t xml:space="preserve">TERRITORY </w:t>
      </w:r>
      <w:r w:rsidRPr="00325D78">
        <w:rPr>
          <w:b/>
          <w:bCs/>
          <w:sz w:val="32"/>
          <w:szCs w:val="28"/>
          <w:lang w:val="fr-FR"/>
        </w:rPr>
        <w:t xml:space="preserve">SUPREME COURT </w:t>
      </w:r>
      <w:r w:rsidRPr="00325D78">
        <w:rPr>
          <w:b/>
          <w:bCs/>
          <w:sz w:val="32"/>
          <w:szCs w:val="28"/>
          <w:lang w:val="de-DE"/>
        </w:rPr>
        <w:t xml:space="preserve">AMENDMENT ACT </w:t>
      </w:r>
      <w:r w:rsidRPr="00325D78">
        <w:rPr>
          <w:b/>
          <w:bCs/>
          <w:sz w:val="32"/>
          <w:szCs w:val="28"/>
        </w:rPr>
        <w:t>(No. 2) 1978</w:t>
      </w:r>
    </w:p>
    <w:p w14:paraId="28295CEE" w14:textId="77777777" w:rsidR="00E11A4F" w:rsidRPr="00325D78" w:rsidRDefault="00A62A7C" w:rsidP="00C33217">
      <w:pPr>
        <w:shd w:val="clear" w:color="auto" w:fill="FFFFFF"/>
        <w:spacing w:before="240" w:after="240"/>
        <w:jc w:val="center"/>
        <w:rPr>
          <w:sz w:val="28"/>
          <w:szCs w:val="24"/>
        </w:rPr>
      </w:pPr>
      <w:r w:rsidRPr="00325D78">
        <w:rPr>
          <w:b/>
          <w:bCs/>
          <w:sz w:val="28"/>
          <w:szCs w:val="28"/>
        </w:rPr>
        <w:t>No. 64 of 1978</w:t>
      </w:r>
    </w:p>
    <w:p w14:paraId="55DEF1A6" w14:textId="77777777" w:rsidR="00E11A4F" w:rsidRPr="00E603C7" w:rsidRDefault="00A62A7C" w:rsidP="00C33217">
      <w:pPr>
        <w:shd w:val="clear" w:color="auto" w:fill="FFFFFF"/>
        <w:spacing w:before="360" w:after="360"/>
        <w:jc w:val="both"/>
        <w:rPr>
          <w:sz w:val="24"/>
          <w:szCs w:val="24"/>
        </w:rPr>
      </w:pPr>
      <w:r w:rsidRPr="00E603C7">
        <w:rPr>
          <w:sz w:val="24"/>
          <w:szCs w:val="24"/>
        </w:rPr>
        <w:t xml:space="preserve">An Act to amend the </w:t>
      </w:r>
      <w:r w:rsidRPr="00E603C7">
        <w:rPr>
          <w:i/>
          <w:iCs/>
          <w:sz w:val="24"/>
          <w:szCs w:val="24"/>
        </w:rPr>
        <w:t xml:space="preserve">Northern Territory Supreme Court Act </w:t>
      </w:r>
      <w:r w:rsidRPr="00E603C7">
        <w:rPr>
          <w:sz w:val="24"/>
          <w:szCs w:val="24"/>
        </w:rPr>
        <w:t>1961 for purposes related to the self-government of the Northern Territory.</w:t>
      </w:r>
    </w:p>
    <w:p w14:paraId="64E94951" w14:textId="77777777" w:rsidR="00E11A4F" w:rsidRPr="00E603C7" w:rsidRDefault="00A62A7C" w:rsidP="00C33217">
      <w:pPr>
        <w:shd w:val="clear" w:color="auto" w:fill="FFFFFF"/>
        <w:spacing w:after="120"/>
        <w:ind w:firstLine="288"/>
        <w:jc w:val="both"/>
        <w:rPr>
          <w:sz w:val="24"/>
          <w:szCs w:val="24"/>
        </w:rPr>
      </w:pPr>
      <w:r w:rsidRPr="00E603C7">
        <w:rPr>
          <w:sz w:val="24"/>
          <w:szCs w:val="24"/>
        </w:rPr>
        <w:t>BE IT ENACTED by the Queen, and the Senate and House of Representatives of the Commonwealth of Australia, as follows:</w:t>
      </w:r>
    </w:p>
    <w:p w14:paraId="64AE845C" w14:textId="77777777" w:rsidR="00E11A4F" w:rsidRPr="00C33217" w:rsidRDefault="00A62A7C" w:rsidP="00C33217">
      <w:pPr>
        <w:shd w:val="clear" w:color="auto" w:fill="FFFFFF"/>
        <w:spacing w:before="120" w:after="60"/>
        <w:jc w:val="both"/>
        <w:rPr>
          <w:b/>
        </w:rPr>
      </w:pPr>
      <w:r w:rsidRPr="00C33217">
        <w:rPr>
          <w:b/>
        </w:rPr>
        <w:t>Short title, &amp;c.</w:t>
      </w:r>
    </w:p>
    <w:p w14:paraId="1618B8C2" w14:textId="3DE30407" w:rsidR="00E11A4F" w:rsidRPr="00E603C7" w:rsidRDefault="00A62A7C" w:rsidP="00DC3A03">
      <w:pPr>
        <w:shd w:val="clear" w:color="auto" w:fill="FFFFFF"/>
        <w:spacing w:before="60" w:after="60"/>
        <w:ind w:firstLine="288"/>
        <w:jc w:val="both"/>
        <w:rPr>
          <w:sz w:val="24"/>
          <w:szCs w:val="24"/>
        </w:rPr>
      </w:pPr>
      <w:r w:rsidRPr="00C33217">
        <w:rPr>
          <w:b/>
          <w:sz w:val="24"/>
          <w:szCs w:val="24"/>
        </w:rPr>
        <w:t>1.</w:t>
      </w:r>
      <w:r w:rsidRPr="00E603C7">
        <w:rPr>
          <w:sz w:val="24"/>
          <w:szCs w:val="24"/>
        </w:rPr>
        <w:t xml:space="preserve"> (1) This Act may be cited as the </w:t>
      </w:r>
      <w:r w:rsidRPr="00E603C7">
        <w:rPr>
          <w:i/>
          <w:iCs/>
          <w:sz w:val="24"/>
          <w:szCs w:val="24"/>
        </w:rPr>
        <w:t xml:space="preserve">Northern Territory Supreme Court Amendment Act </w:t>
      </w:r>
      <w:r w:rsidRPr="00B06073">
        <w:rPr>
          <w:iCs/>
          <w:sz w:val="24"/>
          <w:szCs w:val="24"/>
        </w:rPr>
        <w:t>(</w:t>
      </w:r>
      <w:r w:rsidRPr="00E603C7">
        <w:rPr>
          <w:i/>
          <w:iCs/>
          <w:sz w:val="24"/>
          <w:szCs w:val="24"/>
        </w:rPr>
        <w:t xml:space="preserve">No. </w:t>
      </w:r>
      <w:r w:rsidRPr="00B06073">
        <w:rPr>
          <w:iCs/>
          <w:sz w:val="24"/>
          <w:szCs w:val="24"/>
        </w:rPr>
        <w:t>2)</w:t>
      </w:r>
      <w:r w:rsidRPr="00E603C7">
        <w:rPr>
          <w:i/>
          <w:iCs/>
          <w:sz w:val="24"/>
          <w:szCs w:val="24"/>
        </w:rPr>
        <w:t xml:space="preserve"> </w:t>
      </w:r>
      <w:r w:rsidRPr="00E603C7">
        <w:rPr>
          <w:sz w:val="24"/>
          <w:szCs w:val="24"/>
        </w:rPr>
        <w:t>1978.</w:t>
      </w:r>
    </w:p>
    <w:p w14:paraId="4D749D34" w14:textId="491E6685" w:rsidR="00E11A4F" w:rsidRPr="00E603C7" w:rsidRDefault="00A62A7C" w:rsidP="00DC3A03">
      <w:pPr>
        <w:shd w:val="clear" w:color="auto" w:fill="FFFFFF"/>
        <w:spacing w:before="60" w:after="60"/>
        <w:ind w:firstLine="288"/>
        <w:jc w:val="both"/>
        <w:rPr>
          <w:sz w:val="24"/>
          <w:szCs w:val="24"/>
        </w:rPr>
      </w:pPr>
      <w:r w:rsidRPr="00E603C7">
        <w:rPr>
          <w:sz w:val="24"/>
          <w:szCs w:val="24"/>
        </w:rPr>
        <w:t xml:space="preserve">(2) The </w:t>
      </w:r>
      <w:r w:rsidRPr="00E603C7">
        <w:rPr>
          <w:i/>
          <w:iCs/>
          <w:sz w:val="24"/>
          <w:szCs w:val="24"/>
        </w:rPr>
        <w:t xml:space="preserve">Northern Territory Supreme Court Act </w:t>
      </w:r>
      <w:r w:rsidRPr="00E603C7">
        <w:rPr>
          <w:sz w:val="24"/>
          <w:szCs w:val="24"/>
        </w:rPr>
        <w:t>1961 is in this Act referred to as the Principal Act.</w:t>
      </w:r>
    </w:p>
    <w:p w14:paraId="0DBFAC9C" w14:textId="77777777" w:rsidR="00E11A4F" w:rsidRPr="00C33217" w:rsidRDefault="00A62A7C" w:rsidP="00C33217">
      <w:pPr>
        <w:shd w:val="clear" w:color="auto" w:fill="FFFFFF"/>
        <w:spacing w:before="120" w:after="60"/>
        <w:jc w:val="both"/>
        <w:rPr>
          <w:b/>
        </w:rPr>
      </w:pPr>
      <w:r w:rsidRPr="00C33217">
        <w:rPr>
          <w:b/>
        </w:rPr>
        <w:t>Commencement</w:t>
      </w:r>
    </w:p>
    <w:p w14:paraId="0D4D928C" w14:textId="77777777" w:rsidR="00E11A4F" w:rsidRPr="00E603C7" w:rsidRDefault="00A62A7C" w:rsidP="00DC3A03">
      <w:pPr>
        <w:shd w:val="clear" w:color="auto" w:fill="FFFFFF"/>
        <w:spacing w:before="60" w:after="60"/>
        <w:ind w:firstLine="288"/>
        <w:jc w:val="both"/>
        <w:rPr>
          <w:sz w:val="24"/>
          <w:szCs w:val="24"/>
        </w:rPr>
      </w:pPr>
      <w:r w:rsidRPr="00C33217">
        <w:rPr>
          <w:b/>
          <w:sz w:val="24"/>
          <w:szCs w:val="24"/>
        </w:rPr>
        <w:t>2.</w:t>
      </w:r>
      <w:r w:rsidRPr="00E603C7">
        <w:rPr>
          <w:sz w:val="24"/>
          <w:szCs w:val="24"/>
        </w:rPr>
        <w:t xml:space="preserve"> This Act shall come into operation on 1 July 1978.</w:t>
      </w:r>
    </w:p>
    <w:p w14:paraId="73FBCF56" w14:textId="77777777" w:rsidR="00E11A4F" w:rsidRPr="00C33217" w:rsidRDefault="00A62A7C" w:rsidP="00C33217">
      <w:pPr>
        <w:shd w:val="clear" w:color="auto" w:fill="FFFFFF"/>
        <w:spacing w:before="120" w:after="60"/>
        <w:jc w:val="both"/>
        <w:rPr>
          <w:b/>
        </w:rPr>
      </w:pPr>
      <w:r w:rsidRPr="00C33217">
        <w:rPr>
          <w:b/>
        </w:rPr>
        <w:t>Interpretation</w:t>
      </w:r>
    </w:p>
    <w:p w14:paraId="1E4E0537" w14:textId="77777777" w:rsidR="00E11A4F" w:rsidRPr="00E603C7" w:rsidRDefault="00A62A7C" w:rsidP="00DC3A03">
      <w:pPr>
        <w:shd w:val="clear" w:color="auto" w:fill="FFFFFF"/>
        <w:spacing w:before="60" w:after="60"/>
        <w:ind w:firstLine="288"/>
        <w:jc w:val="both"/>
        <w:rPr>
          <w:sz w:val="24"/>
          <w:szCs w:val="24"/>
        </w:rPr>
      </w:pPr>
      <w:r w:rsidRPr="00C33217">
        <w:rPr>
          <w:b/>
          <w:sz w:val="24"/>
          <w:szCs w:val="24"/>
        </w:rPr>
        <w:t>3.</w:t>
      </w:r>
      <w:r w:rsidRPr="00E603C7">
        <w:rPr>
          <w:sz w:val="24"/>
          <w:szCs w:val="24"/>
        </w:rPr>
        <w:t xml:space="preserve"> Section 5 of the Principal Act is amended by omitting </w:t>
      </w:r>
      <w:r w:rsidR="00905920" w:rsidRPr="00E603C7">
        <w:rPr>
          <w:sz w:val="24"/>
          <w:szCs w:val="24"/>
        </w:rPr>
        <w:t>“</w:t>
      </w:r>
      <w:r w:rsidRPr="00E603C7">
        <w:rPr>
          <w:sz w:val="24"/>
          <w:szCs w:val="24"/>
        </w:rPr>
        <w:t>,</w:t>
      </w:r>
      <w:r w:rsidR="00DC3A03">
        <w:rPr>
          <w:sz w:val="24"/>
          <w:szCs w:val="24"/>
        </w:rPr>
        <w:t xml:space="preserve"> </w:t>
      </w:r>
      <w:r w:rsidRPr="00E603C7">
        <w:rPr>
          <w:sz w:val="24"/>
          <w:szCs w:val="24"/>
        </w:rPr>
        <w:t xml:space="preserve">and includes the Territory of Ashmore and </w:t>
      </w:r>
      <w:r w:rsidRPr="00E603C7">
        <w:rPr>
          <w:sz w:val="24"/>
          <w:szCs w:val="24"/>
          <w:lang w:val="fr-FR"/>
        </w:rPr>
        <w:t xml:space="preserve">Cartier </w:t>
      </w:r>
      <w:r w:rsidRPr="00E603C7">
        <w:rPr>
          <w:sz w:val="24"/>
          <w:szCs w:val="24"/>
        </w:rPr>
        <w:t>Islands</w:t>
      </w:r>
      <w:r w:rsidR="00905920" w:rsidRPr="00E603C7">
        <w:rPr>
          <w:sz w:val="24"/>
          <w:szCs w:val="24"/>
        </w:rPr>
        <w:t>”</w:t>
      </w:r>
      <w:r w:rsidRPr="00E603C7">
        <w:rPr>
          <w:sz w:val="24"/>
          <w:szCs w:val="24"/>
        </w:rPr>
        <w:t xml:space="preserve"> from the definition of </w:t>
      </w:r>
      <w:r w:rsidR="00905920" w:rsidRPr="00E603C7">
        <w:rPr>
          <w:sz w:val="24"/>
          <w:szCs w:val="24"/>
        </w:rPr>
        <w:t>“</w:t>
      </w:r>
      <w:r w:rsidRPr="00E603C7">
        <w:rPr>
          <w:sz w:val="24"/>
          <w:szCs w:val="24"/>
        </w:rPr>
        <w:t>the Territory</w:t>
      </w:r>
      <w:r w:rsidR="00905920" w:rsidRPr="00E603C7">
        <w:rPr>
          <w:sz w:val="24"/>
          <w:szCs w:val="24"/>
        </w:rPr>
        <w:t>”</w:t>
      </w:r>
      <w:r w:rsidRPr="00E603C7">
        <w:rPr>
          <w:sz w:val="24"/>
          <w:szCs w:val="24"/>
        </w:rPr>
        <w:t>.</w:t>
      </w:r>
    </w:p>
    <w:p w14:paraId="322AC2E8" w14:textId="77777777" w:rsidR="00E11A4F" w:rsidRPr="00E603C7" w:rsidRDefault="00A62A7C" w:rsidP="00DC3A03">
      <w:pPr>
        <w:shd w:val="clear" w:color="auto" w:fill="FFFFFF"/>
        <w:spacing w:before="60" w:after="60"/>
        <w:ind w:firstLine="288"/>
        <w:jc w:val="both"/>
        <w:rPr>
          <w:sz w:val="24"/>
          <w:szCs w:val="24"/>
        </w:rPr>
      </w:pPr>
      <w:r w:rsidRPr="00C33217">
        <w:rPr>
          <w:b/>
          <w:sz w:val="24"/>
          <w:szCs w:val="24"/>
        </w:rPr>
        <w:t>4.</w:t>
      </w:r>
      <w:r w:rsidRPr="00E603C7">
        <w:rPr>
          <w:sz w:val="24"/>
          <w:szCs w:val="24"/>
        </w:rPr>
        <w:t xml:space="preserve"> After section 5 of the Principal Act the following section is inserted in Part I:</w:t>
      </w:r>
    </w:p>
    <w:p w14:paraId="2D841367" w14:textId="77777777" w:rsidR="00E11A4F" w:rsidRPr="00DC3A03" w:rsidRDefault="00A62A7C" w:rsidP="00DC3A03">
      <w:pPr>
        <w:shd w:val="clear" w:color="auto" w:fill="FFFFFF"/>
        <w:spacing w:before="120" w:after="60"/>
        <w:jc w:val="both"/>
        <w:rPr>
          <w:b/>
        </w:rPr>
      </w:pPr>
      <w:r w:rsidRPr="00DC3A03">
        <w:rPr>
          <w:b/>
        </w:rPr>
        <w:t>Commonwealth may sue Territory</w:t>
      </w:r>
    </w:p>
    <w:p w14:paraId="3EE91715" w14:textId="77777777" w:rsidR="00E11A4F" w:rsidRPr="00E603C7" w:rsidRDefault="00905920" w:rsidP="00DC3A03">
      <w:pPr>
        <w:shd w:val="clear" w:color="auto" w:fill="FFFFFF"/>
        <w:spacing w:before="60" w:after="60"/>
        <w:ind w:firstLine="288"/>
        <w:jc w:val="both"/>
        <w:rPr>
          <w:sz w:val="24"/>
          <w:szCs w:val="24"/>
        </w:rPr>
      </w:pPr>
      <w:r w:rsidRPr="00E603C7">
        <w:rPr>
          <w:sz w:val="24"/>
          <w:szCs w:val="24"/>
        </w:rPr>
        <w:t>“</w:t>
      </w:r>
      <w:r w:rsidR="00A62A7C" w:rsidRPr="00E603C7">
        <w:rPr>
          <w:smallCaps/>
          <w:sz w:val="24"/>
          <w:szCs w:val="24"/>
        </w:rPr>
        <w:t xml:space="preserve">5a. </w:t>
      </w:r>
      <w:r w:rsidR="00A62A7C" w:rsidRPr="00E603C7">
        <w:rPr>
          <w:sz w:val="24"/>
          <w:szCs w:val="24"/>
        </w:rPr>
        <w:t>(1) The Commonwealth may bring a suit against the Territory in the Supreme Court in respect of a cause of any description, whether at law or in equity, including (but without limiting the generality of the foregoing) a claim in tort.</w:t>
      </w:r>
    </w:p>
    <w:p w14:paraId="0F27511B" w14:textId="77777777" w:rsidR="00E11A4F" w:rsidRPr="00E603C7" w:rsidRDefault="00905920" w:rsidP="00DC3A03">
      <w:pPr>
        <w:shd w:val="clear" w:color="auto" w:fill="FFFFFF"/>
        <w:spacing w:before="60" w:after="60"/>
        <w:ind w:firstLine="288"/>
        <w:jc w:val="both"/>
        <w:rPr>
          <w:sz w:val="24"/>
          <w:szCs w:val="24"/>
        </w:rPr>
      </w:pPr>
      <w:r w:rsidRPr="00E603C7">
        <w:rPr>
          <w:sz w:val="24"/>
          <w:szCs w:val="24"/>
        </w:rPr>
        <w:t>“</w:t>
      </w:r>
      <w:r w:rsidR="00A62A7C" w:rsidRPr="00E603C7">
        <w:rPr>
          <w:sz w:val="24"/>
          <w:szCs w:val="24"/>
        </w:rPr>
        <w:t xml:space="preserve">(2) Sub-section (1) shall not be taken to limit the operation of any other provision of this Act or any provision of the </w:t>
      </w:r>
      <w:r w:rsidR="00A62A7C" w:rsidRPr="00E603C7">
        <w:rPr>
          <w:i/>
          <w:iCs/>
          <w:sz w:val="24"/>
          <w:szCs w:val="24"/>
        </w:rPr>
        <w:t xml:space="preserve">Judiciary Act </w:t>
      </w:r>
      <w:r w:rsidR="00A62A7C" w:rsidRPr="00E603C7">
        <w:rPr>
          <w:sz w:val="24"/>
          <w:szCs w:val="24"/>
        </w:rPr>
        <w:t>1903.</w:t>
      </w:r>
      <w:r w:rsidRPr="00E603C7">
        <w:rPr>
          <w:sz w:val="24"/>
          <w:szCs w:val="24"/>
        </w:rPr>
        <w:t>”</w:t>
      </w:r>
      <w:r w:rsidR="00A62A7C" w:rsidRPr="00E603C7">
        <w:rPr>
          <w:sz w:val="24"/>
          <w:szCs w:val="24"/>
        </w:rPr>
        <w:t>.</w:t>
      </w:r>
    </w:p>
    <w:p w14:paraId="725F2F6E" w14:textId="77777777" w:rsidR="00E11A4F" w:rsidRPr="00DC3A03" w:rsidRDefault="00A62A7C" w:rsidP="00DC3A03">
      <w:pPr>
        <w:shd w:val="clear" w:color="auto" w:fill="FFFFFF"/>
        <w:spacing w:before="120" w:after="60"/>
        <w:jc w:val="both"/>
        <w:rPr>
          <w:b/>
        </w:rPr>
      </w:pPr>
      <w:r w:rsidRPr="00DC3A03">
        <w:rPr>
          <w:b/>
        </w:rPr>
        <w:t>Jurisdiction of Supreme Court</w:t>
      </w:r>
    </w:p>
    <w:p w14:paraId="48AB78C2" w14:textId="77777777" w:rsidR="00E11A4F" w:rsidRPr="00E603C7" w:rsidRDefault="00A62A7C" w:rsidP="00DC3A03">
      <w:pPr>
        <w:shd w:val="clear" w:color="auto" w:fill="FFFFFF"/>
        <w:spacing w:before="60" w:after="60"/>
        <w:ind w:firstLine="288"/>
        <w:jc w:val="both"/>
        <w:rPr>
          <w:sz w:val="24"/>
          <w:szCs w:val="24"/>
        </w:rPr>
      </w:pPr>
      <w:r w:rsidRPr="00C33217">
        <w:rPr>
          <w:b/>
          <w:sz w:val="24"/>
          <w:szCs w:val="24"/>
        </w:rPr>
        <w:t>5.</w:t>
      </w:r>
      <w:r w:rsidRPr="00E603C7">
        <w:rPr>
          <w:sz w:val="24"/>
          <w:szCs w:val="24"/>
        </w:rPr>
        <w:t xml:space="preserve"> Section 15 of the Principal Act is amended</w:t>
      </w:r>
      <w:r w:rsidRPr="00E603C7">
        <w:rPr>
          <w:rFonts w:eastAsia="Times New Roman"/>
          <w:sz w:val="24"/>
          <w:szCs w:val="24"/>
        </w:rPr>
        <w:t>—</w:t>
      </w:r>
    </w:p>
    <w:p w14:paraId="75449698" w14:textId="77777777" w:rsidR="00E11A4F" w:rsidRPr="00E603C7" w:rsidRDefault="00A62A7C" w:rsidP="00DC3A03">
      <w:pPr>
        <w:shd w:val="clear" w:color="auto" w:fill="FFFFFF"/>
        <w:spacing w:before="60" w:after="60"/>
        <w:ind w:left="576" w:hanging="288"/>
        <w:rPr>
          <w:sz w:val="24"/>
          <w:szCs w:val="24"/>
        </w:rPr>
      </w:pPr>
      <w:r w:rsidRPr="00E603C7">
        <w:rPr>
          <w:sz w:val="24"/>
          <w:szCs w:val="24"/>
        </w:rPr>
        <w:t>(a)</w:t>
      </w:r>
      <w:r w:rsidR="00905920" w:rsidRPr="00E603C7">
        <w:rPr>
          <w:sz w:val="24"/>
          <w:szCs w:val="24"/>
        </w:rPr>
        <w:t xml:space="preserve"> </w:t>
      </w:r>
      <w:r w:rsidRPr="00E603C7">
        <w:rPr>
          <w:sz w:val="24"/>
          <w:szCs w:val="24"/>
        </w:rPr>
        <w:t>by inserting after paragraph (a) of sub-section (1) the following paragraph:</w:t>
      </w:r>
    </w:p>
    <w:p w14:paraId="6352498A" w14:textId="77777777" w:rsidR="00E11A4F" w:rsidRPr="00E603C7" w:rsidRDefault="00905920" w:rsidP="00DC3A03">
      <w:pPr>
        <w:shd w:val="clear" w:color="auto" w:fill="FFFFFF"/>
        <w:spacing w:before="60" w:after="60"/>
        <w:ind w:left="1440" w:hanging="576"/>
        <w:rPr>
          <w:sz w:val="24"/>
          <w:szCs w:val="24"/>
        </w:rPr>
      </w:pPr>
      <w:r w:rsidRPr="00E603C7">
        <w:rPr>
          <w:sz w:val="24"/>
          <w:szCs w:val="24"/>
        </w:rPr>
        <w:t>“</w:t>
      </w:r>
      <w:r w:rsidR="00A62A7C" w:rsidRPr="00E603C7">
        <w:rPr>
          <w:sz w:val="24"/>
          <w:szCs w:val="24"/>
        </w:rPr>
        <w:t>(aa) has jurisdiction in matters between the Commonwealth, or a person suing or being sued on behalf of the Commonwealth, and the Territory, or a person suing or being sued on behalf of the Territory;</w:t>
      </w:r>
      <w:r w:rsidRPr="00E603C7">
        <w:rPr>
          <w:sz w:val="24"/>
          <w:szCs w:val="24"/>
        </w:rPr>
        <w:t>”</w:t>
      </w:r>
      <w:r w:rsidR="00A62A7C" w:rsidRPr="00E603C7">
        <w:rPr>
          <w:sz w:val="24"/>
          <w:szCs w:val="24"/>
        </w:rPr>
        <w:t>;</w:t>
      </w:r>
    </w:p>
    <w:p w14:paraId="66DC2AF1" w14:textId="77777777" w:rsidR="00E11A4F" w:rsidRPr="00E603C7" w:rsidRDefault="00A62A7C" w:rsidP="00DC3A03">
      <w:pPr>
        <w:shd w:val="clear" w:color="auto" w:fill="FFFFFF"/>
        <w:spacing w:before="60" w:after="60"/>
        <w:ind w:left="576" w:hanging="288"/>
        <w:rPr>
          <w:sz w:val="24"/>
          <w:szCs w:val="24"/>
        </w:rPr>
      </w:pPr>
      <w:r w:rsidRPr="00E603C7">
        <w:rPr>
          <w:sz w:val="24"/>
          <w:szCs w:val="24"/>
        </w:rPr>
        <w:t>(b)</w:t>
      </w:r>
      <w:r w:rsidR="00905920" w:rsidRPr="00E603C7">
        <w:rPr>
          <w:sz w:val="24"/>
          <w:szCs w:val="24"/>
        </w:rPr>
        <w:t xml:space="preserve"> </w:t>
      </w:r>
      <w:r w:rsidRPr="00E603C7">
        <w:rPr>
          <w:sz w:val="24"/>
          <w:szCs w:val="24"/>
        </w:rPr>
        <w:t xml:space="preserve">by omitting from paragraph (c) of sub-section (1) </w:t>
      </w:r>
      <w:r w:rsidR="00905920" w:rsidRPr="00E603C7">
        <w:rPr>
          <w:sz w:val="24"/>
          <w:szCs w:val="24"/>
        </w:rPr>
        <w:t>“</w:t>
      </w:r>
      <w:r w:rsidRPr="00E603C7">
        <w:rPr>
          <w:sz w:val="24"/>
          <w:szCs w:val="24"/>
        </w:rPr>
        <w:t>Australia</w:t>
      </w:r>
      <w:r w:rsidR="00905920" w:rsidRPr="00E603C7">
        <w:rPr>
          <w:sz w:val="24"/>
          <w:szCs w:val="24"/>
        </w:rPr>
        <w:t>”</w:t>
      </w:r>
      <w:r w:rsidRPr="00E603C7">
        <w:rPr>
          <w:sz w:val="24"/>
          <w:szCs w:val="24"/>
        </w:rPr>
        <w:t xml:space="preserve"> and substituting </w:t>
      </w:r>
      <w:r w:rsidR="00905920" w:rsidRPr="00E603C7">
        <w:rPr>
          <w:sz w:val="24"/>
          <w:szCs w:val="24"/>
        </w:rPr>
        <w:t>“</w:t>
      </w:r>
      <w:r w:rsidRPr="00E603C7">
        <w:rPr>
          <w:sz w:val="24"/>
          <w:szCs w:val="24"/>
        </w:rPr>
        <w:t>the Commonwealth</w:t>
      </w:r>
      <w:r w:rsidR="00905920" w:rsidRPr="00E603C7">
        <w:rPr>
          <w:sz w:val="24"/>
          <w:szCs w:val="24"/>
        </w:rPr>
        <w:t>”</w:t>
      </w:r>
      <w:r w:rsidRPr="00E603C7">
        <w:rPr>
          <w:sz w:val="24"/>
          <w:szCs w:val="24"/>
        </w:rPr>
        <w:t>; and</w:t>
      </w:r>
    </w:p>
    <w:p w14:paraId="27684A66" w14:textId="2E4FDE53" w:rsidR="00E11A4F" w:rsidRPr="00E603C7" w:rsidRDefault="00A62A7C" w:rsidP="0056404B">
      <w:pPr>
        <w:shd w:val="clear" w:color="auto" w:fill="FFFFFF"/>
        <w:spacing w:before="60" w:after="60"/>
        <w:ind w:left="576" w:hanging="288"/>
        <w:rPr>
          <w:sz w:val="24"/>
          <w:szCs w:val="24"/>
        </w:rPr>
      </w:pPr>
      <w:r w:rsidRPr="00E603C7">
        <w:rPr>
          <w:sz w:val="24"/>
          <w:szCs w:val="22"/>
        </w:rPr>
        <w:t>(c)</w:t>
      </w:r>
      <w:r w:rsidR="00905920" w:rsidRPr="00E603C7">
        <w:rPr>
          <w:sz w:val="24"/>
          <w:szCs w:val="22"/>
        </w:rPr>
        <w:t xml:space="preserve"> </w:t>
      </w:r>
      <w:r w:rsidRPr="00E603C7">
        <w:rPr>
          <w:sz w:val="24"/>
          <w:szCs w:val="22"/>
        </w:rPr>
        <w:t>by adding at the end thereof the following sub-sections:</w:t>
      </w:r>
    </w:p>
    <w:p w14:paraId="66FB05A4" w14:textId="77777777" w:rsidR="00E11A4F" w:rsidRPr="00E603C7" w:rsidRDefault="00905920" w:rsidP="00E75E34">
      <w:pPr>
        <w:shd w:val="clear" w:color="auto" w:fill="FFFFFF"/>
        <w:spacing w:before="60" w:after="60"/>
        <w:ind w:left="576" w:firstLine="288"/>
        <w:jc w:val="both"/>
        <w:rPr>
          <w:sz w:val="24"/>
          <w:szCs w:val="24"/>
        </w:rPr>
      </w:pPr>
      <w:r w:rsidRPr="00E603C7">
        <w:rPr>
          <w:sz w:val="24"/>
          <w:szCs w:val="22"/>
        </w:rPr>
        <w:t>“</w:t>
      </w:r>
      <w:r w:rsidR="00A62A7C" w:rsidRPr="00E603C7">
        <w:rPr>
          <w:sz w:val="24"/>
          <w:szCs w:val="22"/>
        </w:rPr>
        <w:t>(4) The jurisdiction of the Supreme Court extends to matters in which an injunction or declaratory order or a writ of mandamus, prohibition or certiorari is sought by or on behalf of the Commonwealth against the Territory or an officer of the Territory.</w:t>
      </w:r>
    </w:p>
    <w:p w14:paraId="47145592" w14:textId="77777777" w:rsidR="00E11A4F" w:rsidRPr="00E603C7" w:rsidRDefault="00905920" w:rsidP="00E75E34">
      <w:pPr>
        <w:shd w:val="clear" w:color="auto" w:fill="FFFFFF"/>
        <w:spacing w:before="60" w:after="60"/>
        <w:ind w:left="576" w:firstLine="288"/>
        <w:jc w:val="both"/>
        <w:rPr>
          <w:sz w:val="24"/>
          <w:szCs w:val="24"/>
        </w:rPr>
      </w:pPr>
      <w:r w:rsidRPr="00E603C7">
        <w:rPr>
          <w:sz w:val="24"/>
          <w:szCs w:val="22"/>
        </w:rPr>
        <w:t>“</w:t>
      </w:r>
      <w:r w:rsidR="00A62A7C" w:rsidRPr="00E603C7">
        <w:rPr>
          <w:sz w:val="24"/>
          <w:szCs w:val="22"/>
        </w:rPr>
        <w:t>(5) The jurisdiction conferred on the Supreme Court by paragraph (aa) of sub-section (1) and by sub-section (4) is in addition to, and not in derogation of, any jurisdiction otherwise conferred on the Court.</w:t>
      </w:r>
    </w:p>
    <w:p w14:paraId="72239894" w14:textId="77777777" w:rsidR="00E11A4F" w:rsidRPr="00E603C7" w:rsidRDefault="00905920" w:rsidP="00E75E34">
      <w:pPr>
        <w:shd w:val="clear" w:color="auto" w:fill="FFFFFF"/>
        <w:spacing w:before="60" w:after="60"/>
        <w:ind w:left="576" w:firstLine="288"/>
        <w:jc w:val="both"/>
        <w:rPr>
          <w:sz w:val="24"/>
          <w:szCs w:val="24"/>
        </w:rPr>
      </w:pPr>
      <w:r w:rsidRPr="00E603C7">
        <w:rPr>
          <w:sz w:val="24"/>
          <w:szCs w:val="22"/>
        </w:rPr>
        <w:t>“</w:t>
      </w:r>
      <w:r w:rsidR="00A62A7C" w:rsidRPr="00E603C7">
        <w:rPr>
          <w:sz w:val="24"/>
          <w:szCs w:val="22"/>
        </w:rPr>
        <w:t>(6) No execution or attachment, or process in the nature thereof, shall be issued against the property or moneys of the Territory.</w:t>
      </w:r>
      <w:r w:rsidRPr="00E603C7">
        <w:rPr>
          <w:sz w:val="24"/>
          <w:szCs w:val="22"/>
        </w:rPr>
        <w:t>”</w:t>
      </w:r>
      <w:r w:rsidR="00A62A7C" w:rsidRPr="00E603C7">
        <w:rPr>
          <w:sz w:val="24"/>
          <w:szCs w:val="22"/>
        </w:rPr>
        <w:t>.</w:t>
      </w:r>
    </w:p>
    <w:p w14:paraId="5AA15E19" w14:textId="77777777" w:rsidR="00E11A4F" w:rsidRPr="0056404B" w:rsidRDefault="00A62A7C" w:rsidP="0056404B">
      <w:pPr>
        <w:shd w:val="clear" w:color="auto" w:fill="FFFFFF"/>
        <w:spacing w:before="120" w:after="60"/>
        <w:jc w:val="both"/>
        <w:rPr>
          <w:b/>
        </w:rPr>
      </w:pPr>
      <w:r w:rsidRPr="0056404B">
        <w:rPr>
          <w:b/>
        </w:rPr>
        <w:t>Application of laws in Territory</w:t>
      </w:r>
    </w:p>
    <w:p w14:paraId="7BA3DA7E" w14:textId="77777777" w:rsidR="00E11A4F" w:rsidRPr="00E603C7" w:rsidRDefault="00A62A7C" w:rsidP="0056404B">
      <w:pPr>
        <w:shd w:val="clear" w:color="auto" w:fill="FFFFFF"/>
        <w:spacing w:before="60" w:after="60"/>
        <w:ind w:firstLine="288"/>
        <w:jc w:val="both"/>
        <w:rPr>
          <w:sz w:val="24"/>
          <w:szCs w:val="24"/>
        </w:rPr>
      </w:pPr>
      <w:r w:rsidRPr="0056404B">
        <w:rPr>
          <w:b/>
          <w:sz w:val="24"/>
          <w:szCs w:val="22"/>
        </w:rPr>
        <w:t>6.</w:t>
      </w:r>
      <w:r w:rsidRPr="00E603C7">
        <w:rPr>
          <w:sz w:val="24"/>
          <w:szCs w:val="22"/>
        </w:rPr>
        <w:t xml:space="preserve"> (1) Section 49 of the Principal Act is amended</w:t>
      </w:r>
      <w:r w:rsidRPr="00E603C7">
        <w:rPr>
          <w:rFonts w:eastAsia="Times New Roman"/>
          <w:sz w:val="24"/>
          <w:szCs w:val="22"/>
        </w:rPr>
        <w:t>—</w:t>
      </w:r>
    </w:p>
    <w:p w14:paraId="580205D0" w14:textId="77777777" w:rsidR="00E11A4F" w:rsidRPr="00E603C7" w:rsidRDefault="00A62A7C" w:rsidP="0056404B">
      <w:pPr>
        <w:shd w:val="clear" w:color="auto" w:fill="FFFFFF"/>
        <w:spacing w:before="60" w:after="60"/>
        <w:ind w:left="576" w:hanging="288"/>
        <w:rPr>
          <w:sz w:val="24"/>
          <w:szCs w:val="24"/>
        </w:rPr>
      </w:pPr>
      <w:r w:rsidRPr="00E603C7">
        <w:rPr>
          <w:sz w:val="24"/>
          <w:szCs w:val="22"/>
        </w:rPr>
        <w:t>(a)</w:t>
      </w:r>
      <w:r w:rsidR="00905920" w:rsidRPr="00E603C7">
        <w:rPr>
          <w:sz w:val="24"/>
          <w:szCs w:val="22"/>
        </w:rPr>
        <w:t xml:space="preserve"> </w:t>
      </w:r>
      <w:r w:rsidRPr="00E603C7">
        <w:rPr>
          <w:sz w:val="24"/>
          <w:szCs w:val="22"/>
        </w:rPr>
        <w:t>by</w:t>
      </w:r>
      <w:r w:rsidR="00905920" w:rsidRPr="00E603C7">
        <w:rPr>
          <w:sz w:val="24"/>
          <w:szCs w:val="22"/>
        </w:rPr>
        <w:t xml:space="preserve"> </w:t>
      </w:r>
      <w:r w:rsidRPr="00E603C7">
        <w:rPr>
          <w:sz w:val="24"/>
          <w:szCs w:val="22"/>
        </w:rPr>
        <w:t>omitting</w:t>
      </w:r>
      <w:r w:rsidR="00905920" w:rsidRPr="00E603C7">
        <w:rPr>
          <w:sz w:val="24"/>
          <w:szCs w:val="22"/>
        </w:rPr>
        <w:t xml:space="preserve"> “</w:t>
      </w:r>
      <w:r w:rsidRPr="00E603C7">
        <w:rPr>
          <w:sz w:val="24"/>
          <w:szCs w:val="22"/>
        </w:rPr>
        <w:t>Australia</w:t>
      </w:r>
      <w:r w:rsidR="00905920" w:rsidRPr="00E603C7">
        <w:rPr>
          <w:sz w:val="24"/>
          <w:szCs w:val="22"/>
        </w:rPr>
        <w:t xml:space="preserve">” </w:t>
      </w:r>
      <w:r w:rsidRPr="00E603C7">
        <w:rPr>
          <w:sz w:val="24"/>
          <w:szCs w:val="22"/>
        </w:rPr>
        <w:t>and</w:t>
      </w:r>
      <w:r w:rsidR="00905920" w:rsidRPr="00E603C7">
        <w:rPr>
          <w:sz w:val="24"/>
          <w:szCs w:val="22"/>
        </w:rPr>
        <w:t xml:space="preserve"> </w:t>
      </w:r>
      <w:r w:rsidRPr="00E603C7">
        <w:rPr>
          <w:sz w:val="24"/>
          <w:szCs w:val="22"/>
        </w:rPr>
        <w:t>substituting</w:t>
      </w:r>
      <w:r w:rsidR="00905920" w:rsidRPr="00E603C7">
        <w:rPr>
          <w:sz w:val="24"/>
          <w:szCs w:val="22"/>
        </w:rPr>
        <w:t xml:space="preserve"> “</w:t>
      </w:r>
      <w:r w:rsidRPr="00E603C7">
        <w:rPr>
          <w:sz w:val="24"/>
          <w:szCs w:val="22"/>
        </w:rPr>
        <w:t>the Commonwealth</w:t>
      </w:r>
      <w:r w:rsidR="00905920" w:rsidRPr="00E603C7">
        <w:rPr>
          <w:sz w:val="24"/>
          <w:szCs w:val="22"/>
        </w:rPr>
        <w:t>”</w:t>
      </w:r>
      <w:r w:rsidRPr="00E603C7">
        <w:rPr>
          <w:sz w:val="24"/>
          <w:szCs w:val="22"/>
        </w:rPr>
        <w:t>;</w:t>
      </w:r>
    </w:p>
    <w:p w14:paraId="60A5E815" w14:textId="77777777" w:rsidR="00E11A4F" w:rsidRPr="00E603C7" w:rsidRDefault="00A62A7C" w:rsidP="0056404B">
      <w:pPr>
        <w:shd w:val="clear" w:color="auto" w:fill="FFFFFF"/>
        <w:spacing w:before="60" w:after="60"/>
        <w:ind w:left="576" w:hanging="288"/>
        <w:rPr>
          <w:sz w:val="24"/>
          <w:szCs w:val="24"/>
        </w:rPr>
      </w:pPr>
      <w:r w:rsidRPr="00E603C7">
        <w:rPr>
          <w:sz w:val="24"/>
          <w:szCs w:val="22"/>
        </w:rPr>
        <w:t>(b)</w:t>
      </w:r>
      <w:r w:rsidR="00905920" w:rsidRPr="00E603C7">
        <w:rPr>
          <w:sz w:val="24"/>
          <w:szCs w:val="22"/>
        </w:rPr>
        <w:t xml:space="preserve"> </w:t>
      </w:r>
      <w:r w:rsidRPr="00E603C7">
        <w:rPr>
          <w:sz w:val="24"/>
          <w:szCs w:val="22"/>
        </w:rPr>
        <w:t xml:space="preserve">by omitting </w:t>
      </w:r>
      <w:r w:rsidR="00905920" w:rsidRPr="00E603C7">
        <w:rPr>
          <w:i/>
          <w:iCs/>
          <w:sz w:val="24"/>
          <w:szCs w:val="22"/>
        </w:rPr>
        <w:t>“</w:t>
      </w:r>
      <w:r w:rsidRPr="00E603C7">
        <w:rPr>
          <w:i/>
          <w:iCs/>
          <w:sz w:val="24"/>
          <w:szCs w:val="22"/>
        </w:rPr>
        <w:t xml:space="preserve">Northern Territory (Administration) Act </w:t>
      </w:r>
      <w:r w:rsidRPr="00E603C7">
        <w:rPr>
          <w:sz w:val="24"/>
          <w:szCs w:val="22"/>
        </w:rPr>
        <w:t>1910-1959</w:t>
      </w:r>
      <w:r w:rsidR="00905920" w:rsidRPr="00E603C7">
        <w:rPr>
          <w:sz w:val="24"/>
          <w:szCs w:val="22"/>
        </w:rPr>
        <w:t>”</w:t>
      </w:r>
      <w:r w:rsidRPr="00E603C7">
        <w:rPr>
          <w:sz w:val="24"/>
          <w:szCs w:val="22"/>
        </w:rPr>
        <w:t xml:space="preserve"> (first occurring) and substituting </w:t>
      </w:r>
      <w:r w:rsidR="00905920" w:rsidRPr="00E603C7">
        <w:rPr>
          <w:i/>
          <w:iCs/>
          <w:sz w:val="24"/>
          <w:szCs w:val="22"/>
        </w:rPr>
        <w:t>“</w:t>
      </w:r>
      <w:r w:rsidRPr="00E603C7">
        <w:rPr>
          <w:i/>
          <w:iCs/>
          <w:sz w:val="24"/>
          <w:szCs w:val="22"/>
        </w:rPr>
        <w:t xml:space="preserve">Northern Territory (Self-Government) Act </w:t>
      </w:r>
      <w:r w:rsidRPr="00E603C7">
        <w:rPr>
          <w:sz w:val="24"/>
          <w:szCs w:val="22"/>
        </w:rPr>
        <w:t>1978</w:t>
      </w:r>
      <w:r w:rsidR="00905920" w:rsidRPr="00E603C7">
        <w:rPr>
          <w:sz w:val="24"/>
          <w:szCs w:val="22"/>
        </w:rPr>
        <w:t>”</w:t>
      </w:r>
      <w:r w:rsidRPr="00E603C7">
        <w:rPr>
          <w:sz w:val="24"/>
          <w:szCs w:val="22"/>
        </w:rPr>
        <w:t>;</w:t>
      </w:r>
    </w:p>
    <w:p w14:paraId="460FAFA3" w14:textId="77777777" w:rsidR="00B06073" w:rsidRDefault="00B06073">
      <w:pPr>
        <w:widowControl/>
        <w:autoSpaceDE/>
        <w:autoSpaceDN/>
        <w:adjustRightInd/>
        <w:spacing w:after="200" w:line="276" w:lineRule="auto"/>
        <w:rPr>
          <w:sz w:val="24"/>
          <w:szCs w:val="22"/>
        </w:rPr>
      </w:pPr>
      <w:r>
        <w:rPr>
          <w:sz w:val="24"/>
          <w:szCs w:val="22"/>
        </w:rPr>
        <w:br w:type="page"/>
      </w:r>
    </w:p>
    <w:p w14:paraId="57C56091" w14:textId="67F1E5F4" w:rsidR="00E11A4F" w:rsidRPr="00E603C7" w:rsidRDefault="00A62A7C" w:rsidP="0056404B">
      <w:pPr>
        <w:shd w:val="clear" w:color="auto" w:fill="FFFFFF"/>
        <w:spacing w:before="60" w:after="60"/>
        <w:ind w:left="576" w:hanging="288"/>
        <w:rPr>
          <w:sz w:val="24"/>
          <w:szCs w:val="24"/>
        </w:rPr>
      </w:pPr>
      <w:r w:rsidRPr="00E603C7">
        <w:rPr>
          <w:sz w:val="24"/>
          <w:szCs w:val="22"/>
        </w:rPr>
        <w:lastRenderedPageBreak/>
        <w:t>(c)</w:t>
      </w:r>
      <w:r w:rsidR="00905920" w:rsidRPr="00E603C7">
        <w:rPr>
          <w:sz w:val="24"/>
          <w:szCs w:val="22"/>
        </w:rPr>
        <w:t xml:space="preserve"> </w:t>
      </w:r>
      <w:r w:rsidRPr="00E603C7">
        <w:rPr>
          <w:sz w:val="24"/>
          <w:szCs w:val="22"/>
        </w:rPr>
        <w:t xml:space="preserve">by omitting </w:t>
      </w:r>
      <w:r w:rsidR="00905920" w:rsidRPr="00E603C7">
        <w:rPr>
          <w:sz w:val="24"/>
          <w:szCs w:val="22"/>
        </w:rPr>
        <w:t>“</w:t>
      </w:r>
      <w:r w:rsidRPr="00E603C7">
        <w:rPr>
          <w:sz w:val="24"/>
          <w:szCs w:val="22"/>
        </w:rPr>
        <w:t xml:space="preserve">Legislative Council for the Territory by the </w:t>
      </w:r>
      <w:r w:rsidRPr="00E603C7">
        <w:rPr>
          <w:i/>
          <w:iCs/>
          <w:sz w:val="24"/>
          <w:szCs w:val="22"/>
        </w:rPr>
        <w:t xml:space="preserve">Northern Territory (Administration) Act </w:t>
      </w:r>
      <w:r w:rsidRPr="00E603C7">
        <w:rPr>
          <w:sz w:val="24"/>
          <w:szCs w:val="22"/>
        </w:rPr>
        <w:t>1910-1959 to make Ordinances for the peace, order and good government of the Territory shall be construed as including provision to make Ordinances so applying</w:t>
      </w:r>
      <w:r w:rsidR="00905920" w:rsidRPr="00E603C7">
        <w:rPr>
          <w:sz w:val="24"/>
          <w:szCs w:val="22"/>
        </w:rPr>
        <w:t>”</w:t>
      </w:r>
      <w:r w:rsidRPr="00E603C7">
        <w:rPr>
          <w:sz w:val="24"/>
          <w:szCs w:val="22"/>
        </w:rPr>
        <w:t xml:space="preserve"> and substituting </w:t>
      </w:r>
      <w:r w:rsidR="00905920" w:rsidRPr="00E603C7">
        <w:rPr>
          <w:sz w:val="24"/>
          <w:szCs w:val="22"/>
        </w:rPr>
        <w:t>“</w:t>
      </w:r>
      <w:r w:rsidRPr="00E603C7">
        <w:rPr>
          <w:sz w:val="24"/>
          <w:szCs w:val="22"/>
        </w:rPr>
        <w:t xml:space="preserve">Legislative Assembly of the Northern Territory of Australia by the </w:t>
      </w:r>
      <w:r w:rsidRPr="00E603C7">
        <w:rPr>
          <w:i/>
          <w:iCs/>
          <w:sz w:val="24"/>
          <w:szCs w:val="22"/>
        </w:rPr>
        <w:t xml:space="preserve">Northern Territory (Self-Government) Act </w:t>
      </w:r>
      <w:r w:rsidRPr="00E603C7">
        <w:rPr>
          <w:sz w:val="24"/>
          <w:szCs w:val="22"/>
        </w:rPr>
        <w:t>1978 in relation to the making of laws for the peace, order and good government of the Territory shall be construed as extending to the making of laws so applying</w:t>
      </w:r>
      <w:r w:rsidR="00905920" w:rsidRPr="00E603C7">
        <w:rPr>
          <w:sz w:val="24"/>
          <w:szCs w:val="22"/>
        </w:rPr>
        <w:t>”</w:t>
      </w:r>
      <w:r w:rsidRPr="00E603C7">
        <w:rPr>
          <w:sz w:val="24"/>
          <w:szCs w:val="22"/>
        </w:rPr>
        <w:t>; and</w:t>
      </w:r>
    </w:p>
    <w:p w14:paraId="4A168CF1" w14:textId="77777777" w:rsidR="00E11A4F" w:rsidRPr="00E603C7" w:rsidRDefault="00A62A7C" w:rsidP="0056404B">
      <w:pPr>
        <w:shd w:val="clear" w:color="auto" w:fill="FFFFFF"/>
        <w:spacing w:before="60" w:after="60"/>
        <w:ind w:left="576" w:hanging="288"/>
        <w:rPr>
          <w:sz w:val="24"/>
          <w:szCs w:val="24"/>
        </w:rPr>
      </w:pPr>
      <w:r w:rsidRPr="00E603C7">
        <w:rPr>
          <w:sz w:val="24"/>
          <w:szCs w:val="22"/>
        </w:rPr>
        <w:t>(d)</w:t>
      </w:r>
      <w:r w:rsidR="00905920" w:rsidRPr="00E603C7">
        <w:rPr>
          <w:sz w:val="24"/>
          <w:szCs w:val="22"/>
        </w:rPr>
        <w:t xml:space="preserve"> </w:t>
      </w:r>
      <w:r w:rsidRPr="00E603C7">
        <w:rPr>
          <w:sz w:val="24"/>
          <w:szCs w:val="22"/>
        </w:rPr>
        <w:t>by adding at the end thereof the following sub-section:</w:t>
      </w:r>
    </w:p>
    <w:p w14:paraId="5E29D377" w14:textId="77777777" w:rsidR="00E11A4F" w:rsidRPr="00E603C7" w:rsidRDefault="00905920" w:rsidP="0056404B">
      <w:pPr>
        <w:shd w:val="clear" w:color="auto" w:fill="FFFFFF"/>
        <w:spacing w:before="60" w:after="60"/>
        <w:ind w:left="576" w:firstLine="288"/>
        <w:jc w:val="both"/>
        <w:rPr>
          <w:sz w:val="24"/>
          <w:szCs w:val="24"/>
        </w:rPr>
      </w:pPr>
      <w:r w:rsidRPr="00E603C7">
        <w:rPr>
          <w:sz w:val="24"/>
          <w:szCs w:val="22"/>
        </w:rPr>
        <w:t>“</w:t>
      </w:r>
      <w:r w:rsidR="00A62A7C" w:rsidRPr="00E603C7">
        <w:rPr>
          <w:sz w:val="24"/>
          <w:szCs w:val="22"/>
        </w:rPr>
        <w:t xml:space="preserve">(2) Without derogating from the generality of sub-section (1), nothing in this or any other Act shall be taken to limit the power of the Legislative Assembly of the Northern Territory in relation to the making of laws relating to the prosecution in the Supreme Court of indictable offences against laws in force in the Territory under or by virtue of the </w:t>
      </w:r>
      <w:r w:rsidR="00A62A7C" w:rsidRPr="00E603C7">
        <w:rPr>
          <w:i/>
          <w:iCs/>
          <w:sz w:val="24"/>
          <w:szCs w:val="22"/>
        </w:rPr>
        <w:t xml:space="preserve">Northern Territory (Self-Government) Act </w:t>
      </w:r>
      <w:r w:rsidR="00A62A7C" w:rsidRPr="00E603C7">
        <w:rPr>
          <w:sz w:val="24"/>
          <w:szCs w:val="22"/>
        </w:rPr>
        <w:t>1978.</w:t>
      </w:r>
      <w:r w:rsidRPr="00E603C7">
        <w:rPr>
          <w:sz w:val="24"/>
          <w:szCs w:val="22"/>
        </w:rPr>
        <w:t>”</w:t>
      </w:r>
      <w:r w:rsidR="00A62A7C" w:rsidRPr="00E603C7">
        <w:rPr>
          <w:sz w:val="24"/>
          <w:szCs w:val="22"/>
        </w:rPr>
        <w:t>.</w:t>
      </w:r>
    </w:p>
    <w:p w14:paraId="05A254E0" w14:textId="77777777" w:rsidR="00F00827" w:rsidRDefault="00F00827" w:rsidP="00F00827">
      <w:pPr>
        <w:shd w:val="clear" w:color="auto" w:fill="FFFFFF"/>
        <w:spacing w:after="60"/>
        <w:ind w:firstLine="432"/>
        <w:jc w:val="both"/>
        <w:rPr>
          <w:sz w:val="4"/>
          <w:szCs w:val="4"/>
        </w:rPr>
      </w:pPr>
    </w:p>
    <w:p w14:paraId="3F9EC448" w14:textId="62D1CC91" w:rsidR="00E11A4F" w:rsidRPr="00E603C7" w:rsidRDefault="00A62A7C" w:rsidP="00F00827">
      <w:pPr>
        <w:shd w:val="clear" w:color="auto" w:fill="FFFFFF"/>
        <w:spacing w:before="60" w:after="60"/>
        <w:ind w:firstLine="288"/>
        <w:jc w:val="both"/>
        <w:rPr>
          <w:sz w:val="24"/>
          <w:szCs w:val="24"/>
        </w:rPr>
      </w:pPr>
      <w:r w:rsidRPr="00E603C7">
        <w:rPr>
          <w:sz w:val="24"/>
          <w:szCs w:val="22"/>
        </w:rPr>
        <w:t>(2) Notwithstanding the amendments of section 49 of the Principal Act made by sub-section (1), Ordinances in force at the commencement of this Act having an application to which that section refers are continued in force, but may be amended or repealed by laws made in pursuance of that</w:t>
      </w:r>
      <w:r w:rsidRPr="00E603C7">
        <w:rPr>
          <w:sz w:val="24"/>
          <w:szCs w:val="22"/>
          <w:lang w:val="de-DE"/>
        </w:rPr>
        <w:t xml:space="preserve"> </w:t>
      </w:r>
      <w:r w:rsidRPr="00E603C7">
        <w:rPr>
          <w:sz w:val="24"/>
          <w:szCs w:val="22"/>
        </w:rPr>
        <w:t>section.</w:t>
      </w:r>
    </w:p>
    <w:p w14:paraId="48DCCCC1" w14:textId="25A1B40A" w:rsidR="00E11A4F" w:rsidRPr="00DC3A03" w:rsidRDefault="00A62A7C" w:rsidP="00DC3A03">
      <w:pPr>
        <w:shd w:val="clear" w:color="auto" w:fill="FFFFFF"/>
        <w:spacing w:before="120" w:after="60"/>
        <w:jc w:val="both"/>
        <w:rPr>
          <w:b/>
        </w:rPr>
      </w:pPr>
      <w:r w:rsidRPr="00DC3A03">
        <w:rPr>
          <w:b/>
        </w:rPr>
        <w:t>Indictable offences</w:t>
      </w:r>
    </w:p>
    <w:p w14:paraId="59A7F6B5" w14:textId="77777777" w:rsidR="00E11A4F" w:rsidRPr="00E603C7" w:rsidRDefault="00A62A7C" w:rsidP="00E75E34">
      <w:pPr>
        <w:shd w:val="clear" w:color="auto" w:fill="FFFFFF"/>
        <w:spacing w:before="60" w:after="60"/>
        <w:ind w:firstLine="288"/>
        <w:jc w:val="both"/>
        <w:rPr>
          <w:sz w:val="24"/>
          <w:szCs w:val="24"/>
        </w:rPr>
      </w:pPr>
      <w:r w:rsidRPr="00C33217">
        <w:rPr>
          <w:b/>
          <w:sz w:val="24"/>
          <w:szCs w:val="24"/>
        </w:rPr>
        <w:t>7.</w:t>
      </w:r>
      <w:r w:rsidRPr="00E603C7">
        <w:rPr>
          <w:sz w:val="24"/>
          <w:szCs w:val="24"/>
        </w:rPr>
        <w:t xml:space="preserve"> Section 51 of the Principal Act is amended</w:t>
      </w:r>
      <w:r w:rsidRPr="00E603C7">
        <w:rPr>
          <w:rFonts w:eastAsia="Times New Roman"/>
          <w:sz w:val="24"/>
          <w:szCs w:val="24"/>
        </w:rPr>
        <w:t>—</w:t>
      </w:r>
    </w:p>
    <w:p w14:paraId="1BB05B7E" w14:textId="77777777" w:rsidR="00E11A4F" w:rsidRPr="00E603C7" w:rsidRDefault="00A62A7C" w:rsidP="00E75E34">
      <w:pPr>
        <w:shd w:val="clear" w:color="auto" w:fill="FFFFFF"/>
        <w:spacing w:before="60" w:after="60"/>
        <w:ind w:left="576" w:hanging="288"/>
        <w:rPr>
          <w:sz w:val="24"/>
          <w:szCs w:val="24"/>
        </w:rPr>
      </w:pPr>
      <w:r w:rsidRPr="00E603C7">
        <w:rPr>
          <w:sz w:val="24"/>
          <w:szCs w:val="24"/>
        </w:rPr>
        <w:t>(a)</w:t>
      </w:r>
      <w:r w:rsidR="00905920" w:rsidRPr="00E603C7">
        <w:rPr>
          <w:sz w:val="24"/>
          <w:szCs w:val="24"/>
        </w:rPr>
        <w:t xml:space="preserve"> </w:t>
      </w:r>
      <w:r w:rsidRPr="00E603C7">
        <w:rPr>
          <w:sz w:val="24"/>
          <w:szCs w:val="24"/>
        </w:rPr>
        <w:t xml:space="preserve">by omitting from sub-section (1) </w:t>
      </w:r>
      <w:r w:rsidR="00905920" w:rsidRPr="00E603C7">
        <w:rPr>
          <w:sz w:val="24"/>
          <w:szCs w:val="24"/>
        </w:rPr>
        <w:t>“</w:t>
      </w:r>
      <w:r w:rsidRPr="00E603C7">
        <w:rPr>
          <w:sz w:val="24"/>
          <w:szCs w:val="24"/>
        </w:rPr>
        <w:t>Australia</w:t>
      </w:r>
      <w:r w:rsidR="00905920" w:rsidRPr="00E603C7">
        <w:rPr>
          <w:sz w:val="24"/>
          <w:szCs w:val="24"/>
        </w:rPr>
        <w:t>”</w:t>
      </w:r>
      <w:r w:rsidRPr="00E603C7">
        <w:rPr>
          <w:sz w:val="24"/>
          <w:szCs w:val="24"/>
        </w:rPr>
        <w:t xml:space="preserve"> and substituting </w:t>
      </w:r>
      <w:r w:rsidR="00905920" w:rsidRPr="00E603C7">
        <w:rPr>
          <w:sz w:val="24"/>
          <w:szCs w:val="24"/>
        </w:rPr>
        <w:t>“</w:t>
      </w:r>
      <w:r w:rsidRPr="00E603C7">
        <w:rPr>
          <w:sz w:val="24"/>
          <w:szCs w:val="24"/>
        </w:rPr>
        <w:t>the Commonwealth</w:t>
      </w:r>
      <w:r w:rsidR="00905920" w:rsidRPr="00E603C7">
        <w:rPr>
          <w:sz w:val="24"/>
          <w:szCs w:val="24"/>
        </w:rPr>
        <w:t>”</w:t>
      </w:r>
      <w:r w:rsidRPr="00E603C7">
        <w:rPr>
          <w:sz w:val="24"/>
          <w:szCs w:val="24"/>
        </w:rPr>
        <w:t>; and</w:t>
      </w:r>
    </w:p>
    <w:p w14:paraId="57B2AD2A" w14:textId="77777777" w:rsidR="00E11A4F" w:rsidRPr="00E603C7" w:rsidRDefault="00A62A7C" w:rsidP="00E75E34">
      <w:pPr>
        <w:shd w:val="clear" w:color="auto" w:fill="FFFFFF"/>
        <w:spacing w:before="60" w:after="60"/>
        <w:ind w:left="576" w:hanging="288"/>
        <w:rPr>
          <w:sz w:val="24"/>
          <w:szCs w:val="24"/>
        </w:rPr>
      </w:pPr>
      <w:r w:rsidRPr="00E603C7">
        <w:rPr>
          <w:sz w:val="24"/>
          <w:szCs w:val="24"/>
        </w:rPr>
        <w:t>(b)</w:t>
      </w:r>
      <w:r w:rsidR="00905920" w:rsidRPr="00E603C7">
        <w:rPr>
          <w:sz w:val="24"/>
          <w:szCs w:val="24"/>
        </w:rPr>
        <w:t xml:space="preserve"> </w:t>
      </w:r>
      <w:r w:rsidRPr="00E603C7">
        <w:rPr>
          <w:sz w:val="24"/>
          <w:szCs w:val="24"/>
        </w:rPr>
        <w:t>by adding at the end thereof the following sub-section:</w:t>
      </w:r>
    </w:p>
    <w:p w14:paraId="7CAA0D87" w14:textId="77777777" w:rsidR="00E11A4F" w:rsidRPr="00E603C7" w:rsidRDefault="00905920" w:rsidP="00E75E34">
      <w:pPr>
        <w:shd w:val="clear" w:color="auto" w:fill="FFFFFF"/>
        <w:spacing w:before="60" w:after="60"/>
        <w:ind w:left="1440" w:hanging="576"/>
        <w:rPr>
          <w:sz w:val="24"/>
          <w:szCs w:val="24"/>
        </w:rPr>
      </w:pPr>
      <w:r w:rsidRPr="00E603C7">
        <w:rPr>
          <w:sz w:val="24"/>
          <w:szCs w:val="24"/>
        </w:rPr>
        <w:t>“</w:t>
      </w:r>
      <w:r w:rsidR="00A62A7C" w:rsidRPr="00E603C7">
        <w:rPr>
          <w:sz w:val="24"/>
          <w:szCs w:val="24"/>
        </w:rPr>
        <w:t>(10) In this section</w:t>
      </w:r>
      <w:r w:rsidR="00A62A7C" w:rsidRPr="00E603C7">
        <w:rPr>
          <w:rFonts w:eastAsia="Times New Roman"/>
          <w:sz w:val="24"/>
          <w:szCs w:val="24"/>
        </w:rPr>
        <w:t>—</w:t>
      </w:r>
    </w:p>
    <w:p w14:paraId="22D5FC1D" w14:textId="77777777" w:rsidR="00E11A4F" w:rsidRPr="00E603C7" w:rsidRDefault="00905920" w:rsidP="00E75E34">
      <w:pPr>
        <w:shd w:val="clear" w:color="auto" w:fill="FFFFFF"/>
        <w:spacing w:before="60" w:after="60"/>
        <w:ind w:left="1440" w:hanging="576"/>
        <w:rPr>
          <w:sz w:val="24"/>
          <w:szCs w:val="24"/>
        </w:rPr>
      </w:pPr>
      <w:r w:rsidRPr="00E603C7">
        <w:rPr>
          <w:sz w:val="24"/>
          <w:szCs w:val="24"/>
        </w:rPr>
        <w:t>‘</w:t>
      </w:r>
      <w:r w:rsidR="00A62A7C" w:rsidRPr="00E603C7">
        <w:rPr>
          <w:sz w:val="24"/>
          <w:szCs w:val="24"/>
        </w:rPr>
        <w:t>indictable offence</w:t>
      </w:r>
      <w:r w:rsidRPr="00E603C7">
        <w:rPr>
          <w:sz w:val="24"/>
          <w:szCs w:val="24"/>
        </w:rPr>
        <w:t>’</w:t>
      </w:r>
      <w:r w:rsidR="00A62A7C" w:rsidRPr="00E603C7">
        <w:rPr>
          <w:sz w:val="24"/>
          <w:szCs w:val="24"/>
        </w:rPr>
        <w:t xml:space="preserve"> means an indictable offence against a law of the Commonwealth, and </w:t>
      </w:r>
      <w:r w:rsidRPr="00E603C7">
        <w:rPr>
          <w:sz w:val="24"/>
          <w:szCs w:val="24"/>
        </w:rPr>
        <w:t>‘</w:t>
      </w:r>
      <w:r w:rsidR="00A62A7C" w:rsidRPr="00E603C7">
        <w:rPr>
          <w:sz w:val="24"/>
          <w:szCs w:val="24"/>
        </w:rPr>
        <w:t>indictment</w:t>
      </w:r>
      <w:r w:rsidRPr="00E603C7">
        <w:rPr>
          <w:sz w:val="24"/>
          <w:szCs w:val="24"/>
        </w:rPr>
        <w:t>’</w:t>
      </w:r>
      <w:r w:rsidR="00A62A7C" w:rsidRPr="00E603C7">
        <w:rPr>
          <w:sz w:val="24"/>
          <w:szCs w:val="24"/>
        </w:rPr>
        <w:t xml:space="preserve"> shall be construed accordingly;</w:t>
      </w:r>
    </w:p>
    <w:p w14:paraId="0635B8FC" w14:textId="77777777" w:rsidR="00E11A4F" w:rsidRPr="00E603C7" w:rsidRDefault="00905920" w:rsidP="00E75E34">
      <w:pPr>
        <w:shd w:val="clear" w:color="auto" w:fill="FFFFFF"/>
        <w:spacing w:before="60" w:after="60"/>
        <w:ind w:left="1440" w:hanging="576"/>
        <w:rPr>
          <w:sz w:val="24"/>
          <w:szCs w:val="24"/>
        </w:rPr>
      </w:pPr>
      <w:r w:rsidRPr="00E603C7">
        <w:rPr>
          <w:sz w:val="24"/>
          <w:szCs w:val="24"/>
        </w:rPr>
        <w:t>‘</w:t>
      </w:r>
      <w:r w:rsidR="00A62A7C" w:rsidRPr="00E603C7">
        <w:rPr>
          <w:sz w:val="24"/>
          <w:szCs w:val="24"/>
        </w:rPr>
        <w:t>law of the Commonwealth</w:t>
      </w:r>
      <w:r w:rsidRPr="00E603C7">
        <w:rPr>
          <w:sz w:val="24"/>
          <w:szCs w:val="24"/>
        </w:rPr>
        <w:t>’</w:t>
      </w:r>
      <w:r w:rsidR="00A62A7C" w:rsidRPr="00E603C7">
        <w:rPr>
          <w:sz w:val="24"/>
          <w:szCs w:val="24"/>
        </w:rPr>
        <w:t xml:space="preserve"> does not include a law in force in the Territory under or by virtue of the </w:t>
      </w:r>
      <w:r w:rsidR="00A62A7C" w:rsidRPr="00E603C7">
        <w:rPr>
          <w:i/>
          <w:iCs/>
          <w:sz w:val="24"/>
          <w:szCs w:val="24"/>
        </w:rPr>
        <w:t xml:space="preserve">Northern Territory (Self-Government) Act </w:t>
      </w:r>
      <w:r w:rsidR="00A62A7C" w:rsidRPr="00E603C7">
        <w:rPr>
          <w:sz w:val="24"/>
          <w:szCs w:val="24"/>
        </w:rPr>
        <w:t>1978.</w:t>
      </w:r>
      <w:r w:rsidRPr="00E603C7">
        <w:rPr>
          <w:sz w:val="24"/>
          <w:szCs w:val="24"/>
        </w:rPr>
        <w:t>”</w:t>
      </w:r>
      <w:r w:rsidR="00A62A7C" w:rsidRPr="00E603C7">
        <w:rPr>
          <w:sz w:val="24"/>
          <w:szCs w:val="24"/>
        </w:rPr>
        <w:t>.</w:t>
      </w:r>
    </w:p>
    <w:bookmarkStart w:id="0" w:name="_GoBack"/>
    <w:bookmarkEnd w:id="0"/>
    <w:p w14:paraId="6D9E64E0" w14:textId="35609058" w:rsidR="00A62A7C" w:rsidRPr="00E603C7" w:rsidRDefault="00E75E34" w:rsidP="00B06073">
      <w:pPr>
        <w:shd w:val="clear" w:color="auto" w:fill="FFFFFF"/>
        <w:spacing w:before="720" w:after="120"/>
        <w:jc w:val="center"/>
        <w:rPr>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7090C881" wp14:editId="7D68E2B0">
                <wp:simplePos x="0" y="0"/>
                <wp:positionH relativeFrom="column">
                  <wp:posOffset>0</wp:posOffset>
                </wp:positionH>
                <wp:positionV relativeFrom="paragraph">
                  <wp:posOffset>204470</wp:posOffset>
                </wp:positionV>
                <wp:extent cx="619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DB2F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1pt" to="4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" strokecolor="black [3040]" strokeweight="1.5pt"/>
            </w:pict>
          </mc:Fallback>
        </mc:AlternateContent>
      </w:r>
    </w:p>
    <w:sectPr w:rsidR="00A62A7C" w:rsidRPr="00E603C7" w:rsidSect="00811B9C">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F13139" w15:done="0"/>
  <w15:commentEx w15:paraId="4E7E14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13139" w16cid:durableId="1F702318"/>
  <w16cid:commentId w16cid:paraId="4E7E145B" w16cid:durableId="1F702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3A5F9" w14:textId="77777777" w:rsidR="00C07DAA" w:rsidRDefault="00C07DAA" w:rsidP="00811B9C">
      <w:r>
        <w:separator/>
      </w:r>
    </w:p>
  </w:endnote>
  <w:endnote w:type="continuationSeparator" w:id="0">
    <w:p w14:paraId="60E388EF" w14:textId="77777777" w:rsidR="00C07DAA" w:rsidRDefault="00C07DAA" w:rsidP="0081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A5187" w14:textId="77777777" w:rsidR="00C07DAA" w:rsidRDefault="00C07DAA" w:rsidP="00811B9C">
      <w:r>
        <w:separator/>
      </w:r>
    </w:p>
  </w:footnote>
  <w:footnote w:type="continuationSeparator" w:id="0">
    <w:p w14:paraId="2446AAC7" w14:textId="77777777" w:rsidR="00C07DAA" w:rsidRDefault="00C07DAA" w:rsidP="00811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2695A" w14:textId="77777777" w:rsidR="00811B9C" w:rsidRDefault="00811B9C">
    <w:pPr>
      <w:pStyle w:val="Header"/>
    </w:pPr>
    <w:r>
      <w:rPr>
        <w:sz w:val="22"/>
        <w:szCs w:val="22"/>
      </w:rPr>
      <w:t>No. 64</w:t>
    </w:r>
    <w:r>
      <w:rPr>
        <w:sz w:val="22"/>
        <w:szCs w:val="22"/>
      </w:rPr>
      <w:tab/>
    </w:r>
    <w:r>
      <w:rPr>
        <w:i/>
        <w:iCs/>
        <w:sz w:val="22"/>
        <w:szCs w:val="22"/>
      </w:rPr>
      <w:t>Northern Territory Supreme Court Amendment (No. 2)</w:t>
    </w:r>
    <w:r>
      <w:rPr>
        <w:i/>
        <w:iCs/>
        <w:sz w:val="22"/>
        <w:szCs w:val="22"/>
      </w:rPr>
      <w:tab/>
    </w:r>
    <w:r>
      <w:rPr>
        <w:sz w:val="22"/>
        <w:szCs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7EF9D" w14:textId="77777777" w:rsidR="00811B9C" w:rsidRDefault="00811B9C">
    <w:pPr>
      <w:pStyle w:val="Header"/>
    </w:pPr>
    <w:r>
      <w:rPr>
        <w:sz w:val="22"/>
        <w:szCs w:val="22"/>
      </w:rPr>
      <w:t>1978</w:t>
    </w:r>
    <w:r>
      <w:rPr>
        <w:sz w:val="22"/>
        <w:szCs w:val="22"/>
      </w:rPr>
      <w:tab/>
    </w:r>
    <w:r>
      <w:rPr>
        <w:i/>
        <w:iCs/>
        <w:sz w:val="22"/>
        <w:szCs w:val="22"/>
      </w:rPr>
      <w:t>Northern Territory Supreme Court Amendment (No. 2)</w:t>
    </w:r>
    <w:r>
      <w:rPr>
        <w:i/>
        <w:iCs/>
        <w:sz w:val="22"/>
        <w:szCs w:val="22"/>
      </w:rPr>
      <w:tab/>
    </w:r>
    <w:r>
      <w:rPr>
        <w:sz w:val="22"/>
        <w:szCs w:val="22"/>
      </w:rPr>
      <w:t>No. 64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20"/>
    <w:rsid w:val="00325D78"/>
    <w:rsid w:val="0056404B"/>
    <w:rsid w:val="005D1895"/>
    <w:rsid w:val="00811B9C"/>
    <w:rsid w:val="00905920"/>
    <w:rsid w:val="0099534D"/>
    <w:rsid w:val="00A62A7C"/>
    <w:rsid w:val="00B06073"/>
    <w:rsid w:val="00C07DAA"/>
    <w:rsid w:val="00C33217"/>
    <w:rsid w:val="00DC3A03"/>
    <w:rsid w:val="00E11A4F"/>
    <w:rsid w:val="00E603C7"/>
    <w:rsid w:val="00E708EE"/>
    <w:rsid w:val="00E75E34"/>
    <w:rsid w:val="00F0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71C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B9C"/>
    <w:pPr>
      <w:tabs>
        <w:tab w:val="center" w:pos="4680"/>
        <w:tab w:val="right" w:pos="9360"/>
      </w:tabs>
    </w:pPr>
  </w:style>
  <w:style w:type="character" w:customStyle="1" w:styleId="HeaderChar">
    <w:name w:val="Header Char"/>
    <w:basedOn w:val="DefaultParagraphFont"/>
    <w:link w:val="Header"/>
    <w:uiPriority w:val="99"/>
    <w:rsid w:val="00811B9C"/>
    <w:rPr>
      <w:rFonts w:ascii="Times New Roman" w:hAnsi="Times New Roman" w:cs="Times New Roman"/>
      <w:sz w:val="20"/>
      <w:szCs w:val="20"/>
    </w:rPr>
  </w:style>
  <w:style w:type="paragraph" w:styleId="Footer">
    <w:name w:val="footer"/>
    <w:basedOn w:val="Normal"/>
    <w:link w:val="FooterChar"/>
    <w:uiPriority w:val="99"/>
    <w:unhideWhenUsed/>
    <w:rsid w:val="00811B9C"/>
    <w:pPr>
      <w:tabs>
        <w:tab w:val="center" w:pos="4680"/>
        <w:tab w:val="right" w:pos="9360"/>
      </w:tabs>
    </w:pPr>
  </w:style>
  <w:style w:type="character" w:customStyle="1" w:styleId="FooterChar">
    <w:name w:val="Footer Char"/>
    <w:basedOn w:val="DefaultParagraphFont"/>
    <w:link w:val="Footer"/>
    <w:uiPriority w:val="99"/>
    <w:rsid w:val="00811B9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11B9C"/>
    <w:rPr>
      <w:rFonts w:ascii="Tahoma" w:hAnsi="Tahoma" w:cs="Tahoma"/>
      <w:sz w:val="16"/>
      <w:szCs w:val="16"/>
    </w:rPr>
  </w:style>
  <w:style w:type="character" w:customStyle="1" w:styleId="BalloonTextChar">
    <w:name w:val="Balloon Text Char"/>
    <w:basedOn w:val="DefaultParagraphFont"/>
    <w:link w:val="BalloonText"/>
    <w:uiPriority w:val="99"/>
    <w:semiHidden/>
    <w:rsid w:val="00811B9C"/>
    <w:rPr>
      <w:rFonts w:ascii="Tahoma" w:hAnsi="Tahoma" w:cs="Tahoma"/>
      <w:sz w:val="16"/>
      <w:szCs w:val="16"/>
    </w:rPr>
  </w:style>
  <w:style w:type="character" w:styleId="CommentReference">
    <w:name w:val="annotation reference"/>
    <w:basedOn w:val="DefaultParagraphFont"/>
    <w:uiPriority w:val="99"/>
    <w:semiHidden/>
    <w:unhideWhenUsed/>
    <w:rsid w:val="005D1895"/>
    <w:rPr>
      <w:sz w:val="16"/>
      <w:szCs w:val="16"/>
    </w:rPr>
  </w:style>
  <w:style w:type="paragraph" w:styleId="CommentText">
    <w:name w:val="annotation text"/>
    <w:basedOn w:val="Normal"/>
    <w:link w:val="CommentTextChar"/>
    <w:uiPriority w:val="99"/>
    <w:semiHidden/>
    <w:unhideWhenUsed/>
    <w:rsid w:val="005D1895"/>
  </w:style>
  <w:style w:type="character" w:customStyle="1" w:styleId="CommentTextChar">
    <w:name w:val="Comment Text Char"/>
    <w:basedOn w:val="DefaultParagraphFont"/>
    <w:link w:val="CommentText"/>
    <w:uiPriority w:val="99"/>
    <w:semiHidden/>
    <w:rsid w:val="005D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895"/>
    <w:rPr>
      <w:b/>
      <w:bCs/>
    </w:rPr>
  </w:style>
  <w:style w:type="character" w:customStyle="1" w:styleId="CommentSubjectChar">
    <w:name w:val="Comment Subject Char"/>
    <w:basedOn w:val="CommentTextChar"/>
    <w:link w:val="CommentSubject"/>
    <w:uiPriority w:val="99"/>
    <w:semiHidden/>
    <w:rsid w:val="005D1895"/>
    <w:rPr>
      <w:rFonts w:ascii="Times New Roman" w:hAnsi="Times New Roman" w:cs="Times New Roman"/>
      <w:b/>
      <w:bCs/>
      <w:sz w:val="20"/>
      <w:szCs w:val="20"/>
    </w:rPr>
  </w:style>
  <w:style w:type="paragraph" w:styleId="Revision">
    <w:name w:val="Revision"/>
    <w:hidden/>
    <w:uiPriority w:val="99"/>
    <w:semiHidden/>
    <w:rsid w:val="00B0607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B9C"/>
    <w:pPr>
      <w:tabs>
        <w:tab w:val="center" w:pos="4680"/>
        <w:tab w:val="right" w:pos="9360"/>
      </w:tabs>
    </w:pPr>
  </w:style>
  <w:style w:type="character" w:customStyle="1" w:styleId="HeaderChar">
    <w:name w:val="Header Char"/>
    <w:basedOn w:val="DefaultParagraphFont"/>
    <w:link w:val="Header"/>
    <w:uiPriority w:val="99"/>
    <w:rsid w:val="00811B9C"/>
    <w:rPr>
      <w:rFonts w:ascii="Times New Roman" w:hAnsi="Times New Roman" w:cs="Times New Roman"/>
      <w:sz w:val="20"/>
      <w:szCs w:val="20"/>
    </w:rPr>
  </w:style>
  <w:style w:type="paragraph" w:styleId="Footer">
    <w:name w:val="footer"/>
    <w:basedOn w:val="Normal"/>
    <w:link w:val="FooterChar"/>
    <w:uiPriority w:val="99"/>
    <w:unhideWhenUsed/>
    <w:rsid w:val="00811B9C"/>
    <w:pPr>
      <w:tabs>
        <w:tab w:val="center" w:pos="4680"/>
        <w:tab w:val="right" w:pos="9360"/>
      </w:tabs>
    </w:pPr>
  </w:style>
  <w:style w:type="character" w:customStyle="1" w:styleId="FooterChar">
    <w:name w:val="Footer Char"/>
    <w:basedOn w:val="DefaultParagraphFont"/>
    <w:link w:val="Footer"/>
    <w:uiPriority w:val="99"/>
    <w:rsid w:val="00811B9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11B9C"/>
    <w:rPr>
      <w:rFonts w:ascii="Tahoma" w:hAnsi="Tahoma" w:cs="Tahoma"/>
      <w:sz w:val="16"/>
      <w:szCs w:val="16"/>
    </w:rPr>
  </w:style>
  <w:style w:type="character" w:customStyle="1" w:styleId="BalloonTextChar">
    <w:name w:val="Balloon Text Char"/>
    <w:basedOn w:val="DefaultParagraphFont"/>
    <w:link w:val="BalloonText"/>
    <w:uiPriority w:val="99"/>
    <w:semiHidden/>
    <w:rsid w:val="00811B9C"/>
    <w:rPr>
      <w:rFonts w:ascii="Tahoma" w:hAnsi="Tahoma" w:cs="Tahoma"/>
      <w:sz w:val="16"/>
      <w:szCs w:val="16"/>
    </w:rPr>
  </w:style>
  <w:style w:type="character" w:styleId="CommentReference">
    <w:name w:val="annotation reference"/>
    <w:basedOn w:val="DefaultParagraphFont"/>
    <w:uiPriority w:val="99"/>
    <w:semiHidden/>
    <w:unhideWhenUsed/>
    <w:rsid w:val="005D1895"/>
    <w:rPr>
      <w:sz w:val="16"/>
      <w:szCs w:val="16"/>
    </w:rPr>
  </w:style>
  <w:style w:type="paragraph" w:styleId="CommentText">
    <w:name w:val="annotation text"/>
    <w:basedOn w:val="Normal"/>
    <w:link w:val="CommentTextChar"/>
    <w:uiPriority w:val="99"/>
    <w:semiHidden/>
    <w:unhideWhenUsed/>
    <w:rsid w:val="005D1895"/>
  </w:style>
  <w:style w:type="character" w:customStyle="1" w:styleId="CommentTextChar">
    <w:name w:val="Comment Text Char"/>
    <w:basedOn w:val="DefaultParagraphFont"/>
    <w:link w:val="CommentText"/>
    <w:uiPriority w:val="99"/>
    <w:semiHidden/>
    <w:rsid w:val="005D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895"/>
    <w:rPr>
      <w:b/>
      <w:bCs/>
    </w:rPr>
  </w:style>
  <w:style w:type="character" w:customStyle="1" w:styleId="CommentSubjectChar">
    <w:name w:val="Comment Subject Char"/>
    <w:basedOn w:val="CommentTextChar"/>
    <w:link w:val="CommentSubject"/>
    <w:uiPriority w:val="99"/>
    <w:semiHidden/>
    <w:rsid w:val="005D1895"/>
    <w:rPr>
      <w:rFonts w:ascii="Times New Roman" w:hAnsi="Times New Roman" w:cs="Times New Roman"/>
      <w:b/>
      <w:bCs/>
      <w:sz w:val="20"/>
      <w:szCs w:val="20"/>
    </w:rPr>
  </w:style>
  <w:style w:type="paragraph" w:styleId="Revision">
    <w:name w:val="Revision"/>
    <w:hidden/>
    <w:uiPriority w:val="99"/>
    <w:semiHidden/>
    <w:rsid w:val="00B0607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2018-10-15T22:44:00Z</dcterms:created>
  <dcterms:modified xsi:type="dcterms:W3CDTF">2019-09-15T03:51:00Z</dcterms:modified>
</cp:coreProperties>
</file>