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F20915" w14:textId="77777777" w:rsidR="000E1AF4" w:rsidRPr="00AA21F0" w:rsidRDefault="000226E6" w:rsidP="00AA21F0">
      <w:pPr>
        <w:shd w:val="clear" w:color="auto" w:fill="FFFFFF"/>
        <w:ind w:left="1440" w:right="1440"/>
        <w:jc w:val="center"/>
        <w:rPr>
          <w:sz w:val="32"/>
          <w:szCs w:val="24"/>
        </w:rPr>
      </w:pPr>
      <w:r w:rsidRPr="00326A86">
        <w:rPr>
          <w:b/>
          <w:bCs/>
          <w:sz w:val="32"/>
          <w:szCs w:val="28"/>
        </w:rPr>
        <w:t xml:space="preserve">ADMINISTRATIVE </w:t>
      </w:r>
      <w:r w:rsidRPr="00AA21F0">
        <w:rPr>
          <w:b/>
          <w:bCs/>
          <w:sz w:val="32"/>
          <w:szCs w:val="28"/>
          <w:lang w:val="de-DE"/>
        </w:rPr>
        <w:t xml:space="preserve">APPEALS </w:t>
      </w:r>
      <w:r w:rsidRPr="00326A86">
        <w:rPr>
          <w:b/>
          <w:bCs/>
          <w:sz w:val="32"/>
          <w:szCs w:val="28"/>
        </w:rPr>
        <w:t xml:space="preserve">TRIBUNAL </w:t>
      </w:r>
      <w:r w:rsidRPr="00AA21F0">
        <w:rPr>
          <w:b/>
          <w:bCs/>
          <w:sz w:val="32"/>
          <w:szCs w:val="28"/>
          <w:lang w:val="de-DE"/>
        </w:rPr>
        <w:t xml:space="preserve">AMENDMENT ACT </w:t>
      </w:r>
      <w:r w:rsidRPr="00AA21F0">
        <w:rPr>
          <w:b/>
          <w:bCs/>
          <w:sz w:val="32"/>
          <w:szCs w:val="28"/>
        </w:rPr>
        <w:t>1978</w:t>
      </w:r>
    </w:p>
    <w:p w14:paraId="6F53437E" w14:textId="77777777" w:rsidR="000E1AF4" w:rsidRPr="00AA21F0" w:rsidRDefault="000226E6" w:rsidP="00AA21F0">
      <w:pPr>
        <w:shd w:val="clear" w:color="auto" w:fill="FFFFFF"/>
        <w:spacing w:before="240" w:after="240"/>
        <w:jc w:val="center"/>
        <w:rPr>
          <w:sz w:val="28"/>
          <w:szCs w:val="24"/>
        </w:rPr>
      </w:pPr>
      <w:r w:rsidRPr="00AA21F0">
        <w:rPr>
          <w:b/>
          <w:bCs/>
          <w:sz w:val="28"/>
          <w:szCs w:val="28"/>
        </w:rPr>
        <w:t>No. 65 of 1978</w:t>
      </w:r>
    </w:p>
    <w:p w14:paraId="685122F2" w14:textId="77777777" w:rsidR="000E1AF4" w:rsidRPr="00AA21F0" w:rsidRDefault="000226E6" w:rsidP="00AA21F0">
      <w:pPr>
        <w:shd w:val="clear" w:color="auto" w:fill="FFFFFF"/>
        <w:spacing w:before="360" w:after="360"/>
        <w:jc w:val="both"/>
        <w:rPr>
          <w:sz w:val="24"/>
          <w:szCs w:val="24"/>
        </w:rPr>
      </w:pPr>
      <w:r w:rsidRPr="00AA21F0">
        <w:rPr>
          <w:sz w:val="24"/>
          <w:szCs w:val="24"/>
        </w:rPr>
        <w:t xml:space="preserve">An Act to amend the </w:t>
      </w:r>
      <w:r w:rsidRPr="00AA21F0">
        <w:rPr>
          <w:i/>
          <w:iCs/>
          <w:sz w:val="24"/>
          <w:szCs w:val="24"/>
        </w:rPr>
        <w:t xml:space="preserve">Administrative Appeals Tribunal Act </w:t>
      </w:r>
      <w:r w:rsidRPr="00AA21F0">
        <w:rPr>
          <w:sz w:val="24"/>
          <w:szCs w:val="24"/>
        </w:rPr>
        <w:t>1975 for purposes related to the self-government of the Northern Territory.</w:t>
      </w:r>
    </w:p>
    <w:p w14:paraId="0BB68698" w14:textId="77777777" w:rsidR="000E1AF4" w:rsidRPr="00AA21F0" w:rsidRDefault="000226E6" w:rsidP="00AA21F0">
      <w:pPr>
        <w:shd w:val="clear" w:color="auto" w:fill="FFFFFF"/>
        <w:ind w:firstLine="288"/>
        <w:jc w:val="both"/>
        <w:rPr>
          <w:sz w:val="24"/>
          <w:szCs w:val="24"/>
        </w:rPr>
      </w:pPr>
      <w:r w:rsidRPr="00AA21F0">
        <w:rPr>
          <w:sz w:val="24"/>
          <w:szCs w:val="24"/>
        </w:rPr>
        <w:t>BE IT ENACTED by the Queen, and the Senate and House of Representatives of the Commonwealth of Australia, as follows:</w:t>
      </w:r>
    </w:p>
    <w:p w14:paraId="74561F2D" w14:textId="77777777" w:rsidR="000E1AF4" w:rsidRPr="00AA21F0" w:rsidRDefault="000226E6" w:rsidP="00AA21F0">
      <w:pPr>
        <w:shd w:val="clear" w:color="auto" w:fill="FFFFFF"/>
        <w:spacing w:before="120" w:after="60"/>
        <w:jc w:val="both"/>
        <w:rPr>
          <w:b/>
        </w:rPr>
      </w:pPr>
      <w:r w:rsidRPr="00AA21F0">
        <w:rPr>
          <w:b/>
        </w:rPr>
        <w:t>Short title, &amp;c.</w:t>
      </w:r>
    </w:p>
    <w:p w14:paraId="26F6F6C3" w14:textId="495ADF64" w:rsidR="000E1AF4" w:rsidRPr="00AA21F0" w:rsidRDefault="000226E6" w:rsidP="00AA21F0">
      <w:pPr>
        <w:shd w:val="clear" w:color="auto" w:fill="FFFFFF"/>
        <w:spacing w:before="60" w:after="60"/>
        <w:ind w:firstLine="288"/>
        <w:jc w:val="both"/>
        <w:rPr>
          <w:sz w:val="24"/>
          <w:szCs w:val="24"/>
        </w:rPr>
      </w:pPr>
      <w:r w:rsidRPr="00AA21F0">
        <w:rPr>
          <w:b/>
          <w:sz w:val="24"/>
          <w:szCs w:val="24"/>
        </w:rPr>
        <w:t>1</w:t>
      </w:r>
      <w:r w:rsidRPr="00AA21F0">
        <w:rPr>
          <w:sz w:val="24"/>
          <w:szCs w:val="24"/>
        </w:rPr>
        <w:t>.</w:t>
      </w:r>
      <w:r w:rsidR="00326A86">
        <w:rPr>
          <w:sz w:val="24"/>
          <w:szCs w:val="24"/>
        </w:rPr>
        <w:t xml:space="preserve"> </w:t>
      </w:r>
      <w:r w:rsidRPr="00AA21F0">
        <w:rPr>
          <w:sz w:val="24"/>
          <w:szCs w:val="24"/>
        </w:rPr>
        <w:t xml:space="preserve">(1) This Act may be cited as the </w:t>
      </w:r>
      <w:r w:rsidRPr="00AA21F0">
        <w:rPr>
          <w:i/>
          <w:iCs/>
          <w:sz w:val="24"/>
          <w:szCs w:val="24"/>
        </w:rPr>
        <w:t xml:space="preserve">Administrative Appeals Tribunal Amendment Act </w:t>
      </w:r>
      <w:r w:rsidRPr="00AA21F0">
        <w:rPr>
          <w:sz w:val="24"/>
          <w:szCs w:val="24"/>
        </w:rPr>
        <w:t>1978.</w:t>
      </w:r>
    </w:p>
    <w:p w14:paraId="6B656297" w14:textId="3E38DA4B" w:rsidR="000E1AF4" w:rsidRPr="00AA21F0" w:rsidRDefault="000226E6" w:rsidP="00AA21F0">
      <w:pPr>
        <w:shd w:val="clear" w:color="auto" w:fill="FFFFFF"/>
        <w:spacing w:before="60" w:after="60"/>
        <w:ind w:firstLine="288"/>
        <w:jc w:val="both"/>
        <w:rPr>
          <w:sz w:val="24"/>
          <w:szCs w:val="24"/>
        </w:rPr>
      </w:pPr>
      <w:r w:rsidRPr="00AA21F0">
        <w:rPr>
          <w:sz w:val="24"/>
          <w:szCs w:val="24"/>
        </w:rPr>
        <w:t xml:space="preserve">(2) The </w:t>
      </w:r>
      <w:r w:rsidRPr="00AA21F0">
        <w:rPr>
          <w:i/>
          <w:iCs/>
          <w:sz w:val="24"/>
          <w:szCs w:val="24"/>
        </w:rPr>
        <w:t xml:space="preserve">Administrative Appeals Tribunal Act </w:t>
      </w:r>
      <w:r w:rsidRPr="00AA21F0">
        <w:rPr>
          <w:sz w:val="24"/>
          <w:szCs w:val="24"/>
        </w:rPr>
        <w:t>1975 is in this Act referred to as the Principal Act.</w:t>
      </w:r>
    </w:p>
    <w:p w14:paraId="2B842D33" w14:textId="77777777" w:rsidR="000E1AF4" w:rsidRPr="00AA21F0" w:rsidRDefault="000226E6" w:rsidP="00AA21F0">
      <w:pPr>
        <w:shd w:val="clear" w:color="auto" w:fill="FFFFFF"/>
        <w:spacing w:before="120" w:after="60"/>
        <w:jc w:val="both"/>
        <w:rPr>
          <w:b/>
        </w:rPr>
      </w:pPr>
      <w:r w:rsidRPr="00AA21F0">
        <w:rPr>
          <w:b/>
        </w:rPr>
        <w:t>Commencement</w:t>
      </w:r>
    </w:p>
    <w:p w14:paraId="08C6B833" w14:textId="77777777" w:rsidR="000E1AF4" w:rsidRPr="00AA21F0" w:rsidRDefault="000226E6" w:rsidP="00AA21F0">
      <w:pPr>
        <w:shd w:val="clear" w:color="auto" w:fill="FFFFFF"/>
        <w:spacing w:before="60" w:after="60"/>
        <w:ind w:firstLine="288"/>
        <w:jc w:val="both"/>
        <w:rPr>
          <w:sz w:val="24"/>
          <w:szCs w:val="24"/>
        </w:rPr>
      </w:pPr>
      <w:r w:rsidRPr="00AA21F0">
        <w:rPr>
          <w:b/>
          <w:sz w:val="24"/>
          <w:szCs w:val="24"/>
        </w:rPr>
        <w:t>2.</w:t>
      </w:r>
      <w:r w:rsidRPr="00AA21F0">
        <w:rPr>
          <w:sz w:val="24"/>
          <w:szCs w:val="24"/>
        </w:rPr>
        <w:t xml:space="preserve"> This Act shall come into operation on 1 July 1978.</w:t>
      </w:r>
    </w:p>
    <w:p w14:paraId="4A95389F" w14:textId="77777777" w:rsidR="000E1AF4" w:rsidRPr="00AA21F0" w:rsidRDefault="000226E6" w:rsidP="00AA21F0">
      <w:pPr>
        <w:shd w:val="clear" w:color="auto" w:fill="FFFFFF"/>
        <w:spacing w:before="120" w:after="60"/>
        <w:jc w:val="both"/>
        <w:rPr>
          <w:b/>
        </w:rPr>
      </w:pPr>
      <w:r w:rsidRPr="00AA21F0">
        <w:rPr>
          <w:b/>
        </w:rPr>
        <w:t>interpretation</w:t>
      </w:r>
    </w:p>
    <w:p w14:paraId="59A9F929" w14:textId="77777777" w:rsidR="000E1AF4" w:rsidRPr="00AA21F0" w:rsidRDefault="000226E6" w:rsidP="00AA21F0">
      <w:pPr>
        <w:shd w:val="clear" w:color="auto" w:fill="FFFFFF"/>
        <w:spacing w:before="60" w:after="60"/>
        <w:ind w:firstLine="288"/>
        <w:jc w:val="both"/>
        <w:rPr>
          <w:sz w:val="24"/>
          <w:szCs w:val="24"/>
        </w:rPr>
      </w:pPr>
      <w:r w:rsidRPr="00AA21F0">
        <w:rPr>
          <w:b/>
          <w:sz w:val="24"/>
          <w:szCs w:val="24"/>
        </w:rPr>
        <w:t>3.</w:t>
      </w:r>
      <w:r w:rsidRPr="00AA21F0">
        <w:rPr>
          <w:sz w:val="24"/>
          <w:szCs w:val="24"/>
        </w:rPr>
        <w:t xml:space="preserve"> Section 3 of the Principal Act is amended by inserting in paragraph (b) of the definition of </w:t>
      </w:r>
      <w:r w:rsidR="00051E3B" w:rsidRPr="00AA21F0">
        <w:rPr>
          <w:sz w:val="24"/>
          <w:szCs w:val="24"/>
        </w:rPr>
        <w:t>“</w:t>
      </w:r>
      <w:r w:rsidRPr="00AA21F0">
        <w:rPr>
          <w:sz w:val="24"/>
          <w:szCs w:val="24"/>
        </w:rPr>
        <w:t>enactment</w:t>
      </w:r>
      <w:r w:rsidR="00051E3B" w:rsidRPr="00AA21F0">
        <w:rPr>
          <w:sz w:val="24"/>
          <w:szCs w:val="24"/>
        </w:rPr>
        <w:t>”</w:t>
      </w:r>
      <w:r w:rsidRPr="00AA21F0">
        <w:rPr>
          <w:sz w:val="24"/>
          <w:szCs w:val="24"/>
        </w:rPr>
        <w:t xml:space="preserve"> in sub-section (1) </w:t>
      </w:r>
      <w:r w:rsidR="00051E3B" w:rsidRPr="00AA21F0">
        <w:rPr>
          <w:sz w:val="24"/>
          <w:szCs w:val="24"/>
        </w:rPr>
        <w:t>“</w:t>
      </w:r>
      <w:r w:rsidRPr="00AA21F0">
        <w:rPr>
          <w:sz w:val="24"/>
          <w:szCs w:val="24"/>
        </w:rPr>
        <w:t>other than the Northern Territory</w:t>
      </w:r>
      <w:r w:rsidR="00051E3B" w:rsidRPr="00AA21F0">
        <w:rPr>
          <w:sz w:val="24"/>
          <w:szCs w:val="24"/>
        </w:rPr>
        <w:t>”</w:t>
      </w:r>
      <w:r w:rsidRPr="00AA21F0">
        <w:rPr>
          <w:sz w:val="24"/>
          <w:szCs w:val="24"/>
        </w:rPr>
        <w:t xml:space="preserve"> after </w:t>
      </w:r>
      <w:r w:rsidR="00051E3B" w:rsidRPr="00AA21F0">
        <w:rPr>
          <w:sz w:val="24"/>
          <w:szCs w:val="24"/>
        </w:rPr>
        <w:t>“</w:t>
      </w:r>
      <w:r w:rsidRPr="00AA21F0">
        <w:rPr>
          <w:sz w:val="24"/>
          <w:szCs w:val="24"/>
        </w:rPr>
        <w:t>Territory</w:t>
      </w:r>
      <w:r w:rsidR="00051E3B" w:rsidRPr="00AA21F0">
        <w:rPr>
          <w:sz w:val="24"/>
          <w:szCs w:val="24"/>
        </w:rPr>
        <w:t>”</w:t>
      </w:r>
      <w:r w:rsidRPr="00AA21F0">
        <w:rPr>
          <w:sz w:val="24"/>
          <w:szCs w:val="24"/>
        </w:rPr>
        <w:t>.</w:t>
      </w:r>
    </w:p>
    <w:p w14:paraId="68C88C15" w14:textId="77777777" w:rsidR="000E1AF4" w:rsidRPr="00AA21F0" w:rsidRDefault="000226E6" w:rsidP="00AA21F0">
      <w:pPr>
        <w:shd w:val="clear" w:color="auto" w:fill="FFFFFF"/>
        <w:spacing w:before="120" w:after="60"/>
        <w:jc w:val="both"/>
        <w:rPr>
          <w:b/>
        </w:rPr>
      </w:pPr>
      <w:r w:rsidRPr="00AA21F0">
        <w:rPr>
          <w:b/>
        </w:rPr>
        <w:t>Tribunal may review certain decisions</w:t>
      </w:r>
    </w:p>
    <w:p w14:paraId="70B2FAEF" w14:textId="77777777" w:rsidR="000E1AF4" w:rsidRPr="00AA21F0" w:rsidRDefault="000226E6" w:rsidP="00AA21F0">
      <w:pPr>
        <w:shd w:val="clear" w:color="auto" w:fill="FFFFFF"/>
        <w:spacing w:before="60" w:after="60"/>
        <w:ind w:firstLine="288"/>
        <w:jc w:val="both"/>
        <w:rPr>
          <w:sz w:val="24"/>
          <w:szCs w:val="24"/>
        </w:rPr>
      </w:pPr>
      <w:r w:rsidRPr="00AA21F0">
        <w:rPr>
          <w:b/>
          <w:sz w:val="24"/>
          <w:szCs w:val="24"/>
        </w:rPr>
        <w:t>4.</w:t>
      </w:r>
      <w:r w:rsidRPr="00AA21F0">
        <w:rPr>
          <w:sz w:val="24"/>
          <w:szCs w:val="24"/>
        </w:rPr>
        <w:t xml:space="preserve"> Section 25 of the Principal Act is amended</w:t>
      </w:r>
      <w:r w:rsidRPr="00AA21F0">
        <w:rPr>
          <w:rFonts w:eastAsia="Times New Roman"/>
          <w:sz w:val="24"/>
          <w:szCs w:val="24"/>
        </w:rPr>
        <w:t>—</w:t>
      </w:r>
    </w:p>
    <w:p w14:paraId="1D51A5F4" w14:textId="2460A839" w:rsidR="000E1AF4" w:rsidRPr="00AA21F0" w:rsidRDefault="000226E6" w:rsidP="00AA21F0">
      <w:pPr>
        <w:shd w:val="clear" w:color="auto" w:fill="FFFFFF"/>
        <w:spacing w:before="60" w:after="60"/>
        <w:ind w:left="576" w:hanging="288"/>
        <w:rPr>
          <w:sz w:val="24"/>
          <w:szCs w:val="24"/>
        </w:rPr>
      </w:pPr>
      <w:r w:rsidRPr="00AA21F0">
        <w:rPr>
          <w:sz w:val="24"/>
          <w:szCs w:val="24"/>
        </w:rPr>
        <w:t>(a)</w:t>
      </w:r>
      <w:r w:rsidR="00051E3B" w:rsidRPr="00AA21F0">
        <w:rPr>
          <w:sz w:val="24"/>
          <w:szCs w:val="24"/>
        </w:rPr>
        <w:t xml:space="preserve"> </w:t>
      </w:r>
      <w:r w:rsidRPr="00AA21F0">
        <w:rPr>
          <w:sz w:val="24"/>
          <w:szCs w:val="24"/>
        </w:rPr>
        <w:t xml:space="preserve">by inserting in sub-section (2) </w:t>
      </w:r>
      <w:r w:rsidR="00051E3B" w:rsidRPr="00AA21F0">
        <w:rPr>
          <w:sz w:val="24"/>
          <w:szCs w:val="24"/>
        </w:rPr>
        <w:t>“</w:t>
      </w:r>
      <w:r w:rsidRPr="00AA21F0">
        <w:rPr>
          <w:sz w:val="24"/>
          <w:szCs w:val="24"/>
        </w:rPr>
        <w:t>,</w:t>
      </w:r>
      <w:r w:rsidR="00813710">
        <w:rPr>
          <w:sz w:val="24"/>
          <w:szCs w:val="24"/>
        </w:rPr>
        <w:t xml:space="preserve"> </w:t>
      </w:r>
      <w:r w:rsidRPr="00AA21F0">
        <w:rPr>
          <w:sz w:val="24"/>
          <w:szCs w:val="24"/>
        </w:rPr>
        <w:t>other than the Northern Territory</w:t>
      </w:r>
      <w:r w:rsidR="00051E3B" w:rsidRPr="00AA21F0">
        <w:rPr>
          <w:sz w:val="24"/>
          <w:szCs w:val="24"/>
        </w:rPr>
        <w:t>”</w:t>
      </w:r>
      <w:r w:rsidRPr="00AA21F0">
        <w:rPr>
          <w:sz w:val="24"/>
          <w:szCs w:val="24"/>
        </w:rPr>
        <w:t xml:space="preserve"> after </w:t>
      </w:r>
      <w:r w:rsidR="00051E3B" w:rsidRPr="00AA21F0">
        <w:rPr>
          <w:sz w:val="24"/>
          <w:szCs w:val="24"/>
        </w:rPr>
        <w:t>“</w:t>
      </w:r>
      <w:r w:rsidRPr="00AA21F0">
        <w:rPr>
          <w:sz w:val="24"/>
          <w:szCs w:val="24"/>
        </w:rPr>
        <w:t>Territory</w:t>
      </w:r>
      <w:r w:rsidR="00051E3B" w:rsidRPr="00AA21F0">
        <w:rPr>
          <w:sz w:val="24"/>
          <w:szCs w:val="24"/>
        </w:rPr>
        <w:t>”</w:t>
      </w:r>
      <w:r w:rsidRPr="00AA21F0">
        <w:rPr>
          <w:sz w:val="24"/>
          <w:szCs w:val="24"/>
        </w:rPr>
        <w:t>; and</w:t>
      </w:r>
    </w:p>
    <w:p w14:paraId="60583052" w14:textId="77777777" w:rsidR="000E1AF4" w:rsidRPr="00AA21F0" w:rsidRDefault="000226E6" w:rsidP="00AA21F0">
      <w:pPr>
        <w:shd w:val="clear" w:color="auto" w:fill="FFFFFF"/>
        <w:spacing w:before="60" w:after="60"/>
        <w:ind w:left="576" w:hanging="288"/>
        <w:rPr>
          <w:sz w:val="24"/>
          <w:szCs w:val="24"/>
        </w:rPr>
      </w:pPr>
      <w:r w:rsidRPr="00AA21F0">
        <w:rPr>
          <w:sz w:val="24"/>
          <w:szCs w:val="24"/>
        </w:rPr>
        <w:t>(b)</w:t>
      </w:r>
      <w:r w:rsidR="00051E3B" w:rsidRPr="00AA21F0">
        <w:rPr>
          <w:sz w:val="24"/>
          <w:szCs w:val="24"/>
        </w:rPr>
        <w:t xml:space="preserve"> </w:t>
      </w:r>
      <w:r w:rsidRPr="00AA21F0">
        <w:rPr>
          <w:sz w:val="24"/>
          <w:szCs w:val="24"/>
        </w:rPr>
        <w:t>by adding at the end thereof the following sub-sections:</w:t>
      </w:r>
    </w:p>
    <w:p w14:paraId="324299D9" w14:textId="77777777" w:rsidR="000E1AF4" w:rsidRPr="00AA21F0" w:rsidRDefault="00051E3B" w:rsidP="00AA21F0">
      <w:pPr>
        <w:shd w:val="clear" w:color="auto" w:fill="FFFFFF"/>
        <w:spacing w:before="60" w:after="60"/>
        <w:ind w:left="576" w:firstLine="288"/>
        <w:jc w:val="both"/>
        <w:rPr>
          <w:sz w:val="24"/>
          <w:szCs w:val="24"/>
        </w:rPr>
      </w:pPr>
      <w:r w:rsidRPr="00AA21F0">
        <w:rPr>
          <w:sz w:val="24"/>
          <w:szCs w:val="24"/>
        </w:rPr>
        <w:t>“</w:t>
      </w:r>
      <w:r w:rsidR="000226E6" w:rsidRPr="00AA21F0">
        <w:rPr>
          <w:sz w:val="24"/>
          <w:szCs w:val="24"/>
        </w:rPr>
        <w:t>(8) The regulations may provide that applications may be made to the Tribunal for review of decisions made in the exercise of powers conferred by a Northern Territory enactment.</w:t>
      </w:r>
    </w:p>
    <w:p w14:paraId="4014EE6D" w14:textId="18D4F828" w:rsidR="000E1AF4" w:rsidRPr="00AA21F0" w:rsidRDefault="00051E3B" w:rsidP="00AA21F0">
      <w:pPr>
        <w:shd w:val="clear" w:color="auto" w:fill="FFFFFF"/>
        <w:spacing w:before="60" w:after="60"/>
        <w:ind w:left="576" w:firstLine="288"/>
        <w:jc w:val="both"/>
        <w:rPr>
          <w:sz w:val="24"/>
          <w:szCs w:val="24"/>
        </w:rPr>
      </w:pPr>
      <w:r w:rsidRPr="00AA21F0">
        <w:rPr>
          <w:sz w:val="24"/>
          <w:szCs w:val="24"/>
        </w:rPr>
        <w:t>“</w:t>
      </w:r>
      <w:r w:rsidR="000226E6" w:rsidRPr="00AA21F0">
        <w:rPr>
          <w:sz w:val="24"/>
          <w:szCs w:val="24"/>
        </w:rPr>
        <w:t>(9) The provisions of sub-sections (3), (3</w:t>
      </w:r>
      <w:r w:rsidR="00813710">
        <w:rPr>
          <w:smallCaps/>
          <w:sz w:val="24"/>
          <w:szCs w:val="24"/>
        </w:rPr>
        <w:t>a</w:t>
      </w:r>
      <w:r w:rsidR="000226E6" w:rsidRPr="00AA21F0">
        <w:rPr>
          <w:sz w:val="24"/>
          <w:szCs w:val="24"/>
        </w:rPr>
        <w:t xml:space="preserve">), (4), (6) and </w:t>
      </w:r>
      <w:r w:rsidR="000226E6" w:rsidRPr="00AA21F0">
        <w:rPr>
          <w:smallCaps/>
          <w:sz w:val="24"/>
          <w:szCs w:val="24"/>
        </w:rPr>
        <w:t xml:space="preserve">(6a) </w:t>
      </w:r>
      <w:r w:rsidR="000226E6" w:rsidRPr="00AA21F0">
        <w:rPr>
          <w:sz w:val="24"/>
          <w:szCs w:val="24"/>
        </w:rPr>
        <w:t>apply in relation to regulations made for the purposes of sub-section (8) in like manner as they apply in relation to an enactment.</w:t>
      </w:r>
    </w:p>
    <w:p w14:paraId="7E0BA835" w14:textId="77777777" w:rsidR="000E1AF4" w:rsidRPr="00AA21F0" w:rsidRDefault="00051E3B" w:rsidP="00AA21F0">
      <w:pPr>
        <w:shd w:val="clear" w:color="auto" w:fill="FFFFFF"/>
        <w:spacing w:before="60" w:after="60"/>
        <w:ind w:left="576" w:firstLine="288"/>
        <w:jc w:val="both"/>
        <w:rPr>
          <w:sz w:val="24"/>
          <w:szCs w:val="24"/>
        </w:rPr>
      </w:pPr>
      <w:r w:rsidRPr="00AA21F0">
        <w:rPr>
          <w:sz w:val="24"/>
          <w:szCs w:val="24"/>
        </w:rPr>
        <w:t>“</w:t>
      </w:r>
      <w:r w:rsidR="000226E6" w:rsidRPr="00AA21F0">
        <w:rPr>
          <w:sz w:val="24"/>
          <w:szCs w:val="24"/>
        </w:rPr>
        <w:t>(10) The reference in sub-section (5) to an enactment shall be read as including a reference to a Northern Territory enactment in relation to which regulations have been made for the purposes of this section.</w:t>
      </w:r>
    </w:p>
    <w:p w14:paraId="2040E694" w14:textId="77777777" w:rsidR="000E1AF4" w:rsidRPr="00AA21F0" w:rsidRDefault="00051E3B" w:rsidP="00AA21F0">
      <w:pPr>
        <w:shd w:val="clear" w:color="auto" w:fill="FFFFFF"/>
        <w:spacing w:before="60" w:after="60"/>
        <w:ind w:left="576" w:firstLine="288"/>
        <w:jc w:val="both"/>
        <w:rPr>
          <w:sz w:val="24"/>
          <w:szCs w:val="24"/>
        </w:rPr>
      </w:pPr>
      <w:r w:rsidRPr="00AA21F0">
        <w:rPr>
          <w:sz w:val="24"/>
          <w:szCs w:val="24"/>
        </w:rPr>
        <w:t>“</w:t>
      </w:r>
      <w:r w:rsidR="000226E6" w:rsidRPr="00AA21F0">
        <w:rPr>
          <w:sz w:val="24"/>
          <w:szCs w:val="24"/>
        </w:rPr>
        <w:t>(11) Regulations made for the purposes of this section in relation to a Northern Territory enactment have effect notwithstanding anything contained in that enactment or in any other law of the Northern Territory.</w:t>
      </w:r>
    </w:p>
    <w:p w14:paraId="00EBF9D5" w14:textId="1CDCEF5A" w:rsidR="000E1AF4" w:rsidRPr="00AA21F0" w:rsidRDefault="00051E3B" w:rsidP="00813710">
      <w:pPr>
        <w:shd w:val="clear" w:color="auto" w:fill="FFFFFF"/>
        <w:spacing w:before="60" w:after="60"/>
        <w:ind w:left="576" w:firstLine="288"/>
        <w:jc w:val="both"/>
        <w:rPr>
          <w:sz w:val="24"/>
          <w:szCs w:val="24"/>
        </w:rPr>
      </w:pPr>
      <w:r w:rsidRPr="00AA21F0">
        <w:rPr>
          <w:sz w:val="24"/>
          <w:szCs w:val="24"/>
        </w:rPr>
        <w:t>“</w:t>
      </w:r>
      <w:r w:rsidR="000226E6" w:rsidRPr="00AA21F0">
        <w:rPr>
          <w:sz w:val="24"/>
          <w:szCs w:val="24"/>
        </w:rPr>
        <w:t xml:space="preserve">(12) In this section, </w:t>
      </w:r>
      <w:r w:rsidRPr="00AA21F0">
        <w:rPr>
          <w:sz w:val="24"/>
          <w:szCs w:val="24"/>
        </w:rPr>
        <w:t>‘</w:t>
      </w:r>
      <w:r w:rsidR="000226E6" w:rsidRPr="00AA21F0">
        <w:rPr>
          <w:sz w:val="24"/>
          <w:szCs w:val="24"/>
        </w:rPr>
        <w:t>Northern Territory enactment</w:t>
      </w:r>
      <w:r w:rsidRPr="00AA21F0">
        <w:rPr>
          <w:sz w:val="24"/>
          <w:szCs w:val="24"/>
        </w:rPr>
        <w:t>’</w:t>
      </w:r>
      <w:r w:rsidR="000226E6" w:rsidRPr="00AA21F0">
        <w:rPr>
          <w:sz w:val="24"/>
          <w:szCs w:val="24"/>
        </w:rPr>
        <w:t xml:space="preserve"> means a law, or part of a law, of the Northern Territory, other than a law, or part of a law, relating to matters in respect o</w:t>
      </w:r>
      <w:r w:rsidR="000226E6" w:rsidRPr="00AA21F0">
        <w:rPr>
          <w:sz w:val="24"/>
          <w:szCs w:val="24"/>
          <w:lang w:val="de-DE"/>
        </w:rPr>
        <w:t xml:space="preserve">f </w:t>
      </w:r>
      <w:r w:rsidR="000226E6" w:rsidRPr="00AA21F0">
        <w:rPr>
          <w:sz w:val="24"/>
          <w:szCs w:val="24"/>
        </w:rPr>
        <w:t>which the</w:t>
      </w:r>
      <w:r w:rsidR="00813710">
        <w:rPr>
          <w:sz w:val="24"/>
          <w:szCs w:val="24"/>
        </w:rPr>
        <w:t xml:space="preserve"> </w:t>
      </w:r>
      <w:r w:rsidR="000226E6" w:rsidRPr="00AA21F0">
        <w:rPr>
          <w:sz w:val="24"/>
          <w:szCs w:val="24"/>
          <w:lang w:val="de-DE"/>
        </w:rPr>
        <w:t xml:space="preserve">Ministers </w:t>
      </w:r>
      <w:r w:rsidR="000226E6" w:rsidRPr="00AA21F0">
        <w:rPr>
          <w:sz w:val="24"/>
          <w:szCs w:val="24"/>
        </w:rPr>
        <w:t xml:space="preserve">of the Territory have executive authority under the </w:t>
      </w:r>
      <w:r w:rsidR="000226E6" w:rsidRPr="00AA21F0">
        <w:rPr>
          <w:i/>
          <w:iCs/>
          <w:sz w:val="24"/>
          <w:szCs w:val="24"/>
        </w:rPr>
        <w:t xml:space="preserve">Northern Territory (Self-Government) Act </w:t>
      </w:r>
      <w:r w:rsidR="000226E6" w:rsidRPr="00AA21F0">
        <w:rPr>
          <w:sz w:val="24"/>
          <w:szCs w:val="24"/>
        </w:rPr>
        <w:t>1978.</w:t>
      </w:r>
      <w:r w:rsidRPr="00AA21F0">
        <w:rPr>
          <w:sz w:val="24"/>
          <w:szCs w:val="24"/>
        </w:rPr>
        <w:t>”</w:t>
      </w:r>
      <w:r w:rsidR="000226E6" w:rsidRPr="00AA21F0">
        <w:rPr>
          <w:sz w:val="24"/>
          <w:szCs w:val="24"/>
        </w:rPr>
        <w:t>.</w:t>
      </w:r>
    </w:p>
    <w:p w14:paraId="77DC193F" w14:textId="59653937" w:rsidR="000E1AF4" w:rsidRPr="00813710" w:rsidRDefault="000226E6" w:rsidP="00813710">
      <w:pPr>
        <w:shd w:val="clear" w:color="auto" w:fill="FFFFFF"/>
        <w:spacing w:before="120" w:after="60"/>
        <w:jc w:val="both"/>
        <w:rPr>
          <w:b/>
        </w:rPr>
      </w:pPr>
      <w:r w:rsidRPr="00813710">
        <w:rPr>
          <w:b/>
        </w:rPr>
        <w:t>Review by Tribunal</w:t>
      </w:r>
    </w:p>
    <w:p w14:paraId="51C180EB" w14:textId="77777777" w:rsidR="000E1AF4" w:rsidRPr="00AA21F0" w:rsidRDefault="000226E6" w:rsidP="00EC4BEC">
      <w:pPr>
        <w:shd w:val="clear" w:color="auto" w:fill="FFFFFF"/>
        <w:spacing w:before="60" w:after="60"/>
        <w:ind w:firstLine="288"/>
        <w:jc w:val="both"/>
        <w:rPr>
          <w:sz w:val="24"/>
          <w:szCs w:val="24"/>
        </w:rPr>
      </w:pPr>
      <w:r w:rsidRPr="00EC4BEC">
        <w:rPr>
          <w:b/>
          <w:sz w:val="24"/>
          <w:szCs w:val="24"/>
        </w:rPr>
        <w:t>5.</w:t>
      </w:r>
      <w:r w:rsidRPr="00AA21F0">
        <w:rPr>
          <w:sz w:val="24"/>
          <w:szCs w:val="24"/>
        </w:rPr>
        <w:t xml:space="preserve"> Section 43 of the Principal Act is amended by adding at the end thereof the following sub-section:</w:t>
      </w:r>
    </w:p>
    <w:p w14:paraId="077BA67E" w14:textId="77777777" w:rsidR="000E1AF4" w:rsidRPr="00AA21F0" w:rsidRDefault="00051E3B" w:rsidP="00EC4BEC">
      <w:pPr>
        <w:shd w:val="clear" w:color="auto" w:fill="FFFFFF"/>
        <w:spacing w:before="60" w:after="60"/>
        <w:ind w:firstLine="288"/>
        <w:jc w:val="both"/>
        <w:rPr>
          <w:sz w:val="24"/>
          <w:szCs w:val="24"/>
        </w:rPr>
      </w:pPr>
      <w:r w:rsidRPr="00AA21F0">
        <w:rPr>
          <w:sz w:val="24"/>
          <w:szCs w:val="24"/>
        </w:rPr>
        <w:t>“</w:t>
      </w:r>
      <w:r w:rsidR="000226E6" w:rsidRPr="00AA21F0">
        <w:rPr>
          <w:sz w:val="24"/>
          <w:szCs w:val="24"/>
        </w:rPr>
        <w:t xml:space="preserve">(7) In this section </w:t>
      </w:r>
      <w:r w:rsidRPr="00AA21F0">
        <w:rPr>
          <w:sz w:val="24"/>
          <w:szCs w:val="24"/>
        </w:rPr>
        <w:t>‘</w:t>
      </w:r>
      <w:r w:rsidR="000226E6" w:rsidRPr="00AA21F0">
        <w:rPr>
          <w:sz w:val="24"/>
          <w:szCs w:val="24"/>
        </w:rPr>
        <w:t>enactment</w:t>
      </w:r>
      <w:r w:rsidRPr="00AA21F0">
        <w:rPr>
          <w:sz w:val="24"/>
          <w:szCs w:val="24"/>
        </w:rPr>
        <w:t>’</w:t>
      </w:r>
      <w:r w:rsidR="000226E6" w:rsidRPr="00AA21F0">
        <w:rPr>
          <w:sz w:val="24"/>
          <w:szCs w:val="24"/>
        </w:rPr>
        <w:t xml:space="preserve"> includes a law of the Northern Territory in relation to which regulations have been made for the purposes of section 25.</w:t>
      </w:r>
      <w:r w:rsidRPr="00AA21F0">
        <w:rPr>
          <w:sz w:val="24"/>
          <w:szCs w:val="24"/>
        </w:rPr>
        <w:t>”</w:t>
      </w:r>
      <w:r w:rsidR="000226E6" w:rsidRPr="00AA21F0">
        <w:rPr>
          <w:sz w:val="24"/>
          <w:szCs w:val="24"/>
        </w:rPr>
        <w:t>.</w:t>
      </w:r>
    </w:p>
    <w:p w14:paraId="2DAEF190" w14:textId="3298F0AE" w:rsidR="000E1AF4" w:rsidRPr="00813710" w:rsidRDefault="000226E6" w:rsidP="00813710">
      <w:pPr>
        <w:shd w:val="clear" w:color="auto" w:fill="FFFFFF"/>
        <w:spacing w:before="120" w:after="60"/>
        <w:jc w:val="both"/>
        <w:rPr>
          <w:b/>
        </w:rPr>
      </w:pPr>
      <w:r w:rsidRPr="00813710">
        <w:rPr>
          <w:b/>
        </w:rPr>
        <w:t>Saving</w:t>
      </w:r>
    </w:p>
    <w:p w14:paraId="2B75E739" w14:textId="77777777" w:rsidR="000E1AF4" w:rsidRPr="00AA21F0" w:rsidRDefault="000226E6" w:rsidP="00EC4BEC">
      <w:pPr>
        <w:shd w:val="clear" w:color="auto" w:fill="FFFFFF"/>
        <w:spacing w:before="60" w:after="60"/>
        <w:ind w:firstLine="288"/>
        <w:jc w:val="both"/>
        <w:rPr>
          <w:sz w:val="24"/>
          <w:szCs w:val="24"/>
        </w:rPr>
      </w:pPr>
      <w:r w:rsidRPr="00EC4BEC">
        <w:rPr>
          <w:b/>
          <w:sz w:val="24"/>
          <w:szCs w:val="24"/>
        </w:rPr>
        <w:t>6.</w:t>
      </w:r>
      <w:r w:rsidRPr="00AA21F0">
        <w:rPr>
          <w:sz w:val="24"/>
          <w:szCs w:val="24"/>
        </w:rPr>
        <w:t xml:space="preserve"> A provision of an Ordinance of the Northern Territory, being a provision made under section 25 of the Principal Act and in force immediately before the date of commencement of this Act, has effect on and after that date as if the Principal Act had not been amended by this Act.</w:t>
      </w:r>
    </w:p>
    <w:bookmarkStart w:id="0" w:name="_GoBack"/>
    <w:bookmarkEnd w:id="0"/>
    <w:p w14:paraId="438B456D" w14:textId="473E0072" w:rsidR="000226E6" w:rsidRPr="00AA21F0" w:rsidRDefault="00DC489B" w:rsidP="00813710">
      <w:pPr>
        <w:shd w:val="clear" w:color="auto" w:fill="FFFFFF"/>
        <w:spacing w:before="600" w:after="120"/>
        <w:jc w:val="center"/>
        <w:rPr>
          <w:sz w:val="24"/>
          <w:szCs w:val="24"/>
        </w:rPr>
      </w:pPr>
      <w:r>
        <w:rPr>
          <w:b/>
          <w:bCs/>
          <w:noProof/>
          <w:sz w:val="24"/>
          <w:lang w:val="en-AU" w:eastAsia="en-AU"/>
        </w:rPr>
        <mc:AlternateContent>
          <mc:Choice Requires="wps">
            <w:drawing>
              <wp:anchor distT="0" distB="0" distL="114300" distR="114300" simplePos="0" relativeHeight="251659264" behindDoc="0" locked="0" layoutInCell="1" allowOverlap="1" wp14:anchorId="50F34262" wp14:editId="1F469700">
                <wp:simplePos x="0" y="0"/>
                <wp:positionH relativeFrom="column">
                  <wp:posOffset>-15950</wp:posOffset>
                </wp:positionH>
                <wp:positionV relativeFrom="paragraph">
                  <wp:posOffset>177387</wp:posOffset>
                </wp:positionV>
                <wp:extent cx="6156251" cy="0"/>
                <wp:effectExtent l="0" t="0" r="16510" b="19050"/>
                <wp:wrapNone/>
                <wp:docPr id="1" name="Straight Connector 1"/>
                <wp:cNvGraphicFramePr/>
                <a:graphic xmlns:a="http://schemas.openxmlformats.org/drawingml/2006/main">
                  <a:graphicData uri="http://schemas.microsoft.com/office/word/2010/wordprocessingShape">
                    <wps:wsp>
                      <wps:cNvCnPr/>
                      <wps:spPr>
                        <a:xfrm>
                          <a:off x="0" y="0"/>
                          <a:ext cx="6156251"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329BB65"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25pt,13.95pt" to="48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" strokecolor="black [3040]" strokeweight="1.5pt"/>
            </w:pict>
          </mc:Fallback>
        </mc:AlternateContent>
      </w:r>
    </w:p>
    <w:sectPr w:rsidR="000226E6" w:rsidRPr="00AA21F0" w:rsidSect="00DF7B79">
      <w:headerReference w:type="default" r:id="rId8"/>
      <w:pgSz w:w="11909" w:h="18000"/>
      <w:pgMar w:top="1080" w:right="1080" w:bottom="1080" w:left="1080" w:header="720" w:footer="720" w:gutter="0"/>
      <w:cols w:space="720"/>
      <w:noEndnote/>
      <w:titlePg/>
      <w:docGrid w:linePitch="27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15128F" w15:done="0"/>
  <w15:commentEx w15:paraId="67FEBE42" w15:done="0"/>
  <w15:commentEx w15:paraId="77CA1600" w15:done="0"/>
  <w15:commentEx w15:paraId="1A19200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15128F" w16cid:durableId="1F70239F"/>
  <w16cid:commentId w16cid:paraId="67FEBE42" w16cid:durableId="1F7023AB"/>
  <w16cid:commentId w16cid:paraId="77CA1600" w16cid:durableId="1F7023BC"/>
  <w16cid:commentId w16cid:paraId="1A192000" w16cid:durableId="1F7023C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E9FA41" w14:textId="77777777" w:rsidR="00DB3C98" w:rsidRDefault="00DB3C98" w:rsidP="00DF7B79">
      <w:r>
        <w:separator/>
      </w:r>
    </w:p>
  </w:endnote>
  <w:endnote w:type="continuationSeparator" w:id="0">
    <w:p w14:paraId="0CEAFC83" w14:textId="77777777" w:rsidR="00DB3C98" w:rsidRDefault="00DB3C98" w:rsidP="00DF7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E9AD3F" w14:textId="77777777" w:rsidR="00DB3C98" w:rsidRDefault="00DB3C98" w:rsidP="00DF7B79">
      <w:r>
        <w:separator/>
      </w:r>
    </w:p>
  </w:footnote>
  <w:footnote w:type="continuationSeparator" w:id="0">
    <w:p w14:paraId="61C241F6" w14:textId="77777777" w:rsidR="00DB3C98" w:rsidRDefault="00DB3C98" w:rsidP="00DF7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73933E" w14:textId="77777777" w:rsidR="00DF7B79" w:rsidRPr="00DF7B79" w:rsidRDefault="00DF7B79">
    <w:pPr>
      <w:pStyle w:val="Header"/>
      <w:rPr>
        <w:sz w:val="22"/>
      </w:rPr>
    </w:pPr>
    <w:r w:rsidRPr="00DF7B79">
      <w:rPr>
        <w:bCs/>
        <w:sz w:val="22"/>
        <w:szCs w:val="22"/>
      </w:rPr>
      <w:t>1978</w:t>
    </w:r>
    <w:r w:rsidRPr="00DF7B79">
      <w:rPr>
        <w:i/>
        <w:iCs/>
        <w:sz w:val="22"/>
      </w:rPr>
      <w:tab/>
      <w:t>Administrative Appeals Tribunal Amendment</w:t>
    </w:r>
    <w:r w:rsidRPr="00DF7B79">
      <w:rPr>
        <w:i/>
        <w:iCs/>
        <w:sz w:val="22"/>
      </w:rPr>
      <w:tab/>
    </w:r>
    <w:r w:rsidRPr="00DF7B79">
      <w:rPr>
        <w:sz w:val="22"/>
        <w:szCs w:val="22"/>
      </w:rPr>
      <w:t xml:space="preserve">No. </w:t>
    </w:r>
    <w:r w:rsidRPr="00DF7B79">
      <w:rPr>
        <w:bCs/>
        <w:sz w:val="22"/>
        <w:szCs w:val="22"/>
      </w:rPr>
      <w:t>65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avid">
    <w15:presenceInfo w15:providerId="None" w15:userId="Dav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E3B"/>
    <w:rsid w:val="000226E6"/>
    <w:rsid w:val="00051E3B"/>
    <w:rsid w:val="00067BEE"/>
    <w:rsid w:val="000E1AF4"/>
    <w:rsid w:val="00166C2A"/>
    <w:rsid w:val="00326A86"/>
    <w:rsid w:val="007B5933"/>
    <w:rsid w:val="00813710"/>
    <w:rsid w:val="00AA21F0"/>
    <w:rsid w:val="00BE4456"/>
    <w:rsid w:val="00DB3C98"/>
    <w:rsid w:val="00DC489B"/>
    <w:rsid w:val="00DF7B79"/>
    <w:rsid w:val="00EC4B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2C57D8"/>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B79"/>
    <w:pPr>
      <w:tabs>
        <w:tab w:val="center" w:pos="4680"/>
        <w:tab w:val="right" w:pos="9360"/>
      </w:tabs>
    </w:pPr>
  </w:style>
  <w:style w:type="character" w:customStyle="1" w:styleId="HeaderChar">
    <w:name w:val="Header Char"/>
    <w:basedOn w:val="DefaultParagraphFont"/>
    <w:link w:val="Header"/>
    <w:uiPriority w:val="99"/>
    <w:rsid w:val="00DF7B79"/>
    <w:rPr>
      <w:rFonts w:ascii="Times New Roman" w:hAnsi="Times New Roman" w:cs="Times New Roman"/>
      <w:sz w:val="20"/>
      <w:szCs w:val="20"/>
    </w:rPr>
  </w:style>
  <w:style w:type="paragraph" w:styleId="Footer">
    <w:name w:val="footer"/>
    <w:basedOn w:val="Normal"/>
    <w:link w:val="FooterChar"/>
    <w:uiPriority w:val="99"/>
    <w:unhideWhenUsed/>
    <w:rsid w:val="00DF7B79"/>
    <w:pPr>
      <w:tabs>
        <w:tab w:val="center" w:pos="4680"/>
        <w:tab w:val="right" w:pos="9360"/>
      </w:tabs>
    </w:pPr>
  </w:style>
  <w:style w:type="character" w:customStyle="1" w:styleId="FooterChar">
    <w:name w:val="Footer Char"/>
    <w:basedOn w:val="DefaultParagraphFont"/>
    <w:link w:val="Footer"/>
    <w:uiPriority w:val="99"/>
    <w:rsid w:val="00DF7B79"/>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F7B79"/>
    <w:rPr>
      <w:rFonts w:ascii="Tahoma" w:hAnsi="Tahoma" w:cs="Tahoma"/>
      <w:sz w:val="16"/>
      <w:szCs w:val="16"/>
    </w:rPr>
  </w:style>
  <w:style w:type="character" w:customStyle="1" w:styleId="BalloonTextChar">
    <w:name w:val="Balloon Text Char"/>
    <w:basedOn w:val="DefaultParagraphFont"/>
    <w:link w:val="BalloonText"/>
    <w:uiPriority w:val="99"/>
    <w:semiHidden/>
    <w:rsid w:val="00DF7B79"/>
    <w:rPr>
      <w:rFonts w:ascii="Tahoma" w:hAnsi="Tahoma" w:cs="Tahoma"/>
      <w:sz w:val="16"/>
      <w:szCs w:val="16"/>
    </w:rPr>
  </w:style>
  <w:style w:type="character" w:styleId="CommentReference">
    <w:name w:val="annotation reference"/>
    <w:basedOn w:val="DefaultParagraphFont"/>
    <w:uiPriority w:val="99"/>
    <w:semiHidden/>
    <w:unhideWhenUsed/>
    <w:rsid w:val="00BE4456"/>
    <w:rPr>
      <w:sz w:val="16"/>
      <w:szCs w:val="16"/>
    </w:rPr>
  </w:style>
  <w:style w:type="paragraph" w:styleId="CommentText">
    <w:name w:val="annotation text"/>
    <w:basedOn w:val="Normal"/>
    <w:link w:val="CommentTextChar"/>
    <w:uiPriority w:val="99"/>
    <w:semiHidden/>
    <w:unhideWhenUsed/>
    <w:rsid w:val="00BE4456"/>
  </w:style>
  <w:style w:type="character" w:customStyle="1" w:styleId="CommentTextChar">
    <w:name w:val="Comment Text Char"/>
    <w:basedOn w:val="DefaultParagraphFont"/>
    <w:link w:val="CommentText"/>
    <w:uiPriority w:val="99"/>
    <w:semiHidden/>
    <w:rsid w:val="00BE445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4456"/>
    <w:rPr>
      <w:b/>
      <w:bCs/>
    </w:rPr>
  </w:style>
  <w:style w:type="character" w:customStyle="1" w:styleId="CommentSubjectChar">
    <w:name w:val="Comment Subject Char"/>
    <w:basedOn w:val="CommentTextChar"/>
    <w:link w:val="CommentSubject"/>
    <w:uiPriority w:val="99"/>
    <w:semiHidden/>
    <w:rsid w:val="00BE4456"/>
    <w:rPr>
      <w:rFonts w:ascii="Times New Roman" w:hAnsi="Times New Roman" w:cs="Times New Roman"/>
      <w:b/>
      <w:bCs/>
      <w:sz w:val="20"/>
      <w:szCs w:val="20"/>
    </w:rPr>
  </w:style>
  <w:style w:type="paragraph" w:styleId="Revision">
    <w:name w:val="Revision"/>
    <w:hidden/>
    <w:uiPriority w:val="99"/>
    <w:semiHidden/>
    <w:rsid w:val="00813710"/>
    <w:pPr>
      <w:spacing w:after="0" w:line="240" w:lineRule="auto"/>
    </w:pPr>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7B79"/>
    <w:pPr>
      <w:tabs>
        <w:tab w:val="center" w:pos="4680"/>
        <w:tab w:val="right" w:pos="9360"/>
      </w:tabs>
    </w:pPr>
  </w:style>
  <w:style w:type="character" w:customStyle="1" w:styleId="HeaderChar">
    <w:name w:val="Header Char"/>
    <w:basedOn w:val="DefaultParagraphFont"/>
    <w:link w:val="Header"/>
    <w:uiPriority w:val="99"/>
    <w:rsid w:val="00DF7B79"/>
    <w:rPr>
      <w:rFonts w:ascii="Times New Roman" w:hAnsi="Times New Roman" w:cs="Times New Roman"/>
      <w:sz w:val="20"/>
      <w:szCs w:val="20"/>
    </w:rPr>
  </w:style>
  <w:style w:type="paragraph" w:styleId="Footer">
    <w:name w:val="footer"/>
    <w:basedOn w:val="Normal"/>
    <w:link w:val="FooterChar"/>
    <w:uiPriority w:val="99"/>
    <w:unhideWhenUsed/>
    <w:rsid w:val="00DF7B79"/>
    <w:pPr>
      <w:tabs>
        <w:tab w:val="center" w:pos="4680"/>
        <w:tab w:val="right" w:pos="9360"/>
      </w:tabs>
    </w:pPr>
  </w:style>
  <w:style w:type="character" w:customStyle="1" w:styleId="FooterChar">
    <w:name w:val="Footer Char"/>
    <w:basedOn w:val="DefaultParagraphFont"/>
    <w:link w:val="Footer"/>
    <w:uiPriority w:val="99"/>
    <w:rsid w:val="00DF7B79"/>
    <w:rPr>
      <w:rFonts w:ascii="Times New Roman" w:hAnsi="Times New Roman" w:cs="Times New Roman"/>
      <w:sz w:val="20"/>
      <w:szCs w:val="20"/>
    </w:rPr>
  </w:style>
  <w:style w:type="paragraph" w:styleId="BalloonText">
    <w:name w:val="Balloon Text"/>
    <w:basedOn w:val="Normal"/>
    <w:link w:val="BalloonTextChar"/>
    <w:uiPriority w:val="99"/>
    <w:semiHidden/>
    <w:unhideWhenUsed/>
    <w:rsid w:val="00DF7B79"/>
    <w:rPr>
      <w:rFonts w:ascii="Tahoma" w:hAnsi="Tahoma" w:cs="Tahoma"/>
      <w:sz w:val="16"/>
      <w:szCs w:val="16"/>
    </w:rPr>
  </w:style>
  <w:style w:type="character" w:customStyle="1" w:styleId="BalloonTextChar">
    <w:name w:val="Balloon Text Char"/>
    <w:basedOn w:val="DefaultParagraphFont"/>
    <w:link w:val="BalloonText"/>
    <w:uiPriority w:val="99"/>
    <w:semiHidden/>
    <w:rsid w:val="00DF7B79"/>
    <w:rPr>
      <w:rFonts w:ascii="Tahoma" w:hAnsi="Tahoma" w:cs="Tahoma"/>
      <w:sz w:val="16"/>
      <w:szCs w:val="16"/>
    </w:rPr>
  </w:style>
  <w:style w:type="character" w:styleId="CommentReference">
    <w:name w:val="annotation reference"/>
    <w:basedOn w:val="DefaultParagraphFont"/>
    <w:uiPriority w:val="99"/>
    <w:semiHidden/>
    <w:unhideWhenUsed/>
    <w:rsid w:val="00BE4456"/>
    <w:rPr>
      <w:sz w:val="16"/>
      <w:szCs w:val="16"/>
    </w:rPr>
  </w:style>
  <w:style w:type="paragraph" w:styleId="CommentText">
    <w:name w:val="annotation text"/>
    <w:basedOn w:val="Normal"/>
    <w:link w:val="CommentTextChar"/>
    <w:uiPriority w:val="99"/>
    <w:semiHidden/>
    <w:unhideWhenUsed/>
    <w:rsid w:val="00BE4456"/>
  </w:style>
  <w:style w:type="character" w:customStyle="1" w:styleId="CommentTextChar">
    <w:name w:val="Comment Text Char"/>
    <w:basedOn w:val="DefaultParagraphFont"/>
    <w:link w:val="CommentText"/>
    <w:uiPriority w:val="99"/>
    <w:semiHidden/>
    <w:rsid w:val="00BE4456"/>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E4456"/>
    <w:rPr>
      <w:b/>
      <w:bCs/>
    </w:rPr>
  </w:style>
  <w:style w:type="character" w:customStyle="1" w:styleId="CommentSubjectChar">
    <w:name w:val="Comment Subject Char"/>
    <w:basedOn w:val="CommentTextChar"/>
    <w:link w:val="CommentSubject"/>
    <w:uiPriority w:val="99"/>
    <w:semiHidden/>
    <w:rsid w:val="00BE4456"/>
    <w:rPr>
      <w:rFonts w:ascii="Times New Roman" w:hAnsi="Times New Roman" w:cs="Times New Roman"/>
      <w:b/>
      <w:bCs/>
      <w:sz w:val="20"/>
      <w:szCs w:val="20"/>
    </w:rPr>
  </w:style>
  <w:style w:type="paragraph" w:styleId="Revision">
    <w:name w:val="Revision"/>
    <w:hidden/>
    <w:uiPriority w:val="99"/>
    <w:semiHidden/>
    <w:rsid w:val="00813710"/>
    <w:pPr>
      <w:spacing w:after="0" w:line="240" w:lineRule="auto"/>
    </w:pPr>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4545D-1A63-4DC1-A224-2A985FF43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447</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c:creator>
  <cp:lastModifiedBy>Harper, Michael</cp:lastModifiedBy>
  <cp:revision>3</cp:revision>
  <dcterms:created xsi:type="dcterms:W3CDTF">2018-10-15T22:46:00Z</dcterms:created>
  <dcterms:modified xsi:type="dcterms:W3CDTF">2019-09-15T03:51:00Z</dcterms:modified>
</cp:coreProperties>
</file>