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E8CE1" w14:textId="77777777" w:rsidR="001B77AC" w:rsidRPr="00A0228F" w:rsidRDefault="00EB5A5A" w:rsidP="00F7021A">
      <w:pPr>
        <w:shd w:val="clear" w:color="auto" w:fill="FFFFFF"/>
        <w:ind w:left="1440" w:right="1440"/>
        <w:jc w:val="center"/>
        <w:rPr>
          <w:sz w:val="32"/>
          <w:szCs w:val="24"/>
        </w:rPr>
      </w:pPr>
      <w:r w:rsidRPr="00A0228F">
        <w:rPr>
          <w:b/>
          <w:bCs/>
          <w:sz w:val="32"/>
          <w:szCs w:val="28"/>
        </w:rPr>
        <w:t>BOUNTY (BOOKS) AMENDMENT ACT 1978</w:t>
      </w:r>
    </w:p>
    <w:p w14:paraId="12DF4A84" w14:textId="77777777" w:rsidR="001B77AC" w:rsidRPr="00F7021A" w:rsidRDefault="00EB5A5A" w:rsidP="00F7021A">
      <w:pPr>
        <w:shd w:val="clear" w:color="auto" w:fill="FFFFFF"/>
        <w:spacing w:before="240" w:after="360"/>
        <w:jc w:val="center"/>
        <w:rPr>
          <w:sz w:val="28"/>
          <w:szCs w:val="24"/>
        </w:rPr>
      </w:pPr>
      <w:r w:rsidRPr="00F7021A">
        <w:rPr>
          <w:b/>
          <w:bCs/>
          <w:sz w:val="28"/>
          <w:szCs w:val="28"/>
        </w:rPr>
        <w:t>No. 109 of 1978</w:t>
      </w:r>
    </w:p>
    <w:p w14:paraId="1B3A54F7" w14:textId="77777777" w:rsidR="001B77AC" w:rsidRPr="00070A5C" w:rsidRDefault="00EB5A5A" w:rsidP="00F7021A">
      <w:pPr>
        <w:shd w:val="clear" w:color="auto" w:fill="FFFFFF"/>
        <w:jc w:val="center"/>
        <w:rPr>
          <w:sz w:val="24"/>
          <w:szCs w:val="24"/>
        </w:rPr>
      </w:pPr>
      <w:r w:rsidRPr="00070A5C">
        <w:rPr>
          <w:sz w:val="24"/>
          <w:szCs w:val="24"/>
        </w:rPr>
        <w:t xml:space="preserve">An Act to amend the </w:t>
      </w:r>
      <w:r w:rsidRPr="00070A5C">
        <w:rPr>
          <w:i/>
          <w:iCs/>
          <w:sz w:val="24"/>
          <w:szCs w:val="24"/>
        </w:rPr>
        <w:t xml:space="preserve">Book Bounty Act </w:t>
      </w:r>
      <w:r w:rsidRPr="00070A5C">
        <w:rPr>
          <w:sz w:val="24"/>
          <w:szCs w:val="24"/>
        </w:rPr>
        <w:t>1969.</w:t>
      </w:r>
    </w:p>
    <w:p w14:paraId="27DA4540" w14:textId="77777777" w:rsidR="001B77AC" w:rsidRPr="00070A5C" w:rsidRDefault="00EB5A5A" w:rsidP="00F7021A">
      <w:pPr>
        <w:shd w:val="clear" w:color="auto" w:fill="FFFFFF"/>
        <w:spacing w:before="360" w:after="240"/>
        <w:ind w:firstLine="432"/>
        <w:jc w:val="both"/>
        <w:rPr>
          <w:sz w:val="24"/>
          <w:szCs w:val="24"/>
        </w:rPr>
      </w:pPr>
      <w:r w:rsidRPr="00070A5C">
        <w:rPr>
          <w:sz w:val="24"/>
          <w:szCs w:val="24"/>
        </w:rPr>
        <w:t>BE IT ENACTED by the Queen, and the Senate and House of Representatives of the Commonwealth of Australia, as follows:</w:t>
      </w:r>
    </w:p>
    <w:p w14:paraId="7B9F6098" w14:textId="77777777" w:rsidR="001B77AC" w:rsidRPr="00F7021A" w:rsidRDefault="00EB5A5A" w:rsidP="00F7021A">
      <w:pPr>
        <w:pStyle w:val="Heading1"/>
        <w:keepNext w:val="0"/>
        <w:keepLines w:val="0"/>
        <w:spacing w:before="120" w:after="60"/>
        <w:jc w:val="both"/>
        <w:rPr>
          <w:rFonts w:ascii="Times New Roman" w:hAnsi="Times New Roman" w:cs="Times New Roman"/>
          <w:b/>
          <w:color w:val="auto"/>
          <w:sz w:val="20"/>
          <w:szCs w:val="24"/>
        </w:rPr>
      </w:pPr>
      <w:r w:rsidRPr="00F7021A">
        <w:rPr>
          <w:rFonts w:ascii="Times New Roman" w:hAnsi="Times New Roman" w:cs="Times New Roman"/>
          <w:b/>
          <w:color w:val="auto"/>
          <w:sz w:val="20"/>
          <w:szCs w:val="18"/>
        </w:rPr>
        <w:t>Short title, &amp;c.</w:t>
      </w:r>
    </w:p>
    <w:p w14:paraId="2C4997D6" w14:textId="5F39A632" w:rsidR="001B77AC" w:rsidRPr="00070A5C" w:rsidRDefault="00EB5A5A" w:rsidP="00F7021A">
      <w:pPr>
        <w:shd w:val="clear" w:color="auto" w:fill="FFFFFF"/>
        <w:spacing w:after="60"/>
        <w:ind w:firstLine="432"/>
        <w:jc w:val="both"/>
        <w:rPr>
          <w:sz w:val="24"/>
          <w:szCs w:val="24"/>
        </w:rPr>
      </w:pPr>
      <w:r w:rsidRPr="00070A5C">
        <w:rPr>
          <w:b/>
          <w:bCs/>
          <w:sz w:val="24"/>
          <w:szCs w:val="24"/>
        </w:rPr>
        <w:t>1.</w:t>
      </w:r>
      <w:r w:rsidRPr="00070A5C">
        <w:rPr>
          <w:sz w:val="24"/>
          <w:szCs w:val="24"/>
        </w:rPr>
        <w:t xml:space="preserve"> (1) This Act may be cited as the </w:t>
      </w:r>
      <w:r w:rsidRPr="00070A5C">
        <w:rPr>
          <w:i/>
          <w:iCs/>
          <w:sz w:val="24"/>
          <w:szCs w:val="24"/>
        </w:rPr>
        <w:t xml:space="preserve">Bounty (Books) Amendment Act </w:t>
      </w:r>
      <w:r w:rsidRPr="00070A5C">
        <w:rPr>
          <w:sz w:val="24"/>
          <w:szCs w:val="24"/>
        </w:rPr>
        <w:t>1978.</w:t>
      </w:r>
    </w:p>
    <w:p w14:paraId="1E52C6E2" w14:textId="77777777" w:rsidR="00BA4EC9" w:rsidRPr="00BA4EC9" w:rsidRDefault="00BA4EC9" w:rsidP="00BA4EC9">
      <w:pPr>
        <w:shd w:val="clear" w:color="auto" w:fill="FFFFFF"/>
        <w:spacing w:after="60"/>
        <w:ind w:firstLine="432"/>
        <w:jc w:val="both"/>
        <w:rPr>
          <w:b/>
          <w:bCs/>
          <w:sz w:val="2"/>
          <w:szCs w:val="2"/>
        </w:rPr>
      </w:pPr>
    </w:p>
    <w:p w14:paraId="68A49348" w14:textId="41A9B969" w:rsidR="001B77AC" w:rsidRPr="00070A5C" w:rsidRDefault="00EB5A5A" w:rsidP="00BA4EC9">
      <w:pPr>
        <w:shd w:val="clear" w:color="auto" w:fill="FFFFFF"/>
        <w:spacing w:after="60"/>
        <w:ind w:firstLine="432"/>
        <w:jc w:val="both"/>
        <w:rPr>
          <w:sz w:val="24"/>
          <w:szCs w:val="24"/>
        </w:rPr>
      </w:pPr>
      <w:r w:rsidRPr="00070A5C">
        <w:rPr>
          <w:sz w:val="24"/>
          <w:szCs w:val="24"/>
        </w:rPr>
        <w:t xml:space="preserve">(2) The </w:t>
      </w:r>
      <w:r w:rsidRPr="00070A5C">
        <w:rPr>
          <w:i/>
          <w:iCs/>
          <w:sz w:val="24"/>
          <w:szCs w:val="24"/>
        </w:rPr>
        <w:t xml:space="preserve">Book Bounty Act </w:t>
      </w:r>
      <w:r w:rsidRPr="00070A5C">
        <w:rPr>
          <w:sz w:val="24"/>
          <w:szCs w:val="24"/>
        </w:rPr>
        <w:t>1969 is in this Act referred to as the Principal Act.</w:t>
      </w:r>
    </w:p>
    <w:p w14:paraId="0CB3206E" w14:textId="77777777" w:rsidR="001B77AC" w:rsidRPr="00F7021A" w:rsidRDefault="00EB5A5A" w:rsidP="00F7021A">
      <w:pPr>
        <w:shd w:val="clear" w:color="auto" w:fill="FFFFFF"/>
        <w:spacing w:before="120" w:after="60"/>
        <w:jc w:val="both"/>
        <w:rPr>
          <w:b/>
          <w:szCs w:val="24"/>
        </w:rPr>
      </w:pPr>
      <w:r w:rsidRPr="00F7021A">
        <w:rPr>
          <w:b/>
          <w:szCs w:val="18"/>
        </w:rPr>
        <w:t>Commencement</w:t>
      </w:r>
    </w:p>
    <w:p w14:paraId="4EEFC552" w14:textId="273AC48B" w:rsidR="001B77AC" w:rsidRPr="00070A5C" w:rsidRDefault="00EB5A5A" w:rsidP="00F7021A">
      <w:pPr>
        <w:shd w:val="clear" w:color="auto" w:fill="FFFFFF"/>
        <w:spacing w:after="60"/>
        <w:ind w:firstLine="432"/>
        <w:jc w:val="both"/>
        <w:rPr>
          <w:sz w:val="24"/>
          <w:szCs w:val="24"/>
        </w:rPr>
      </w:pPr>
      <w:r w:rsidRPr="00070A5C">
        <w:rPr>
          <w:b/>
          <w:bCs/>
          <w:sz w:val="24"/>
          <w:szCs w:val="24"/>
        </w:rPr>
        <w:t>2.</w:t>
      </w:r>
      <w:r w:rsidRPr="00070A5C">
        <w:rPr>
          <w:sz w:val="24"/>
          <w:szCs w:val="24"/>
        </w:rPr>
        <w:t xml:space="preserve"> This Act shall come into operation on the day on which it receives the Royal Assent.</w:t>
      </w:r>
    </w:p>
    <w:p w14:paraId="5F71BED1" w14:textId="77777777" w:rsidR="00BA4EC9" w:rsidRPr="00BA4EC9" w:rsidRDefault="00BA4EC9" w:rsidP="00BA4EC9">
      <w:pPr>
        <w:shd w:val="clear" w:color="auto" w:fill="FFFFFF"/>
        <w:spacing w:after="60"/>
        <w:ind w:firstLine="432"/>
        <w:jc w:val="both"/>
        <w:rPr>
          <w:b/>
          <w:bCs/>
          <w:sz w:val="2"/>
          <w:szCs w:val="2"/>
        </w:rPr>
      </w:pPr>
    </w:p>
    <w:p w14:paraId="29B24493" w14:textId="77777777" w:rsidR="001B77AC" w:rsidRPr="00070A5C" w:rsidRDefault="00EB5A5A" w:rsidP="00F7021A">
      <w:pPr>
        <w:shd w:val="clear" w:color="auto" w:fill="FFFFFF"/>
        <w:spacing w:after="60"/>
        <w:ind w:firstLine="432"/>
        <w:jc w:val="both"/>
        <w:rPr>
          <w:sz w:val="24"/>
          <w:szCs w:val="24"/>
        </w:rPr>
      </w:pPr>
      <w:r w:rsidRPr="00070A5C">
        <w:rPr>
          <w:b/>
          <w:bCs/>
          <w:sz w:val="24"/>
          <w:szCs w:val="24"/>
        </w:rPr>
        <w:t>3.</w:t>
      </w:r>
      <w:r w:rsidRPr="00070A5C">
        <w:rPr>
          <w:sz w:val="24"/>
          <w:szCs w:val="24"/>
        </w:rPr>
        <w:t xml:space="preserve"> Section 1 of the Principal Act is repealed and the following section substituted:</w:t>
      </w:r>
    </w:p>
    <w:p w14:paraId="36FD7D6A" w14:textId="77777777" w:rsidR="001B77AC" w:rsidRPr="00F7021A" w:rsidRDefault="00EB5A5A" w:rsidP="00F7021A">
      <w:pPr>
        <w:shd w:val="clear" w:color="auto" w:fill="FFFFFF"/>
        <w:spacing w:before="120" w:after="60"/>
        <w:jc w:val="both"/>
        <w:rPr>
          <w:b/>
          <w:szCs w:val="24"/>
        </w:rPr>
      </w:pPr>
      <w:r w:rsidRPr="00F7021A">
        <w:rPr>
          <w:b/>
          <w:szCs w:val="18"/>
        </w:rPr>
        <w:t>Short title</w:t>
      </w:r>
    </w:p>
    <w:p w14:paraId="35C12652" w14:textId="77777777" w:rsidR="001B77AC" w:rsidRPr="00070A5C" w:rsidRDefault="00C950ED" w:rsidP="00F7021A">
      <w:pPr>
        <w:shd w:val="clear" w:color="auto" w:fill="FFFFFF"/>
        <w:spacing w:after="60"/>
        <w:ind w:firstLine="432"/>
        <w:jc w:val="both"/>
        <w:rPr>
          <w:sz w:val="24"/>
          <w:szCs w:val="24"/>
        </w:rPr>
      </w:pPr>
      <w:r w:rsidRPr="00070A5C">
        <w:rPr>
          <w:sz w:val="24"/>
          <w:szCs w:val="24"/>
        </w:rPr>
        <w:t>“</w:t>
      </w:r>
      <w:r w:rsidR="00EB5A5A" w:rsidRPr="00070A5C">
        <w:rPr>
          <w:sz w:val="24"/>
          <w:szCs w:val="24"/>
        </w:rPr>
        <w:t xml:space="preserve">1. This Act may be cited as the </w:t>
      </w:r>
      <w:r w:rsidR="00EB5A5A" w:rsidRPr="00070A5C">
        <w:rPr>
          <w:i/>
          <w:iCs/>
          <w:sz w:val="24"/>
          <w:szCs w:val="24"/>
        </w:rPr>
        <w:t xml:space="preserve">Bounty (Books) Act </w:t>
      </w:r>
      <w:r w:rsidR="00EB5A5A" w:rsidRPr="00070A5C">
        <w:rPr>
          <w:sz w:val="24"/>
          <w:szCs w:val="24"/>
        </w:rPr>
        <w:t>1969.</w:t>
      </w:r>
      <w:r w:rsidRPr="00070A5C">
        <w:rPr>
          <w:sz w:val="24"/>
          <w:szCs w:val="24"/>
        </w:rPr>
        <w:t>”</w:t>
      </w:r>
      <w:r w:rsidR="00EB5A5A" w:rsidRPr="00070A5C">
        <w:rPr>
          <w:sz w:val="24"/>
          <w:szCs w:val="24"/>
        </w:rPr>
        <w:t>.</w:t>
      </w:r>
    </w:p>
    <w:p w14:paraId="4DE7F752" w14:textId="77777777" w:rsidR="001B77AC" w:rsidRPr="00F7021A" w:rsidRDefault="00EB5A5A" w:rsidP="00F7021A">
      <w:pPr>
        <w:shd w:val="clear" w:color="auto" w:fill="FFFFFF"/>
        <w:spacing w:before="120" w:after="60"/>
        <w:jc w:val="both"/>
        <w:rPr>
          <w:b/>
          <w:szCs w:val="24"/>
        </w:rPr>
      </w:pPr>
      <w:r w:rsidRPr="00F7021A">
        <w:rPr>
          <w:b/>
          <w:szCs w:val="18"/>
        </w:rPr>
        <w:t>Interpretation</w:t>
      </w:r>
    </w:p>
    <w:p w14:paraId="5707F555" w14:textId="77777777" w:rsidR="001B77AC" w:rsidRPr="00070A5C" w:rsidRDefault="00EB5A5A" w:rsidP="00F7021A">
      <w:pPr>
        <w:shd w:val="clear" w:color="auto" w:fill="FFFFFF"/>
        <w:spacing w:after="60"/>
        <w:ind w:firstLine="432"/>
        <w:jc w:val="both"/>
        <w:rPr>
          <w:sz w:val="24"/>
          <w:szCs w:val="24"/>
        </w:rPr>
      </w:pPr>
      <w:r w:rsidRPr="00070A5C">
        <w:rPr>
          <w:b/>
          <w:bCs/>
          <w:sz w:val="24"/>
          <w:szCs w:val="24"/>
        </w:rPr>
        <w:t>4.</w:t>
      </w:r>
      <w:r w:rsidR="00C950ED" w:rsidRPr="00070A5C">
        <w:rPr>
          <w:sz w:val="24"/>
          <w:szCs w:val="24"/>
        </w:rPr>
        <w:t xml:space="preserve"> </w:t>
      </w:r>
      <w:r w:rsidRPr="00070A5C">
        <w:rPr>
          <w:sz w:val="24"/>
          <w:szCs w:val="24"/>
        </w:rPr>
        <w:t xml:space="preserve">Section 3 of the Principal Act is amended by omitting </w:t>
      </w:r>
      <w:r w:rsidR="00C950ED" w:rsidRPr="00070A5C">
        <w:rPr>
          <w:sz w:val="24"/>
          <w:szCs w:val="24"/>
        </w:rPr>
        <w:t>“</w:t>
      </w:r>
      <w:r w:rsidRPr="00070A5C">
        <w:rPr>
          <w:sz w:val="24"/>
          <w:szCs w:val="24"/>
        </w:rPr>
        <w:t>31 December 1978</w:t>
      </w:r>
      <w:r w:rsidR="00C950ED" w:rsidRPr="00070A5C">
        <w:rPr>
          <w:sz w:val="24"/>
          <w:szCs w:val="24"/>
        </w:rPr>
        <w:t>”</w:t>
      </w:r>
      <w:r w:rsidRPr="00070A5C">
        <w:rPr>
          <w:sz w:val="24"/>
          <w:szCs w:val="24"/>
        </w:rPr>
        <w:t xml:space="preserve"> from the definition of </w:t>
      </w:r>
      <w:r w:rsidR="00C950ED" w:rsidRPr="00070A5C">
        <w:rPr>
          <w:sz w:val="24"/>
          <w:szCs w:val="24"/>
        </w:rPr>
        <w:t>“</w:t>
      </w:r>
      <w:r w:rsidRPr="00070A5C">
        <w:rPr>
          <w:sz w:val="24"/>
          <w:szCs w:val="24"/>
        </w:rPr>
        <w:t>the period to which this Act applies</w:t>
      </w:r>
      <w:r w:rsidR="00C950ED" w:rsidRPr="00070A5C">
        <w:rPr>
          <w:sz w:val="24"/>
          <w:szCs w:val="24"/>
        </w:rPr>
        <w:t>”</w:t>
      </w:r>
      <w:r w:rsidRPr="00070A5C">
        <w:rPr>
          <w:sz w:val="24"/>
          <w:szCs w:val="24"/>
        </w:rPr>
        <w:t xml:space="preserve"> in sub-section (1) and substituting </w:t>
      </w:r>
      <w:r w:rsidR="00C950ED" w:rsidRPr="00070A5C">
        <w:rPr>
          <w:sz w:val="24"/>
          <w:szCs w:val="24"/>
        </w:rPr>
        <w:t>“</w:t>
      </w:r>
      <w:r w:rsidRPr="00070A5C">
        <w:rPr>
          <w:sz w:val="24"/>
          <w:szCs w:val="24"/>
        </w:rPr>
        <w:t>31 December 1979</w:t>
      </w:r>
      <w:r w:rsidR="00C950ED" w:rsidRPr="00070A5C">
        <w:rPr>
          <w:sz w:val="24"/>
          <w:szCs w:val="24"/>
        </w:rPr>
        <w:t>”</w:t>
      </w:r>
      <w:r w:rsidRPr="00070A5C">
        <w:rPr>
          <w:sz w:val="24"/>
          <w:szCs w:val="24"/>
        </w:rPr>
        <w:t>.</w:t>
      </w:r>
    </w:p>
    <w:p w14:paraId="675B90F9" w14:textId="77777777" w:rsidR="00BA4EC9" w:rsidRPr="00BA4EC9" w:rsidRDefault="00BA4EC9" w:rsidP="00F7021A">
      <w:pPr>
        <w:shd w:val="clear" w:color="auto" w:fill="FFFFFF"/>
        <w:spacing w:after="60"/>
        <w:ind w:firstLine="432"/>
        <w:jc w:val="both"/>
        <w:rPr>
          <w:b/>
          <w:bCs/>
          <w:sz w:val="2"/>
          <w:szCs w:val="2"/>
        </w:rPr>
      </w:pPr>
    </w:p>
    <w:p w14:paraId="3ED58B28" w14:textId="77777777" w:rsidR="001B77AC" w:rsidRPr="00070A5C" w:rsidRDefault="00EB5A5A" w:rsidP="00F7021A">
      <w:pPr>
        <w:shd w:val="clear" w:color="auto" w:fill="FFFFFF"/>
        <w:spacing w:after="60"/>
        <w:ind w:firstLine="432"/>
        <w:jc w:val="both"/>
        <w:rPr>
          <w:sz w:val="24"/>
          <w:szCs w:val="24"/>
        </w:rPr>
      </w:pPr>
      <w:r w:rsidRPr="00070A5C">
        <w:rPr>
          <w:b/>
          <w:bCs/>
          <w:sz w:val="24"/>
          <w:szCs w:val="24"/>
        </w:rPr>
        <w:t>5.</w:t>
      </w:r>
      <w:r w:rsidR="00C950ED" w:rsidRPr="00070A5C">
        <w:rPr>
          <w:sz w:val="24"/>
          <w:szCs w:val="24"/>
        </w:rPr>
        <w:t xml:space="preserve"> </w:t>
      </w:r>
      <w:r w:rsidRPr="00070A5C">
        <w:rPr>
          <w:sz w:val="24"/>
          <w:szCs w:val="24"/>
        </w:rPr>
        <w:t>After section 4 of the Principal Act the following section is inserted:</w:t>
      </w:r>
    </w:p>
    <w:p w14:paraId="21484A2F" w14:textId="77777777" w:rsidR="001B77AC" w:rsidRPr="00F7021A" w:rsidRDefault="00EB5A5A" w:rsidP="00F7021A">
      <w:pPr>
        <w:shd w:val="clear" w:color="auto" w:fill="FFFFFF"/>
        <w:spacing w:before="120" w:after="60"/>
        <w:jc w:val="both"/>
        <w:rPr>
          <w:b/>
          <w:szCs w:val="24"/>
        </w:rPr>
      </w:pPr>
      <w:r w:rsidRPr="00F7021A">
        <w:rPr>
          <w:b/>
          <w:szCs w:val="18"/>
        </w:rPr>
        <w:t>Uniformity</w:t>
      </w:r>
    </w:p>
    <w:p w14:paraId="6D52BFF1" w14:textId="77777777" w:rsidR="001B77AC" w:rsidRPr="00070A5C" w:rsidRDefault="00C950ED" w:rsidP="00F7021A">
      <w:pPr>
        <w:shd w:val="clear" w:color="auto" w:fill="FFFFFF"/>
        <w:spacing w:after="60"/>
        <w:ind w:firstLine="432"/>
        <w:jc w:val="both"/>
        <w:rPr>
          <w:sz w:val="24"/>
          <w:szCs w:val="24"/>
        </w:rPr>
      </w:pPr>
      <w:r w:rsidRPr="00070A5C">
        <w:rPr>
          <w:smallCaps/>
          <w:sz w:val="24"/>
          <w:szCs w:val="24"/>
        </w:rPr>
        <w:t>“</w:t>
      </w:r>
      <w:r w:rsidR="00EB5A5A" w:rsidRPr="00070A5C">
        <w:rPr>
          <w:smallCaps/>
          <w:sz w:val="24"/>
          <w:szCs w:val="24"/>
        </w:rPr>
        <w:t xml:space="preserve">4a. </w:t>
      </w:r>
      <w:r w:rsidR="00EB5A5A" w:rsidRPr="00070A5C">
        <w:rPr>
          <w:sz w:val="24"/>
          <w:szCs w:val="24"/>
        </w:rPr>
        <w:t>A power conferred on the Governor-General, the Minister or the Comptroller-General by this Act shall not be exercised in such a manner that bounty under this Act would not be uniform throughout the Commonwealth, within the meaning of paragraph (iii) of section 51 of the Constitution.</w:t>
      </w:r>
      <w:r w:rsidRPr="00070A5C">
        <w:rPr>
          <w:sz w:val="24"/>
          <w:szCs w:val="24"/>
        </w:rPr>
        <w:t>”</w:t>
      </w:r>
      <w:r w:rsidR="00EB5A5A" w:rsidRPr="00070A5C">
        <w:rPr>
          <w:sz w:val="24"/>
          <w:szCs w:val="24"/>
        </w:rPr>
        <w:t>.</w:t>
      </w:r>
    </w:p>
    <w:p w14:paraId="1A9A7CB6" w14:textId="77777777" w:rsidR="00BA4EC9" w:rsidRPr="00BA4EC9" w:rsidRDefault="00BA4EC9" w:rsidP="00BA4EC9">
      <w:pPr>
        <w:shd w:val="clear" w:color="auto" w:fill="FFFFFF"/>
        <w:spacing w:after="60"/>
        <w:ind w:firstLine="432"/>
        <w:jc w:val="both"/>
        <w:rPr>
          <w:b/>
          <w:bCs/>
          <w:sz w:val="2"/>
          <w:szCs w:val="2"/>
        </w:rPr>
      </w:pPr>
    </w:p>
    <w:p w14:paraId="33AF04D8" w14:textId="77777777" w:rsidR="001B77AC" w:rsidRPr="00070A5C" w:rsidRDefault="00EB5A5A" w:rsidP="00F7021A">
      <w:pPr>
        <w:shd w:val="clear" w:color="auto" w:fill="FFFFFF"/>
        <w:spacing w:after="60"/>
        <w:ind w:firstLine="432"/>
        <w:jc w:val="both"/>
        <w:rPr>
          <w:sz w:val="24"/>
          <w:szCs w:val="24"/>
        </w:rPr>
      </w:pPr>
      <w:r w:rsidRPr="00070A5C">
        <w:rPr>
          <w:b/>
          <w:bCs/>
          <w:sz w:val="24"/>
          <w:szCs w:val="24"/>
        </w:rPr>
        <w:t>6.</w:t>
      </w:r>
      <w:r w:rsidRPr="00070A5C">
        <w:rPr>
          <w:sz w:val="24"/>
          <w:szCs w:val="24"/>
        </w:rPr>
        <w:t xml:space="preserve"> After section 9 of the Principal Act the following section is inserted:</w:t>
      </w:r>
    </w:p>
    <w:p w14:paraId="5C59AB2F" w14:textId="77777777" w:rsidR="001B77AC" w:rsidRPr="00F7021A" w:rsidRDefault="00EB5A5A" w:rsidP="00F7021A">
      <w:pPr>
        <w:shd w:val="clear" w:color="auto" w:fill="FFFFFF"/>
        <w:spacing w:before="120" w:after="60"/>
        <w:jc w:val="both"/>
        <w:rPr>
          <w:b/>
          <w:szCs w:val="24"/>
        </w:rPr>
      </w:pPr>
      <w:r w:rsidRPr="00F7021A">
        <w:rPr>
          <w:b/>
          <w:szCs w:val="18"/>
        </w:rPr>
        <w:t>Approval of payment of bounty</w:t>
      </w:r>
    </w:p>
    <w:p w14:paraId="7709064F" w14:textId="77777777" w:rsidR="001B77AC" w:rsidRPr="00070A5C" w:rsidRDefault="00C950ED" w:rsidP="00F7021A">
      <w:pPr>
        <w:shd w:val="clear" w:color="auto" w:fill="FFFFFF"/>
        <w:spacing w:after="60"/>
        <w:ind w:firstLine="432"/>
        <w:jc w:val="both"/>
        <w:rPr>
          <w:sz w:val="24"/>
          <w:szCs w:val="24"/>
        </w:rPr>
      </w:pPr>
      <w:r w:rsidRPr="00070A5C">
        <w:rPr>
          <w:smallCaps/>
          <w:sz w:val="24"/>
          <w:szCs w:val="24"/>
        </w:rPr>
        <w:t>“</w:t>
      </w:r>
      <w:r w:rsidR="00EB5A5A" w:rsidRPr="00070A5C">
        <w:rPr>
          <w:smallCaps/>
          <w:sz w:val="24"/>
          <w:szCs w:val="24"/>
        </w:rPr>
        <w:t xml:space="preserve">9a. </w:t>
      </w:r>
      <w:r w:rsidR="00EB5A5A" w:rsidRPr="00070A5C">
        <w:rPr>
          <w:sz w:val="24"/>
          <w:szCs w:val="24"/>
        </w:rPr>
        <w:t>Where an application for bounty in respect of a book is lodged in accordance with the regulations, the Minister shall</w:t>
      </w:r>
      <w:r w:rsidR="00EB5A5A" w:rsidRPr="00070A5C">
        <w:rPr>
          <w:rFonts w:eastAsia="Times New Roman"/>
          <w:sz w:val="24"/>
          <w:szCs w:val="24"/>
        </w:rPr>
        <w:t>—</w:t>
      </w:r>
    </w:p>
    <w:p w14:paraId="3043F58B" w14:textId="77777777" w:rsidR="001B77AC" w:rsidRPr="00070A5C" w:rsidRDefault="00EB5A5A" w:rsidP="00F7021A">
      <w:pPr>
        <w:shd w:val="clear" w:color="auto" w:fill="FFFFFF"/>
        <w:spacing w:after="60"/>
        <w:ind w:left="720" w:hanging="288"/>
        <w:jc w:val="both"/>
        <w:rPr>
          <w:sz w:val="24"/>
          <w:szCs w:val="24"/>
        </w:rPr>
      </w:pPr>
      <w:r w:rsidRPr="00070A5C">
        <w:rPr>
          <w:sz w:val="24"/>
          <w:szCs w:val="24"/>
        </w:rPr>
        <w:t>(a)</w:t>
      </w:r>
      <w:r w:rsidR="00C950ED" w:rsidRPr="00070A5C">
        <w:rPr>
          <w:sz w:val="24"/>
          <w:szCs w:val="24"/>
        </w:rPr>
        <w:t xml:space="preserve"> </w:t>
      </w:r>
      <w:r w:rsidRPr="00070A5C">
        <w:rPr>
          <w:sz w:val="24"/>
          <w:szCs w:val="24"/>
        </w:rPr>
        <w:t xml:space="preserve">if he is satisfied that bounty is payable in respect </w:t>
      </w:r>
      <w:r w:rsidRPr="00070A5C">
        <w:rPr>
          <w:sz w:val="24"/>
          <w:szCs w:val="24"/>
          <w:lang w:val="de-DE"/>
        </w:rPr>
        <w:t>of</w:t>
      </w:r>
      <w:r w:rsidRPr="00070A5C">
        <w:rPr>
          <w:sz w:val="24"/>
          <w:szCs w:val="24"/>
        </w:rPr>
        <w:t xml:space="preserve"> </w:t>
      </w:r>
      <w:r w:rsidRPr="00070A5C">
        <w:rPr>
          <w:sz w:val="24"/>
          <w:szCs w:val="24"/>
          <w:lang w:val="de-DE"/>
        </w:rPr>
        <w:t xml:space="preserve">that </w:t>
      </w:r>
      <w:r w:rsidRPr="00070A5C">
        <w:rPr>
          <w:sz w:val="24"/>
          <w:szCs w:val="24"/>
        </w:rPr>
        <w:t>book</w:t>
      </w:r>
      <w:r w:rsidRPr="00070A5C">
        <w:rPr>
          <w:rFonts w:eastAsia="Times New Roman"/>
          <w:sz w:val="24"/>
          <w:szCs w:val="24"/>
        </w:rPr>
        <w:t>—approve the payment of the bounty; or</w:t>
      </w:r>
    </w:p>
    <w:p w14:paraId="3A2F9E41" w14:textId="77777777" w:rsidR="001B77AC" w:rsidRPr="00070A5C" w:rsidRDefault="00EB5A5A" w:rsidP="00F7021A">
      <w:pPr>
        <w:shd w:val="clear" w:color="auto" w:fill="FFFFFF"/>
        <w:spacing w:after="60"/>
        <w:ind w:left="720" w:hanging="288"/>
        <w:jc w:val="both"/>
        <w:rPr>
          <w:sz w:val="24"/>
          <w:szCs w:val="24"/>
        </w:rPr>
      </w:pPr>
      <w:r w:rsidRPr="00070A5C">
        <w:rPr>
          <w:sz w:val="24"/>
          <w:szCs w:val="24"/>
        </w:rPr>
        <w:t>(b)</w:t>
      </w:r>
      <w:r w:rsidR="00C950ED" w:rsidRPr="00070A5C">
        <w:rPr>
          <w:sz w:val="24"/>
          <w:szCs w:val="24"/>
        </w:rPr>
        <w:t xml:space="preserve"> </w:t>
      </w:r>
      <w:r w:rsidRPr="00070A5C">
        <w:rPr>
          <w:sz w:val="24"/>
          <w:szCs w:val="24"/>
        </w:rPr>
        <w:t>if he is not so satisfied</w:t>
      </w:r>
      <w:r w:rsidRPr="00070A5C">
        <w:rPr>
          <w:rFonts w:eastAsia="Times New Roman"/>
          <w:sz w:val="24"/>
          <w:szCs w:val="24"/>
        </w:rPr>
        <w:t>—refuse to approve payment of the bounty.</w:t>
      </w:r>
      <w:r w:rsidR="00C950ED" w:rsidRPr="00070A5C">
        <w:rPr>
          <w:rFonts w:eastAsia="Times New Roman"/>
          <w:sz w:val="24"/>
          <w:szCs w:val="24"/>
        </w:rPr>
        <w:t>”</w:t>
      </w:r>
      <w:r w:rsidRPr="00070A5C">
        <w:rPr>
          <w:rFonts w:eastAsia="Times New Roman"/>
          <w:sz w:val="24"/>
          <w:szCs w:val="24"/>
        </w:rPr>
        <w:t>.</w:t>
      </w:r>
    </w:p>
    <w:p w14:paraId="4FD6E566" w14:textId="77777777" w:rsidR="00BA4EC9" w:rsidRPr="00BA4EC9" w:rsidRDefault="00BA4EC9" w:rsidP="00BA4EC9">
      <w:pPr>
        <w:shd w:val="clear" w:color="auto" w:fill="FFFFFF"/>
        <w:spacing w:after="60"/>
        <w:ind w:firstLine="432"/>
        <w:jc w:val="both"/>
        <w:rPr>
          <w:b/>
          <w:bCs/>
          <w:sz w:val="2"/>
          <w:szCs w:val="2"/>
        </w:rPr>
      </w:pPr>
    </w:p>
    <w:p w14:paraId="022B6655" w14:textId="77777777" w:rsidR="001B77AC" w:rsidRPr="00070A5C" w:rsidRDefault="00EB5A5A" w:rsidP="00F7021A">
      <w:pPr>
        <w:shd w:val="clear" w:color="auto" w:fill="FFFFFF"/>
        <w:spacing w:after="60"/>
        <w:ind w:firstLine="432"/>
        <w:jc w:val="both"/>
        <w:rPr>
          <w:sz w:val="24"/>
          <w:szCs w:val="24"/>
        </w:rPr>
      </w:pPr>
      <w:r w:rsidRPr="00070A5C">
        <w:rPr>
          <w:b/>
          <w:bCs/>
          <w:sz w:val="24"/>
          <w:szCs w:val="24"/>
        </w:rPr>
        <w:t>7.</w:t>
      </w:r>
      <w:r w:rsidRPr="00070A5C">
        <w:rPr>
          <w:sz w:val="24"/>
          <w:szCs w:val="24"/>
        </w:rPr>
        <w:t xml:space="preserve"> Section 16 of the Principal Act is repealed and the following section substituted:</w:t>
      </w:r>
    </w:p>
    <w:p w14:paraId="56016A0C" w14:textId="1492C258" w:rsidR="001B77AC" w:rsidRPr="00F7021A" w:rsidRDefault="00EB5A5A" w:rsidP="00F7021A">
      <w:pPr>
        <w:shd w:val="clear" w:color="auto" w:fill="FFFFFF"/>
        <w:spacing w:before="120" w:after="60"/>
        <w:jc w:val="both"/>
        <w:rPr>
          <w:b/>
          <w:szCs w:val="24"/>
        </w:rPr>
      </w:pPr>
      <w:r w:rsidRPr="00F7021A">
        <w:rPr>
          <w:b/>
          <w:szCs w:val="18"/>
        </w:rPr>
        <w:t>Securities</w:t>
      </w:r>
    </w:p>
    <w:p w14:paraId="0F4E3DC9" w14:textId="77777777" w:rsidR="001B77AC" w:rsidRPr="00070A5C" w:rsidRDefault="00C950ED" w:rsidP="00F7021A">
      <w:pPr>
        <w:shd w:val="clear" w:color="auto" w:fill="FFFFFF"/>
        <w:spacing w:after="60"/>
        <w:ind w:firstLine="432"/>
        <w:jc w:val="both"/>
        <w:rPr>
          <w:sz w:val="24"/>
          <w:szCs w:val="24"/>
        </w:rPr>
      </w:pPr>
      <w:r w:rsidRPr="00070A5C">
        <w:rPr>
          <w:sz w:val="24"/>
          <w:szCs w:val="24"/>
        </w:rPr>
        <w:t>“</w:t>
      </w:r>
      <w:r w:rsidR="00EB5A5A" w:rsidRPr="00070A5C">
        <w:rPr>
          <w:sz w:val="24"/>
          <w:szCs w:val="24"/>
        </w:rPr>
        <w:t>16. The Minister may require a manufacturer of books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the manufacturer is not entitled to bounty unless he gives security accordingly.</w:t>
      </w:r>
      <w:r w:rsidRPr="00070A5C">
        <w:rPr>
          <w:sz w:val="24"/>
          <w:szCs w:val="24"/>
        </w:rPr>
        <w:t>”</w:t>
      </w:r>
      <w:r w:rsidR="00EB5A5A" w:rsidRPr="00070A5C">
        <w:rPr>
          <w:sz w:val="24"/>
          <w:szCs w:val="24"/>
        </w:rPr>
        <w:t>.</w:t>
      </w:r>
    </w:p>
    <w:p w14:paraId="47A4EFF5" w14:textId="77777777" w:rsidR="001B77AC" w:rsidRPr="00070A5C" w:rsidRDefault="00EB5A5A" w:rsidP="00F7021A">
      <w:pPr>
        <w:shd w:val="clear" w:color="auto" w:fill="FFFFFF"/>
        <w:spacing w:after="60"/>
        <w:ind w:firstLine="432"/>
        <w:jc w:val="both"/>
        <w:rPr>
          <w:sz w:val="24"/>
          <w:szCs w:val="24"/>
        </w:rPr>
      </w:pPr>
      <w:r w:rsidRPr="00070A5C">
        <w:rPr>
          <w:b/>
          <w:bCs/>
          <w:sz w:val="24"/>
          <w:szCs w:val="24"/>
        </w:rPr>
        <w:t>8.</w:t>
      </w:r>
      <w:r w:rsidRPr="00070A5C">
        <w:rPr>
          <w:sz w:val="24"/>
          <w:szCs w:val="24"/>
        </w:rPr>
        <w:t xml:space="preserve"> After section 20 of the Principal Act the following section is inserted:</w:t>
      </w:r>
    </w:p>
    <w:p w14:paraId="1D965CBA" w14:textId="77777777" w:rsidR="001B77AC" w:rsidRPr="00F7021A" w:rsidRDefault="00EB5A5A" w:rsidP="00F7021A">
      <w:pPr>
        <w:shd w:val="clear" w:color="auto" w:fill="FFFFFF"/>
        <w:spacing w:before="120" w:after="60"/>
        <w:jc w:val="both"/>
        <w:rPr>
          <w:b/>
          <w:szCs w:val="24"/>
        </w:rPr>
      </w:pPr>
      <w:r w:rsidRPr="00F7021A">
        <w:rPr>
          <w:b/>
          <w:szCs w:val="18"/>
        </w:rPr>
        <w:t>Applications for review</w:t>
      </w:r>
    </w:p>
    <w:p w14:paraId="2C70136E" w14:textId="77777777" w:rsidR="001B77AC" w:rsidRPr="00070A5C" w:rsidRDefault="00C950ED" w:rsidP="00F7021A">
      <w:pPr>
        <w:shd w:val="clear" w:color="auto" w:fill="FFFFFF"/>
        <w:spacing w:after="60"/>
        <w:ind w:firstLine="432"/>
        <w:jc w:val="both"/>
        <w:rPr>
          <w:sz w:val="24"/>
          <w:szCs w:val="24"/>
        </w:rPr>
      </w:pPr>
      <w:r w:rsidRPr="00070A5C">
        <w:rPr>
          <w:smallCaps/>
          <w:sz w:val="24"/>
          <w:szCs w:val="24"/>
        </w:rPr>
        <w:t>“</w:t>
      </w:r>
      <w:r w:rsidR="00EB5A5A" w:rsidRPr="00070A5C">
        <w:rPr>
          <w:smallCaps/>
          <w:sz w:val="24"/>
          <w:szCs w:val="24"/>
        </w:rPr>
        <w:t xml:space="preserve">20a. </w:t>
      </w:r>
      <w:r w:rsidR="00EB5A5A" w:rsidRPr="00070A5C">
        <w:rPr>
          <w:sz w:val="24"/>
          <w:szCs w:val="24"/>
        </w:rPr>
        <w:t>Applications may be made to the Administrative Appeals Tribunal for review of</w:t>
      </w:r>
      <w:r w:rsidR="00EB5A5A" w:rsidRPr="00070A5C">
        <w:rPr>
          <w:rFonts w:eastAsia="Times New Roman"/>
          <w:sz w:val="24"/>
          <w:szCs w:val="24"/>
        </w:rPr>
        <w:t>—</w:t>
      </w:r>
    </w:p>
    <w:p w14:paraId="62A61DDA" w14:textId="206C02AA" w:rsidR="001B77AC" w:rsidRPr="00070A5C" w:rsidRDefault="00EB5A5A" w:rsidP="00F7021A">
      <w:pPr>
        <w:shd w:val="clear" w:color="auto" w:fill="FFFFFF"/>
        <w:spacing w:after="60"/>
        <w:ind w:left="720" w:hanging="288"/>
        <w:jc w:val="both"/>
        <w:rPr>
          <w:sz w:val="24"/>
          <w:szCs w:val="24"/>
        </w:rPr>
      </w:pPr>
      <w:r w:rsidRPr="00070A5C">
        <w:rPr>
          <w:sz w:val="24"/>
          <w:szCs w:val="24"/>
        </w:rPr>
        <w:t>(a)</w:t>
      </w:r>
      <w:r w:rsidR="00C950ED" w:rsidRPr="00070A5C">
        <w:rPr>
          <w:sz w:val="24"/>
          <w:szCs w:val="24"/>
        </w:rPr>
        <w:t xml:space="preserve"> </w:t>
      </w:r>
      <w:r w:rsidRPr="00070A5C">
        <w:rPr>
          <w:sz w:val="24"/>
          <w:szCs w:val="24"/>
        </w:rPr>
        <w:t>a direction by the Minister given under sub-section (2) of section 3</w:t>
      </w:r>
      <w:r w:rsidR="00F253F0">
        <w:rPr>
          <w:smallCaps/>
          <w:sz w:val="24"/>
          <w:szCs w:val="24"/>
        </w:rPr>
        <w:t>a</w:t>
      </w:r>
      <w:r w:rsidRPr="00070A5C">
        <w:rPr>
          <w:sz w:val="24"/>
          <w:szCs w:val="24"/>
        </w:rPr>
        <w:t>;</w:t>
      </w:r>
    </w:p>
    <w:p w14:paraId="19D42B8F" w14:textId="60C336C6" w:rsidR="001B77AC" w:rsidRPr="00070A5C" w:rsidRDefault="00EB5A5A" w:rsidP="00F7021A">
      <w:pPr>
        <w:shd w:val="clear" w:color="auto" w:fill="FFFFFF"/>
        <w:spacing w:after="60"/>
        <w:ind w:left="720" w:hanging="288"/>
        <w:jc w:val="both"/>
        <w:rPr>
          <w:sz w:val="24"/>
          <w:szCs w:val="24"/>
        </w:rPr>
      </w:pPr>
      <w:r w:rsidRPr="00070A5C">
        <w:rPr>
          <w:sz w:val="24"/>
          <w:szCs w:val="24"/>
        </w:rPr>
        <w:t>(b)</w:t>
      </w:r>
      <w:r w:rsidR="00C950ED" w:rsidRPr="00070A5C">
        <w:rPr>
          <w:sz w:val="24"/>
          <w:szCs w:val="24"/>
        </w:rPr>
        <w:t xml:space="preserve"> </w:t>
      </w:r>
      <w:r w:rsidRPr="00070A5C">
        <w:rPr>
          <w:sz w:val="24"/>
          <w:szCs w:val="24"/>
        </w:rPr>
        <w:t>a determination by the Minister made for the purposes of sub</w:t>
      </w:r>
      <w:r w:rsidR="00F253F0">
        <w:rPr>
          <w:sz w:val="24"/>
          <w:szCs w:val="24"/>
        </w:rPr>
        <w:t>-</w:t>
      </w:r>
      <w:r w:rsidRPr="00070A5C">
        <w:rPr>
          <w:sz w:val="24"/>
          <w:szCs w:val="24"/>
        </w:rPr>
        <w:t>section (2) of section 4;</w:t>
      </w:r>
    </w:p>
    <w:p w14:paraId="7B97CDFC" w14:textId="656EC697" w:rsidR="001B77AC" w:rsidRPr="00070A5C" w:rsidRDefault="00EB5A5A" w:rsidP="00F7021A">
      <w:pPr>
        <w:shd w:val="clear" w:color="auto" w:fill="FFFFFF"/>
        <w:spacing w:after="60"/>
        <w:ind w:left="720" w:hanging="288"/>
        <w:jc w:val="both"/>
        <w:rPr>
          <w:sz w:val="24"/>
          <w:szCs w:val="24"/>
        </w:rPr>
      </w:pPr>
      <w:r w:rsidRPr="00070A5C">
        <w:rPr>
          <w:sz w:val="24"/>
          <w:szCs w:val="24"/>
        </w:rPr>
        <w:t>(c)</w:t>
      </w:r>
      <w:r w:rsidR="00C950ED" w:rsidRPr="00070A5C">
        <w:rPr>
          <w:sz w:val="24"/>
          <w:szCs w:val="24"/>
        </w:rPr>
        <w:t xml:space="preserve"> </w:t>
      </w:r>
      <w:r w:rsidRPr="00070A5C">
        <w:rPr>
          <w:sz w:val="24"/>
          <w:szCs w:val="24"/>
        </w:rPr>
        <w:t>a determination by the Minister made for the purposes of sub</w:t>
      </w:r>
      <w:r w:rsidR="00F253F0">
        <w:rPr>
          <w:sz w:val="24"/>
          <w:szCs w:val="24"/>
        </w:rPr>
        <w:t>-</w:t>
      </w:r>
      <w:r w:rsidRPr="00070A5C">
        <w:rPr>
          <w:sz w:val="24"/>
          <w:szCs w:val="24"/>
        </w:rPr>
        <w:t>section (3) of section 4;</w:t>
      </w:r>
    </w:p>
    <w:p w14:paraId="09C62FDD" w14:textId="77777777" w:rsidR="001B77AC" w:rsidRPr="00070A5C" w:rsidRDefault="00EB5A5A" w:rsidP="00F7021A">
      <w:pPr>
        <w:shd w:val="clear" w:color="auto" w:fill="FFFFFF"/>
        <w:spacing w:after="60"/>
        <w:ind w:left="720" w:hanging="288"/>
        <w:jc w:val="both"/>
        <w:rPr>
          <w:sz w:val="24"/>
          <w:szCs w:val="24"/>
        </w:rPr>
      </w:pPr>
      <w:r w:rsidRPr="00070A5C">
        <w:rPr>
          <w:sz w:val="24"/>
          <w:szCs w:val="24"/>
        </w:rPr>
        <w:t>(d)</w:t>
      </w:r>
      <w:r w:rsidR="00C950ED" w:rsidRPr="00070A5C">
        <w:rPr>
          <w:sz w:val="24"/>
          <w:szCs w:val="24"/>
        </w:rPr>
        <w:t xml:space="preserve"> </w:t>
      </w:r>
      <w:r w:rsidRPr="00070A5C">
        <w:rPr>
          <w:sz w:val="24"/>
          <w:szCs w:val="24"/>
        </w:rPr>
        <w:t>a decision of the Minister under section 9;</w:t>
      </w:r>
    </w:p>
    <w:p w14:paraId="6B489B6D" w14:textId="77777777" w:rsidR="00F253F0" w:rsidRDefault="00F253F0">
      <w:pPr>
        <w:widowControl/>
        <w:autoSpaceDE/>
        <w:autoSpaceDN/>
        <w:adjustRightInd/>
        <w:spacing w:after="200" w:line="276" w:lineRule="auto"/>
        <w:rPr>
          <w:sz w:val="24"/>
          <w:szCs w:val="24"/>
        </w:rPr>
      </w:pPr>
      <w:r>
        <w:rPr>
          <w:sz w:val="24"/>
          <w:szCs w:val="24"/>
        </w:rPr>
        <w:br w:type="page"/>
      </w:r>
    </w:p>
    <w:p w14:paraId="1326F9BE" w14:textId="58951B63" w:rsidR="001B77AC" w:rsidRPr="00070A5C" w:rsidRDefault="00EB5A5A" w:rsidP="00F7021A">
      <w:pPr>
        <w:shd w:val="clear" w:color="auto" w:fill="FFFFFF"/>
        <w:spacing w:after="60"/>
        <w:ind w:left="720" w:hanging="288"/>
        <w:jc w:val="both"/>
        <w:rPr>
          <w:sz w:val="24"/>
          <w:szCs w:val="24"/>
        </w:rPr>
      </w:pPr>
      <w:r w:rsidRPr="00070A5C">
        <w:rPr>
          <w:sz w:val="24"/>
          <w:szCs w:val="24"/>
        </w:rPr>
        <w:lastRenderedPageBreak/>
        <w:t>(e)</w:t>
      </w:r>
      <w:r w:rsidR="00C950ED" w:rsidRPr="00070A5C">
        <w:rPr>
          <w:sz w:val="24"/>
          <w:szCs w:val="24"/>
        </w:rPr>
        <w:t xml:space="preserve"> </w:t>
      </w:r>
      <w:r w:rsidRPr="00070A5C">
        <w:rPr>
          <w:sz w:val="24"/>
          <w:szCs w:val="24"/>
        </w:rPr>
        <w:t xml:space="preserve">an approval of the Minister given under section </w:t>
      </w:r>
      <w:r w:rsidRPr="00070A5C">
        <w:rPr>
          <w:smallCaps/>
          <w:sz w:val="24"/>
          <w:szCs w:val="24"/>
        </w:rPr>
        <w:t xml:space="preserve">9a </w:t>
      </w:r>
      <w:r w:rsidRPr="00070A5C">
        <w:rPr>
          <w:sz w:val="24"/>
          <w:szCs w:val="24"/>
        </w:rPr>
        <w:t>or a refusal of the Minister to give an approval under that section;</w:t>
      </w:r>
    </w:p>
    <w:p w14:paraId="5947BA4D" w14:textId="77777777" w:rsidR="001B77AC" w:rsidRPr="00070A5C" w:rsidRDefault="00EB5A5A" w:rsidP="00F7021A">
      <w:pPr>
        <w:shd w:val="clear" w:color="auto" w:fill="FFFFFF"/>
        <w:spacing w:after="60"/>
        <w:ind w:left="720" w:hanging="288"/>
        <w:jc w:val="both"/>
        <w:rPr>
          <w:sz w:val="24"/>
          <w:szCs w:val="24"/>
        </w:rPr>
      </w:pPr>
      <w:r w:rsidRPr="00070A5C">
        <w:rPr>
          <w:sz w:val="24"/>
          <w:szCs w:val="24"/>
        </w:rPr>
        <w:t>(f)</w:t>
      </w:r>
      <w:r w:rsidR="00C950ED" w:rsidRPr="00070A5C">
        <w:rPr>
          <w:sz w:val="24"/>
          <w:szCs w:val="24"/>
        </w:rPr>
        <w:t xml:space="preserve"> </w:t>
      </w:r>
      <w:r w:rsidRPr="00070A5C">
        <w:rPr>
          <w:sz w:val="24"/>
          <w:szCs w:val="24"/>
        </w:rPr>
        <w:t>a refusal of the Minister to register premises under section 11;</w:t>
      </w:r>
    </w:p>
    <w:p w14:paraId="2FC2F25E" w14:textId="462234D9" w:rsidR="001B77AC" w:rsidRPr="00070A5C" w:rsidRDefault="00EB5A5A" w:rsidP="00F7021A">
      <w:pPr>
        <w:shd w:val="clear" w:color="auto" w:fill="FFFFFF"/>
        <w:spacing w:after="60"/>
        <w:ind w:left="720" w:hanging="288"/>
        <w:jc w:val="both"/>
        <w:rPr>
          <w:sz w:val="24"/>
          <w:szCs w:val="24"/>
        </w:rPr>
      </w:pPr>
      <w:r w:rsidRPr="00070A5C">
        <w:rPr>
          <w:sz w:val="24"/>
          <w:szCs w:val="24"/>
          <w:lang w:val="fr-FR"/>
        </w:rPr>
        <w:t xml:space="preserve">(g) a </w:t>
      </w:r>
      <w:r w:rsidRPr="00070A5C">
        <w:rPr>
          <w:sz w:val="24"/>
          <w:szCs w:val="24"/>
        </w:rPr>
        <w:t>determination by the Minister made for the purposes of sub</w:t>
      </w:r>
      <w:r w:rsidR="00F253F0">
        <w:rPr>
          <w:sz w:val="24"/>
          <w:szCs w:val="24"/>
        </w:rPr>
        <w:t>-</w:t>
      </w:r>
      <w:r w:rsidRPr="00070A5C">
        <w:rPr>
          <w:sz w:val="24"/>
          <w:szCs w:val="24"/>
        </w:rPr>
        <w:t xml:space="preserve">section (6) of section 11 or a refusal of the Minister to make a determination for the purposes </w:t>
      </w:r>
      <w:r w:rsidRPr="00070A5C">
        <w:rPr>
          <w:sz w:val="24"/>
          <w:szCs w:val="24"/>
          <w:lang w:val="de-DE"/>
        </w:rPr>
        <w:t>of</w:t>
      </w:r>
      <w:r w:rsidRPr="00070A5C">
        <w:rPr>
          <w:sz w:val="24"/>
          <w:szCs w:val="24"/>
        </w:rPr>
        <w:t xml:space="preserve"> </w:t>
      </w:r>
      <w:r w:rsidRPr="00070A5C">
        <w:rPr>
          <w:sz w:val="24"/>
          <w:szCs w:val="24"/>
          <w:lang w:val="de-DE"/>
        </w:rPr>
        <w:t xml:space="preserve">that </w:t>
      </w:r>
      <w:r w:rsidRPr="00070A5C">
        <w:rPr>
          <w:sz w:val="24"/>
          <w:szCs w:val="24"/>
        </w:rPr>
        <w:t>sub-section;</w:t>
      </w:r>
    </w:p>
    <w:p w14:paraId="64D8C42E" w14:textId="77777777" w:rsidR="001B77AC" w:rsidRPr="00070A5C" w:rsidRDefault="00EB5A5A" w:rsidP="00F7021A">
      <w:pPr>
        <w:shd w:val="clear" w:color="auto" w:fill="FFFFFF"/>
        <w:spacing w:after="60"/>
        <w:ind w:left="720" w:hanging="288"/>
        <w:jc w:val="both"/>
        <w:rPr>
          <w:sz w:val="24"/>
          <w:szCs w:val="24"/>
        </w:rPr>
      </w:pPr>
      <w:r w:rsidRPr="00070A5C">
        <w:rPr>
          <w:sz w:val="24"/>
          <w:szCs w:val="24"/>
          <w:lang w:val="fr-FR"/>
        </w:rPr>
        <w:t xml:space="preserve">(h) a </w:t>
      </w:r>
      <w:r w:rsidRPr="00070A5C">
        <w:rPr>
          <w:sz w:val="24"/>
          <w:szCs w:val="24"/>
        </w:rPr>
        <w:t>decision of the Minister made for the purposes of sub-section (7) of section 11; and</w:t>
      </w:r>
    </w:p>
    <w:p w14:paraId="6AEB1637" w14:textId="77777777" w:rsidR="001B77AC" w:rsidRPr="00070A5C" w:rsidRDefault="00EB5A5A" w:rsidP="00F7021A">
      <w:pPr>
        <w:shd w:val="clear" w:color="auto" w:fill="FFFFFF"/>
        <w:spacing w:after="60"/>
        <w:ind w:left="720" w:hanging="288"/>
        <w:jc w:val="both"/>
        <w:rPr>
          <w:sz w:val="24"/>
          <w:szCs w:val="24"/>
        </w:rPr>
      </w:pPr>
      <w:r w:rsidRPr="00070A5C">
        <w:rPr>
          <w:sz w:val="24"/>
          <w:szCs w:val="24"/>
        </w:rPr>
        <w:t>(j) a determination by the Minister of an amount of se</w:t>
      </w:r>
      <w:bookmarkStart w:id="0" w:name="_GoBack"/>
      <w:bookmarkEnd w:id="0"/>
      <w:r w:rsidRPr="00070A5C">
        <w:rPr>
          <w:sz w:val="24"/>
          <w:szCs w:val="24"/>
        </w:rPr>
        <w:t>curity made for the purposes of section 16.</w:t>
      </w:r>
      <w:r w:rsidR="00C950ED" w:rsidRPr="00070A5C">
        <w:rPr>
          <w:sz w:val="24"/>
          <w:szCs w:val="24"/>
        </w:rPr>
        <w:t>”</w:t>
      </w:r>
      <w:r w:rsidRPr="00070A5C">
        <w:rPr>
          <w:sz w:val="24"/>
          <w:szCs w:val="24"/>
        </w:rPr>
        <w:t>.</w:t>
      </w:r>
    </w:p>
    <w:p w14:paraId="57C01F56" w14:textId="77777777" w:rsidR="001B77AC" w:rsidRPr="00F7021A" w:rsidRDefault="00EB5A5A" w:rsidP="00F7021A">
      <w:pPr>
        <w:shd w:val="clear" w:color="auto" w:fill="FFFFFF"/>
        <w:spacing w:before="120" w:after="60"/>
        <w:jc w:val="both"/>
        <w:rPr>
          <w:b/>
          <w:szCs w:val="24"/>
        </w:rPr>
      </w:pPr>
      <w:r w:rsidRPr="00F7021A">
        <w:rPr>
          <w:b/>
          <w:szCs w:val="18"/>
        </w:rPr>
        <w:t>Amendment of Administrative Appeals Tribunal Act</w:t>
      </w:r>
    </w:p>
    <w:p w14:paraId="007EFAB1" w14:textId="564A15D5" w:rsidR="001B77AC" w:rsidRPr="00070A5C" w:rsidRDefault="00EB5A5A" w:rsidP="00F7021A">
      <w:pPr>
        <w:shd w:val="clear" w:color="auto" w:fill="FFFFFF"/>
        <w:spacing w:after="60"/>
        <w:ind w:firstLine="432"/>
        <w:jc w:val="both"/>
        <w:rPr>
          <w:sz w:val="24"/>
          <w:szCs w:val="24"/>
        </w:rPr>
      </w:pPr>
      <w:r w:rsidRPr="00070A5C">
        <w:rPr>
          <w:b/>
          <w:bCs/>
          <w:sz w:val="24"/>
          <w:szCs w:val="24"/>
        </w:rPr>
        <w:t>9.</w:t>
      </w:r>
      <w:r w:rsidRPr="00070A5C">
        <w:rPr>
          <w:sz w:val="24"/>
          <w:szCs w:val="24"/>
        </w:rPr>
        <w:t xml:space="preserve"> (1) The Schedule to the </w:t>
      </w:r>
      <w:r w:rsidRPr="00070A5C">
        <w:rPr>
          <w:i/>
          <w:iCs/>
          <w:sz w:val="24"/>
          <w:szCs w:val="24"/>
        </w:rPr>
        <w:t xml:space="preserve">Administrative Appeals Tribunal Act </w:t>
      </w:r>
      <w:r w:rsidRPr="00070A5C">
        <w:rPr>
          <w:sz w:val="24"/>
          <w:szCs w:val="24"/>
        </w:rPr>
        <w:t>1975 is amended by omitting Part VII.</w:t>
      </w:r>
    </w:p>
    <w:p w14:paraId="2264009D" w14:textId="77777777" w:rsidR="001B77AC" w:rsidRPr="00070A5C" w:rsidRDefault="00EB5A5A" w:rsidP="00F7021A">
      <w:pPr>
        <w:shd w:val="clear" w:color="auto" w:fill="FFFFFF"/>
        <w:spacing w:after="60"/>
        <w:ind w:firstLine="432"/>
        <w:jc w:val="both"/>
        <w:rPr>
          <w:sz w:val="24"/>
          <w:szCs w:val="24"/>
        </w:rPr>
      </w:pPr>
      <w:r w:rsidRPr="00070A5C">
        <w:rPr>
          <w:sz w:val="24"/>
          <w:szCs w:val="24"/>
        </w:rPr>
        <w:t>(2) Notwithstanding the amendments made by this section, applications may be made in accordance with the Part omitted by this section in respect of decisions given before the commencement of this section.</w:t>
      </w:r>
    </w:p>
    <w:p w14:paraId="3CBB9156" w14:textId="4555C656" w:rsidR="00EB5A5A" w:rsidRPr="00070A5C" w:rsidRDefault="00F7021A" w:rsidP="00F253F0">
      <w:pPr>
        <w:shd w:val="clear" w:color="auto" w:fill="FFFFFF"/>
        <w:spacing w:before="720" w:after="120"/>
        <w:jc w:val="center"/>
        <w:rPr>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02C35B40" wp14:editId="1B9052E9">
                <wp:simplePos x="0" y="0"/>
                <wp:positionH relativeFrom="column">
                  <wp:posOffset>-28575</wp:posOffset>
                </wp:positionH>
                <wp:positionV relativeFrom="paragraph">
                  <wp:posOffset>74930</wp:posOffset>
                </wp:positionV>
                <wp:extent cx="6362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A951A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5.9pt" to="498.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" strokecolor="black [3040]"/>
            </w:pict>
          </mc:Fallback>
        </mc:AlternateContent>
      </w:r>
    </w:p>
    <w:sectPr w:rsidR="00EB5A5A" w:rsidRPr="00070A5C" w:rsidSect="00F7021A">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8388A7" w15:done="0"/>
  <w15:commentEx w15:paraId="222B1DB5" w15:done="0"/>
  <w15:commentEx w15:paraId="7085CB03" w15:done="0"/>
  <w15:commentEx w15:paraId="31C7A0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388A7" w16cid:durableId="1F70916F"/>
  <w16cid:commentId w16cid:paraId="222B1DB5" w16cid:durableId="1F709178"/>
  <w16cid:commentId w16cid:paraId="7085CB03" w16cid:durableId="1F70917E"/>
  <w16cid:commentId w16cid:paraId="31C7A003" w16cid:durableId="1F7091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75CF2D" w14:textId="77777777" w:rsidR="004906C9" w:rsidRDefault="004906C9" w:rsidP="00F7021A">
      <w:r>
        <w:separator/>
      </w:r>
    </w:p>
  </w:endnote>
  <w:endnote w:type="continuationSeparator" w:id="0">
    <w:p w14:paraId="18A83511" w14:textId="77777777" w:rsidR="004906C9" w:rsidRDefault="004906C9" w:rsidP="00F7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1B1EC" w14:textId="77777777" w:rsidR="004906C9" w:rsidRDefault="004906C9" w:rsidP="00F7021A">
      <w:r>
        <w:separator/>
      </w:r>
    </w:p>
  </w:footnote>
  <w:footnote w:type="continuationSeparator" w:id="0">
    <w:p w14:paraId="5D384102" w14:textId="77777777" w:rsidR="004906C9" w:rsidRDefault="004906C9" w:rsidP="00F70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944B4" w14:textId="77777777" w:rsidR="00F7021A" w:rsidRPr="00F7021A" w:rsidRDefault="00F7021A">
    <w:pPr>
      <w:pStyle w:val="Header"/>
      <w:rPr>
        <w:sz w:val="24"/>
      </w:rPr>
    </w:pPr>
    <w:r w:rsidRPr="00F7021A">
      <w:rPr>
        <w:sz w:val="24"/>
      </w:rPr>
      <w:t>1978</w:t>
    </w:r>
    <w:r>
      <w:rPr>
        <w:sz w:val="24"/>
      </w:rPr>
      <w:tab/>
    </w:r>
    <w:r w:rsidRPr="00F7021A">
      <w:rPr>
        <w:i/>
        <w:sz w:val="24"/>
      </w:rPr>
      <w:t>Bounty (Books) Amendment</w:t>
    </w:r>
    <w:r>
      <w:rPr>
        <w:sz w:val="24"/>
      </w:rPr>
      <w:tab/>
    </w:r>
    <w:r w:rsidRPr="00F7021A">
      <w:rPr>
        <w:sz w:val="24"/>
      </w:rPr>
      <w:t>No. 109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49F27CE332E540CA9A3E7D7AFC215C6B"/>
      </w:placeholder>
      <w:temporary/>
      <w:showingPlcHdr/>
    </w:sdtPr>
    <w:sdtEndPr/>
    <w:sdtContent>
      <w:p w14:paraId="17D2F135" w14:textId="77777777" w:rsidR="00F7021A" w:rsidRDefault="00F7021A">
        <w:pPr>
          <w:pStyle w:val="Header"/>
        </w:pPr>
        <w:r>
          <w:t>[Type here]</w:t>
        </w:r>
      </w:p>
    </w:sdtContent>
  </w:sdt>
  <w:p w14:paraId="127C37CD" w14:textId="77777777" w:rsidR="00F7021A" w:rsidRDefault="00F7021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0ED"/>
    <w:rsid w:val="00070A5C"/>
    <w:rsid w:val="001B77AC"/>
    <w:rsid w:val="00257274"/>
    <w:rsid w:val="00273F0C"/>
    <w:rsid w:val="004906C9"/>
    <w:rsid w:val="00674818"/>
    <w:rsid w:val="00A0228F"/>
    <w:rsid w:val="00A74A31"/>
    <w:rsid w:val="00BA4EC9"/>
    <w:rsid w:val="00C950ED"/>
    <w:rsid w:val="00EB5A5A"/>
    <w:rsid w:val="00F253F0"/>
    <w:rsid w:val="00F7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7F4A4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F70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1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7021A"/>
    <w:pPr>
      <w:tabs>
        <w:tab w:val="center" w:pos="4680"/>
        <w:tab w:val="right" w:pos="9360"/>
      </w:tabs>
    </w:pPr>
  </w:style>
  <w:style w:type="character" w:customStyle="1" w:styleId="HeaderChar">
    <w:name w:val="Header Char"/>
    <w:basedOn w:val="DefaultParagraphFont"/>
    <w:link w:val="Header"/>
    <w:uiPriority w:val="99"/>
    <w:rsid w:val="00F7021A"/>
    <w:rPr>
      <w:rFonts w:ascii="Times New Roman" w:hAnsi="Times New Roman" w:cs="Times New Roman"/>
      <w:sz w:val="20"/>
      <w:szCs w:val="20"/>
    </w:rPr>
  </w:style>
  <w:style w:type="paragraph" w:styleId="Footer">
    <w:name w:val="footer"/>
    <w:basedOn w:val="Normal"/>
    <w:link w:val="FooterChar"/>
    <w:uiPriority w:val="99"/>
    <w:unhideWhenUsed/>
    <w:rsid w:val="00F7021A"/>
    <w:pPr>
      <w:tabs>
        <w:tab w:val="center" w:pos="4680"/>
        <w:tab w:val="right" w:pos="9360"/>
      </w:tabs>
    </w:pPr>
  </w:style>
  <w:style w:type="character" w:customStyle="1" w:styleId="FooterChar">
    <w:name w:val="Footer Char"/>
    <w:basedOn w:val="DefaultParagraphFont"/>
    <w:link w:val="Footer"/>
    <w:uiPriority w:val="99"/>
    <w:rsid w:val="00F7021A"/>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57274"/>
    <w:rPr>
      <w:sz w:val="16"/>
      <w:szCs w:val="16"/>
    </w:rPr>
  </w:style>
  <w:style w:type="paragraph" w:styleId="CommentText">
    <w:name w:val="annotation text"/>
    <w:basedOn w:val="Normal"/>
    <w:link w:val="CommentTextChar"/>
    <w:uiPriority w:val="99"/>
    <w:semiHidden/>
    <w:unhideWhenUsed/>
    <w:rsid w:val="00257274"/>
  </w:style>
  <w:style w:type="character" w:customStyle="1" w:styleId="CommentTextChar">
    <w:name w:val="Comment Text Char"/>
    <w:basedOn w:val="DefaultParagraphFont"/>
    <w:link w:val="CommentText"/>
    <w:uiPriority w:val="99"/>
    <w:semiHidden/>
    <w:rsid w:val="0025727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7274"/>
    <w:rPr>
      <w:b/>
      <w:bCs/>
    </w:rPr>
  </w:style>
  <w:style w:type="character" w:customStyle="1" w:styleId="CommentSubjectChar">
    <w:name w:val="Comment Subject Char"/>
    <w:basedOn w:val="CommentTextChar"/>
    <w:link w:val="CommentSubject"/>
    <w:uiPriority w:val="99"/>
    <w:semiHidden/>
    <w:rsid w:val="0025727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57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274"/>
    <w:rPr>
      <w:rFonts w:ascii="Segoe UI" w:hAnsi="Segoe UI" w:cs="Segoe UI"/>
      <w:sz w:val="18"/>
      <w:szCs w:val="18"/>
    </w:rPr>
  </w:style>
  <w:style w:type="paragraph" w:styleId="Revision">
    <w:name w:val="Revision"/>
    <w:hidden/>
    <w:uiPriority w:val="99"/>
    <w:semiHidden/>
    <w:rsid w:val="00F253F0"/>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F70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1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F7021A"/>
    <w:pPr>
      <w:tabs>
        <w:tab w:val="center" w:pos="4680"/>
        <w:tab w:val="right" w:pos="9360"/>
      </w:tabs>
    </w:pPr>
  </w:style>
  <w:style w:type="character" w:customStyle="1" w:styleId="HeaderChar">
    <w:name w:val="Header Char"/>
    <w:basedOn w:val="DefaultParagraphFont"/>
    <w:link w:val="Header"/>
    <w:uiPriority w:val="99"/>
    <w:rsid w:val="00F7021A"/>
    <w:rPr>
      <w:rFonts w:ascii="Times New Roman" w:hAnsi="Times New Roman" w:cs="Times New Roman"/>
      <w:sz w:val="20"/>
      <w:szCs w:val="20"/>
    </w:rPr>
  </w:style>
  <w:style w:type="paragraph" w:styleId="Footer">
    <w:name w:val="footer"/>
    <w:basedOn w:val="Normal"/>
    <w:link w:val="FooterChar"/>
    <w:uiPriority w:val="99"/>
    <w:unhideWhenUsed/>
    <w:rsid w:val="00F7021A"/>
    <w:pPr>
      <w:tabs>
        <w:tab w:val="center" w:pos="4680"/>
        <w:tab w:val="right" w:pos="9360"/>
      </w:tabs>
    </w:pPr>
  </w:style>
  <w:style w:type="character" w:customStyle="1" w:styleId="FooterChar">
    <w:name w:val="Footer Char"/>
    <w:basedOn w:val="DefaultParagraphFont"/>
    <w:link w:val="Footer"/>
    <w:uiPriority w:val="99"/>
    <w:rsid w:val="00F7021A"/>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257274"/>
    <w:rPr>
      <w:sz w:val="16"/>
      <w:szCs w:val="16"/>
    </w:rPr>
  </w:style>
  <w:style w:type="paragraph" w:styleId="CommentText">
    <w:name w:val="annotation text"/>
    <w:basedOn w:val="Normal"/>
    <w:link w:val="CommentTextChar"/>
    <w:uiPriority w:val="99"/>
    <w:semiHidden/>
    <w:unhideWhenUsed/>
    <w:rsid w:val="00257274"/>
  </w:style>
  <w:style w:type="character" w:customStyle="1" w:styleId="CommentTextChar">
    <w:name w:val="Comment Text Char"/>
    <w:basedOn w:val="DefaultParagraphFont"/>
    <w:link w:val="CommentText"/>
    <w:uiPriority w:val="99"/>
    <w:semiHidden/>
    <w:rsid w:val="0025727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7274"/>
    <w:rPr>
      <w:b/>
      <w:bCs/>
    </w:rPr>
  </w:style>
  <w:style w:type="character" w:customStyle="1" w:styleId="CommentSubjectChar">
    <w:name w:val="Comment Subject Char"/>
    <w:basedOn w:val="CommentTextChar"/>
    <w:link w:val="CommentSubject"/>
    <w:uiPriority w:val="99"/>
    <w:semiHidden/>
    <w:rsid w:val="0025727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57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274"/>
    <w:rPr>
      <w:rFonts w:ascii="Segoe UI" w:hAnsi="Segoe UI" w:cs="Segoe UI"/>
      <w:sz w:val="18"/>
      <w:szCs w:val="18"/>
    </w:rPr>
  </w:style>
  <w:style w:type="paragraph" w:styleId="Revision">
    <w:name w:val="Revision"/>
    <w:hidden/>
    <w:uiPriority w:val="99"/>
    <w:semiHidden/>
    <w:rsid w:val="00F253F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F27CE332E540CA9A3E7D7AFC215C6B"/>
        <w:category>
          <w:name w:val="General"/>
          <w:gallery w:val="placeholder"/>
        </w:category>
        <w:types>
          <w:type w:val="bbPlcHdr"/>
        </w:types>
        <w:behaviors>
          <w:behavior w:val="content"/>
        </w:behaviors>
        <w:guid w:val="{15F54A3D-5A83-4603-BBDB-DD409B7F6EC6}"/>
      </w:docPartPr>
      <w:docPartBody>
        <w:p w:rsidR="008A414F" w:rsidRDefault="009A3205" w:rsidP="009A3205">
          <w:pPr>
            <w:pStyle w:val="49F27CE332E540CA9A3E7D7AFC215C6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205"/>
    <w:rsid w:val="00071717"/>
    <w:rsid w:val="008A414F"/>
    <w:rsid w:val="009A3205"/>
    <w:rsid w:val="00E30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27CE332E540CA9A3E7D7AFC215C6B">
    <w:name w:val="49F27CE332E540CA9A3E7D7AFC215C6B"/>
    <w:rsid w:val="009A32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27CE332E540CA9A3E7D7AFC215C6B">
    <w:name w:val="49F27CE332E540CA9A3E7D7AFC215C6B"/>
    <w:rsid w:val="009A3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2971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2018-10-16T06:34:00Z</dcterms:created>
  <dcterms:modified xsi:type="dcterms:W3CDTF">2019-09-19T06:41:00Z</dcterms:modified>
</cp:coreProperties>
</file>