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AC" w:rsidRPr="004D6E33" w:rsidRDefault="00764EF3" w:rsidP="00BC3789">
      <w:pPr>
        <w:shd w:val="clear" w:color="auto" w:fill="FFFFFF"/>
        <w:spacing w:after="120"/>
        <w:ind w:left="1440" w:right="1440"/>
        <w:jc w:val="center"/>
        <w:rPr>
          <w:sz w:val="32"/>
          <w:szCs w:val="22"/>
        </w:rPr>
      </w:pPr>
      <w:r w:rsidRPr="004D6E33">
        <w:rPr>
          <w:b/>
          <w:bCs/>
          <w:sz w:val="32"/>
          <w:szCs w:val="22"/>
        </w:rPr>
        <w:t>DRIED VINE FRUITS STABILIZATION AMENDMENT ACT 1978</w:t>
      </w:r>
    </w:p>
    <w:p w:rsidR="00F563AC" w:rsidRPr="004D6E33" w:rsidRDefault="00764EF3" w:rsidP="00BC3789">
      <w:pPr>
        <w:shd w:val="clear" w:color="auto" w:fill="FFFFFF"/>
        <w:spacing w:before="60" w:after="60"/>
        <w:jc w:val="center"/>
        <w:rPr>
          <w:sz w:val="28"/>
          <w:szCs w:val="22"/>
        </w:rPr>
      </w:pPr>
      <w:r w:rsidRPr="004D6E33">
        <w:rPr>
          <w:b/>
          <w:bCs/>
          <w:sz w:val="28"/>
          <w:szCs w:val="22"/>
        </w:rPr>
        <w:t>No. 135 of 1978</w:t>
      </w:r>
    </w:p>
    <w:p w:rsidR="00F563AC" w:rsidRPr="004D6E33" w:rsidRDefault="00764EF3" w:rsidP="00BC3789">
      <w:pPr>
        <w:shd w:val="clear" w:color="auto" w:fill="FFFFFF"/>
        <w:spacing w:before="360" w:after="480"/>
        <w:jc w:val="center"/>
        <w:rPr>
          <w:sz w:val="24"/>
          <w:szCs w:val="22"/>
        </w:rPr>
      </w:pPr>
      <w:r w:rsidRPr="004D6E33">
        <w:rPr>
          <w:sz w:val="24"/>
          <w:szCs w:val="22"/>
        </w:rPr>
        <w:t xml:space="preserve">An Act to amend the </w:t>
      </w:r>
      <w:r w:rsidRPr="004D6E33">
        <w:rPr>
          <w:i/>
          <w:iCs/>
          <w:sz w:val="24"/>
          <w:szCs w:val="22"/>
        </w:rPr>
        <w:t xml:space="preserve">Dried Vine Fruits Stabilization Act </w:t>
      </w:r>
      <w:r w:rsidRPr="004D6E33">
        <w:rPr>
          <w:sz w:val="24"/>
          <w:szCs w:val="22"/>
        </w:rPr>
        <w:t>1971.</w:t>
      </w:r>
    </w:p>
    <w:p w:rsidR="00F563AC" w:rsidRPr="004D6E33" w:rsidRDefault="00764EF3" w:rsidP="00BC3789">
      <w:pPr>
        <w:shd w:val="clear" w:color="auto" w:fill="FFFFFF"/>
        <w:spacing w:after="60"/>
        <w:ind w:firstLine="288"/>
        <w:jc w:val="both"/>
        <w:rPr>
          <w:sz w:val="24"/>
          <w:szCs w:val="22"/>
        </w:rPr>
      </w:pPr>
      <w:r w:rsidRPr="004D6E33">
        <w:rPr>
          <w:sz w:val="24"/>
          <w:szCs w:val="22"/>
        </w:rPr>
        <w:t>BE IT ENACTED by the Queen, and the Senate and House of Representatives of the Commonwealth of Australia, as follows:</w:t>
      </w:r>
    </w:p>
    <w:p w:rsidR="00F563AC" w:rsidRPr="004D6E33" w:rsidRDefault="00764EF3" w:rsidP="00BC3789">
      <w:pPr>
        <w:shd w:val="clear" w:color="auto" w:fill="FFFFFF"/>
        <w:spacing w:before="120" w:after="60"/>
        <w:jc w:val="both"/>
        <w:rPr>
          <w:b/>
          <w:szCs w:val="22"/>
        </w:rPr>
      </w:pPr>
      <w:r w:rsidRPr="004D6E33">
        <w:rPr>
          <w:b/>
          <w:szCs w:val="22"/>
        </w:rPr>
        <w:t>Short title, &amp;c.</w:t>
      </w:r>
    </w:p>
    <w:p w:rsidR="00F563AC" w:rsidRPr="004D6E33" w:rsidRDefault="00764EF3" w:rsidP="00BC3789">
      <w:pPr>
        <w:shd w:val="clear" w:color="auto" w:fill="FFFFFF"/>
        <w:spacing w:after="60"/>
        <w:ind w:firstLine="288"/>
        <w:jc w:val="both"/>
        <w:rPr>
          <w:sz w:val="24"/>
          <w:szCs w:val="22"/>
        </w:rPr>
      </w:pPr>
      <w:r w:rsidRPr="004D6E33">
        <w:rPr>
          <w:b/>
          <w:sz w:val="24"/>
          <w:szCs w:val="22"/>
        </w:rPr>
        <w:t>1.</w:t>
      </w:r>
      <w:r w:rsidRPr="004D6E33">
        <w:rPr>
          <w:sz w:val="24"/>
          <w:szCs w:val="22"/>
        </w:rPr>
        <w:t xml:space="preserve"> (1) This Act may be cited as the </w:t>
      </w:r>
      <w:r w:rsidRPr="004D6E33">
        <w:rPr>
          <w:i/>
          <w:iCs/>
          <w:sz w:val="24"/>
          <w:szCs w:val="22"/>
        </w:rPr>
        <w:t xml:space="preserve">Dried Vine Fruits Stabilization Amendment Act </w:t>
      </w:r>
      <w:r w:rsidRPr="004D6E33">
        <w:rPr>
          <w:sz w:val="24"/>
          <w:szCs w:val="22"/>
        </w:rPr>
        <w:t>1978.</w:t>
      </w:r>
    </w:p>
    <w:p w:rsidR="00F563AC" w:rsidRPr="004D6E33" w:rsidRDefault="00764EF3" w:rsidP="00BC3789">
      <w:pPr>
        <w:shd w:val="clear" w:color="auto" w:fill="FFFFFF"/>
        <w:spacing w:after="60"/>
        <w:ind w:firstLine="288"/>
        <w:jc w:val="both"/>
        <w:rPr>
          <w:sz w:val="24"/>
          <w:szCs w:val="22"/>
        </w:rPr>
      </w:pPr>
      <w:r w:rsidRPr="004D6E33">
        <w:rPr>
          <w:sz w:val="24"/>
          <w:szCs w:val="22"/>
        </w:rPr>
        <w:t xml:space="preserve">(2) The </w:t>
      </w:r>
      <w:r w:rsidRPr="004D6E33">
        <w:rPr>
          <w:i/>
          <w:iCs/>
          <w:sz w:val="24"/>
          <w:szCs w:val="22"/>
        </w:rPr>
        <w:t xml:space="preserve">Dried Vine Fruits Stabilization Act </w:t>
      </w:r>
      <w:r w:rsidRPr="004D6E33">
        <w:rPr>
          <w:sz w:val="24"/>
          <w:szCs w:val="22"/>
        </w:rPr>
        <w:t>1971 is in this Act referred to as the Principal Act.</w:t>
      </w:r>
    </w:p>
    <w:p w:rsidR="00BC3789" w:rsidRPr="004D6E33" w:rsidRDefault="00764EF3" w:rsidP="00BC3789">
      <w:pPr>
        <w:shd w:val="clear" w:color="auto" w:fill="FFFFFF"/>
        <w:spacing w:before="120" w:after="60"/>
        <w:jc w:val="both"/>
        <w:rPr>
          <w:b/>
          <w:szCs w:val="22"/>
        </w:rPr>
      </w:pPr>
      <w:r w:rsidRPr="004D6E33">
        <w:rPr>
          <w:b/>
          <w:szCs w:val="22"/>
        </w:rPr>
        <w:t>Commencement</w:t>
      </w:r>
    </w:p>
    <w:p w:rsidR="00F563AC" w:rsidRPr="004D6E33" w:rsidRDefault="00BC3789" w:rsidP="00BC3789">
      <w:pPr>
        <w:shd w:val="clear" w:color="auto" w:fill="FFFFFF"/>
        <w:spacing w:after="60"/>
        <w:ind w:firstLine="288"/>
        <w:jc w:val="both"/>
        <w:rPr>
          <w:sz w:val="24"/>
          <w:szCs w:val="22"/>
        </w:rPr>
      </w:pPr>
      <w:r w:rsidRPr="004D6E33">
        <w:rPr>
          <w:b/>
          <w:sz w:val="24"/>
          <w:szCs w:val="22"/>
        </w:rPr>
        <w:t>2.</w:t>
      </w:r>
      <w:r w:rsidR="00764EF3" w:rsidRPr="004D6E33">
        <w:rPr>
          <w:sz w:val="24"/>
          <w:szCs w:val="22"/>
        </w:rPr>
        <w:t xml:space="preserve"> This Act shall come into operation on the day on which it receives the Royal Assent.</w:t>
      </w:r>
    </w:p>
    <w:p w:rsidR="00BC3789" w:rsidRPr="004D6E33" w:rsidRDefault="00764EF3" w:rsidP="00BC3789">
      <w:pPr>
        <w:shd w:val="clear" w:color="auto" w:fill="FFFFFF"/>
        <w:spacing w:before="120" w:after="60"/>
        <w:jc w:val="both"/>
        <w:rPr>
          <w:b/>
          <w:szCs w:val="22"/>
        </w:rPr>
      </w:pPr>
      <w:r w:rsidRPr="004D6E33">
        <w:rPr>
          <w:b/>
          <w:szCs w:val="22"/>
        </w:rPr>
        <w:t>Dried fruit to which Act applies</w:t>
      </w:r>
    </w:p>
    <w:p w:rsidR="00F563AC" w:rsidRPr="004D6E33" w:rsidRDefault="00BC3789" w:rsidP="00BC3789">
      <w:pPr>
        <w:shd w:val="clear" w:color="auto" w:fill="FFFFFF"/>
        <w:spacing w:after="60"/>
        <w:ind w:firstLine="288"/>
        <w:jc w:val="both"/>
        <w:rPr>
          <w:sz w:val="24"/>
          <w:szCs w:val="22"/>
        </w:rPr>
      </w:pPr>
      <w:r w:rsidRPr="004D6E33">
        <w:rPr>
          <w:b/>
          <w:sz w:val="24"/>
          <w:szCs w:val="22"/>
        </w:rPr>
        <w:t>3.</w:t>
      </w:r>
      <w:r w:rsidR="00764EF3" w:rsidRPr="004D6E33">
        <w:rPr>
          <w:sz w:val="24"/>
          <w:szCs w:val="22"/>
        </w:rPr>
        <w:t xml:space="preserve"> Section 5 of the Principal Act is amended</w:t>
      </w:r>
      <w:r w:rsidR="00764EF3" w:rsidRPr="004D6E33">
        <w:rPr>
          <w:rFonts w:eastAsia="Times New Roman"/>
          <w:sz w:val="24"/>
          <w:szCs w:val="22"/>
        </w:rPr>
        <w:t>—</w:t>
      </w:r>
    </w:p>
    <w:p w:rsidR="00F563AC" w:rsidRPr="004D6E33" w:rsidRDefault="00764EF3" w:rsidP="00BC3789">
      <w:pPr>
        <w:shd w:val="clear" w:color="auto" w:fill="FFFFFF"/>
        <w:ind w:left="792" w:hanging="432"/>
        <w:jc w:val="both"/>
        <w:rPr>
          <w:sz w:val="24"/>
          <w:szCs w:val="22"/>
        </w:rPr>
      </w:pPr>
      <w:r w:rsidRPr="004D6E33">
        <w:rPr>
          <w:sz w:val="24"/>
          <w:szCs w:val="22"/>
        </w:rPr>
        <w:t>(a)</w:t>
      </w:r>
      <w:r w:rsidR="00C212BD" w:rsidRPr="004D6E33">
        <w:rPr>
          <w:sz w:val="24"/>
          <w:szCs w:val="22"/>
        </w:rPr>
        <w:t xml:space="preserve"> </w:t>
      </w:r>
      <w:r w:rsidRPr="004D6E33">
        <w:rPr>
          <w:sz w:val="24"/>
          <w:szCs w:val="22"/>
        </w:rPr>
        <w:t xml:space="preserve">by omitting </w:t>
      </w:r>
      <w:r w:rsidR="00C212BD" w:rsidRPr="004D6E33">
        <w:rPr>
          <w:sz w:val="24"/>
          <w:szCs w:val="22"/>
        </w:rPr>
        <w:t>“</w:t>
      </w:r>
      <w:r w:rsidRPr="004D6E33">
        <w:rPr>
          <w:sz w:val="24"/>
          <w:szCs w:val="22"/>
        </w:rPr>
        <w:t>This Act</w:t>
      </w:r>
      <w:r w:rsidR="00C212BD" w:rsidRPr="004D6E33">
        <w:rPr>
          <w:sz w:val="24"/>
          <w:szCs w:val="22"/>
        </w:rPr>
        <w:t>”</w:t>
      </w:r>
      <w:r w:rsidRPr="004D6E33">
        <w:rPr>
          <w:sz w:val="24"/>
          <w:szCs w:val="22"/>
        </w:rPr>
        <w:t xml:space="preserve"> and substituting </w:t>
      </w:r>
      <w:r w:rsidR="00C212BD" w:rsidRPr="004D6E33">
        <w:rPr>
          <w:sz w:val="24"/>
          <w:szCs w:val="22"/>
        </w:rPr>
        <w:t>“</w:t>
      </w:r>
      <w:r w:rsidRPr="004D6E33">
        <w:rPr>
          <w:sz w:val="24"/>
          <w:szCs w:val="22"/>
        </w:rPr>
        <w:t>(1) Subject to sub-section (2), this Act</w:t>
      </w:r>
      <w:r w:rsidR="00C212BD" w:rsidRPr="004D6E33">
        <w:rPr>
          <w:sz w:val="24"/>
          <w:szCs w:val="22"/>
        </w:rPr>
        <w:t>”</w:t>
      </w:r>
      <w:r w:rsidRPr="004D6E33">
        <w:rPr>
          <w:sz w:val="24"/>
          <w:szCs w:val="22"/>
        </w:rPr>
        <w:t>; and</w:t>
      </w:r>
    </w:p>
    <w:p w:rsidR="00F563AC" w:rsidRPr="004D6E33" w:rsidRDefault="00764EF3" w:rsidP="00BC3789">
      <w:pPr>
        <w:shd w:val="clear" w:color="auto" w:fill="FFFFFF"/>
        <w:ind w:left="792" w:hanging="432"/>
        <w:jc w:val="both"/>
        <w:rPr>
          <w:sz w:val="24"/>
          <w:szCs w:val="22"/>
        </w:rPr>
      </w:pPr>
      <w:r w:rsidRPr="004D6E33">
        <w:rPr>
          <w:sz w:val="24"/>
          <w:szCs w:val="22"/>
        </w:rPr>
        <w:t>(b)</w:t>
      </w:r>
      <w:r w:rsidR="00C212BD" w:rsidRPr="004D6E33">
        <w:rPr>
          <w:sz w:val="24"/>
          <w:szCs w:val="22"/>
        </w:rPr>
        <w:t xml:space="preserve"> </w:t>
      </w:r>
      <w:r w:rsidRPr="004D6E33">
        <w:rPr>
          <w:sz w:val="24"/>
          <w:szCs w:val="22"/>
        </w:rPr>
        <w:t>by adding at the end thereof the following sub-section:</w:t>
      </w:r>
    </w:p>
    <w:p w:rsidR="00F563AC" w:rsidRPr="004D6E33" w:rsidRDefault="00C212BD" w:rsidP="00BC3789">
      <w:pPr>
        <w:shd w:val="clear" w:color="auto" w:fill="FFFFFF"/>
        <w:spacing w:after="60"/>
        <w:ind w:left="720" w:firstLine="288"/>
        <w:jc w:val="both"/>
        <w:rPr>
          <w:sz w:val="24"/>
          <w:szCs w:val="22"/>
        </w:rPr>
      </w:pPr>
      <w:r w:rsidRPr="004D6E33">
        <w:rPr>
          <w:sz w:val="24"/>
          <w:szCs w:val="22"/>
        </w:rPr>
        <w:t>“</w:t>
      </w:r>
      <w:r w:rsidR="00764EF3" w:rsidRPr="004D6E33">
        <w:rPr>
          <w:sz w:val="24"/>
          <w:szCs w:val="22"/>
        </w:rPr>
        <w:t>(2) This Act does not apply to currants or raisins received for packing during a season commencing on or after 1 January 1978.</w:t>
      </w:r>
      <w:r w:rsidRPr="004D6E33">
        <w:rPr>
          <w:sz w:val="24"/>
          <w:szCs w:val="22"/>
        </w:rPr>
        <w:t>”</w:t>
      </w:r>
      <w:r w:rsidR="00764EF3" w:rsidRPr="004D6E33">
        <w:rPr>
          <w:sz w:val="24"/>
          <w:szCs w:val="22"/>
        </w:rPr>
        <w:t>.</w:t>
      </w:r>
    </w:p>
    <w:p w:rsidR="00BC3789" w:rsidRPr="004D6E33" w:rsidRDefault="00764EF3" w:rsidP="00BC3789">
      <w:pPr>
        <w:shd w:val="clear" w:color="auto" w:fill="FFFFFF"/>
        <w:spacing w:before="120" w:after="60"/>
        <w:jc w:val="both"/>
        <w:rPr>
          <w:b/>
          <w:szCs w:val="22"/>
        </w:rPr>
      </w:pPr>
      <w:r w:rsidRPr="004D6E33">
        <w:rPr>
          <w:b/>
          <w:szCs w:val="22"/>
        </w:rPr>
        <w:t>Seasons to which Act applies</w:t>
      </w:r>
    </w:p>
    <w:p w:rsidR="00F563AC" w:rsidRPr="004D6E33" w:rsidRDefault="00BC3789" w:rsidP="00BC3789">
      <w:pPr>
        <w:shd w:val="clear" w:color="auto" w:fill="FFFFFF"/>
        <w:spacing w:after="60"/>
        <w:ind w:firstLine="288"/>
        <w:jc w:val="both"/>
        <w:rPr>
          <w:sz w:val="24"/>
          <w:szCs w:val="22"/>
        </w:rPr>
      </w:pPr>
      <w:r w:rsidRPr="004D6E33">
        <w:rPr>
          <w:b/>
          <w:sz w:val="24"/>
          <w:szCs w:val="22"/>
        </w:rPr>
        <w:t>4.</w:t>
      </w:r>
      <w:r w:rsidR="00764EF3" w:rsidRPr="004D6E33">
        <w:rPr>
          <w:sz w:val="24"/>
          <w:szCs w:val="22"/>
        </w:rPr>
        <w:t xml:space="preserve"> Section 6 of the Principal Act is amended by omitting from sub-section (1) </w:t>
      </w:r>
      <w:r w:rsidR="00C212BD" w:rsidRPr="004D6E33">
        <w:rPr>
          <w:sz w:val="24"/>
          <w:szCs w:val="22"/>
        </w:rPr>
        <w:t>“</w:t>
      </w:r>
      <w:r w:rsidR="00764EF3" w:rsidRPr="004D6E33">
        <w:rPr>
          <w:sz w:val="24"/>
          <w:szCs w:val="22"/>
        </w:rPr>
        <w:t>five succeeding seasons</w:t>
      </w:r>
      <w:r w:rsidR="00C212BD" w:rsidRPr="004D6E33">
        <w:rPr>
          <w:sz w:val="24"/>
          <w:szCs w:val="22"/>
        </w:rPr>
        <w:t>”</w:t>
      </w:r>
      <w:r w:rsidR="00764EF3" w:rsidRPr="004D6E33">
        <w:rPr>
          <w:sz w:val="24"/>
          <w:szCs w:val="22"/>
        </w:rPr>
        <w:t xml:space="preserve"> and substituting </w:t>
      </w:r>
      <w:r w:rsidR="00C212BD" w:rsidRPr="004D6E33">
        <w:rPr>
          <w:sz w:val="24"/>
          <w:szCs w:val="22"/>
        </w:rPr>
        <w:t>“</w:t>
      </w:r>
      <w:r w:rsidR="00764EF3" w:rsidRPr="004D6E33">
        <w:rPr>
          <w:sz w:val="24"/>
          <w:szCs w:val="22"/>
        </w:rPr>
        <w:t>5 succeeding seasons and in relation to the season that commenced on 1 January 1978 and to each of the next 2 succeeding seasons</w:t>
      </w:r>
      <w:r w:rsidR="00C212BD" w:rsidRPr="004D6E33">
        <w:rPr>
          <w:sz w:val="24"/>
          <w:szCs w:val="22"/>
        </w:rPr>
        <w:t>”</w:t>
      </w:r>
      <w:r w:rsidR="00764EF3" w:rsidRPr="004D6E33">
        <w:rPr>
          <w:sz w:val="24"/>
          <w:szCs w:val="22"/>
        </w:rPr>
        <w:t>.</w:t>
      </w:r>
    </w:p>
    <w:p w:rsidR="00BC3789" w:rsidRPr="004D6E33" w:rsidRDefault="00764EF3" w:rsidP="00BC3789">
      <w:pPr>
        <w:shd w:val="clear" w:color="auto" w:fill="FFFFFF"/>
        <w:spacing w:before="120" w:after="60"/>
        <w:jc w:val="both"/>
        <w:rPr>
          <w:b/>
          <w:szCs w:val="22"/>
        </w:rPr>
      </w:pPr>
      <w:r w:rsidRPr="004D6E33">
        <w:rPr>
          <w:b/>
          <w:szCs w:val="22"/>
        </w:rPr>
        <w:t>Base price</w:t>
      </w:r>
    </w:p>
    <w:p w:rsidR="00F563AC" w:rsidRPr="004D6E33" w:rsidRDefault="00BC3789" w:rsidP="00BC3789">
      <w:pPr>
        <w:shd w:val="clear" w:color="auto" w:fill="FFFFFF"/>
        <w:spacing w:after="60"/>
        <w:ind w:firstLine="288"/>
        <w:jc w:val="both"/>
        <w:rPr>
          <w:sz w:val="24"/>
          <w:szCs w:val="22"/>
        </w:rPr>
      </w:pPr>
      <w:r w:rsidRPr="004D6E33">
        <w:rPr>
          <w:b/>
          <w:sz w:val="24"/>
          <w:szCs w:val="22"/>
        </w:rPr>
        <w:t>5.</w:t>
      </w:r>
      <w:r w:rsidR="00764EF3" w:rsidRPr="004D6E33">
        <w:rPr>
          <w:sz w:val="24"/>
          <w:szCs w:val="22"/>
        </w:rPr>
        <w:t xml:space="preserve"> Section 10 of the Principal Act is amended</w:t>
      </w:r>
      <w:r w:rsidR="00764EF3" w:rsidRPr="004D6E33">
        <w:rPr>
          <w:rFonts w:eastAsia="Times New Roman"/>
          <w:sz w:val="24"/>
          <w:szCs w:val="22"/>
        </w:rPr>
        <w:t>—</w:t>
      </w:r>
    </w:p>
    <w:p w:rsidR="00F563AC" w:rsidRPr="004D6E33" w:rsidRDefault="00764EF3" w:rsidP="00BC3789">
      <w:pPr>
        <w:shd w:val="clear" w:color="auto" w:fill="FFFFFF"/>
        <w:ind w:left="720" w:hanging="432"/>
        <w:jc w:val="both"/>
        <w:rPr>
          <w:sz w:val="24"/>
          <w:szCs w:val="22"/>
        </w:rPr>
      </w:pPr>
      <w:r w:rsidRPr="004D6E33">
        <w:rPr>
          <w:sz w:val="24"/>
          <w:szCs w:val="22"/>
        </w:rPr>
        <w:t>(a)</w:t>
      </w:r>
      <w:r w:rsidR="00C212BD" w:rsidRPr="004D6E33">
        <w:rPr>
          <w:sz w:val="24"/>
          <w:szCs w:val="22"/>
        </w:rPr>
        <w:t xml:space="preserve"> </w:t>
      </w:r>
      <w:r w:rsidRPr="004D6E33">
        <w:rPr>
          <w:sz w:val="24"/>
          <w:szCs w:val="22"/>
        </w:rPr>
        <w:t>by inserting after sub-section (1) the following sub-section:</w:t>
      </w:r>
    </w:p>
    <w:p w:rsidR="00F563AC" w:rsidRPr="004D6E33" w:rsidRDefault="00C212BD" w:rsidP="00BC3789">
      <w:pPr>
        <w:shd w:val="clear" w:color="auto" w:fill="FFFFFF"/>
        <w:spacing w:after="60"/>
        <w:ind w:left="576" w:firstLine="288"/>
        <w:jc w:val="both"/>
        <w:rPr>
          <w:sz w:val="24"/>
          <w:szCs w:val="22"/>
        </w:rPr>
      </w:pPr>
      <w:r w:rsidRPr="004D6E33">
        <w:rPr>
          <w:sz w:val="24"/>
          <w:szCs w:val="22"/>
        </w:rPr>
        <w:t>“</w:t>
      </w:r>
      <w:r w:rsidR="00764EF3" w:rsidRPr="004D6E33">
        <w:rPr>
          <w:sz w:val="24"/>
          <w:szCs w:val="22"/>
        </w:rPr>
        <w:t>(1</w:t>
      </w:r>
      <w:r w:rsidR="00764EF3" w:rsidRPr="004D6E33">
        <w:rPr>
          <w:smallCaps/>
          <w:sz w:val="24"/>
          <w:szCs w:val="22"/>
        </w:rPr>
        <w:t>a</w:t>
      </w:r>
      <w:r w:rsidR="00764EF3" w:rsidRPr="004D6E33">
        <w:rPr>
          <w:sz w:val="24"/>
          <w:szCs w:val="22"/>
        </w:rPr>
        <w:t>) The base price in respect of sultanas for the season that commenced 1 January 1978 is $515 per tonne.</w:t>
      </w:r>
      <w:r w:rsidRPr="004D6E33">
        <w:rPr>
          <w:sz w:val="24"/>
          <w:szCs w:val="22"/>
        </w:rPr>
        <w:t>”</w:t>
      </w:r>
      <w:r w:rsidR="00764EF3" w:rsidRPr="004D6E33">
        <w:rPr>
          <w:sz w:val="24"/>
          <w:szCs w:val="22"/>
        </w:rPr>
        <w:t>; and</w:t>
      </w:r>
    </w:p>
    <w:p w:rsidR="00F563AC" w:rsidRPr="004D6E33" w:rsidRDefault="00764EF3" w:rsidP="00BC3789">
      <w:pPr>
        <w:shd w:val="clear" w:color="auto" w:fill="FFFFFF"/>
        <w:ind w:left="720" w:hanging="432"/>
        <w:jc w:val="both"/>
        <w:rPr>
          <w:sz w:val="24"/>
          <w:szCs w:val="22"/>
        </w:rPr>
      </w:pPr>
      <w:r w:rsidRPr="004D6E33">
        <w:rPr>
          <w:sz w:val="24"/>
          <w:szCs w:val="22"/>
        </w:rPr>
        <w:t>(b)</w:t>
      </w:r>
      <w:r w:rsidR="00C212BD" w:rsidRPr="004D6E33">
        <w:rPr>
          <w:sz w:val="24"/>
          <w:szCs w:val="22"/>
        </w:rPr>
        <w:t xml:space="preserve"> </w:t>
      </w:r>
      <w:r w:rsidRPr="004D6E33">
        <w:rPr>
          <w:sz w:val="24"/>
          <w:szCs w:val="22"/>
        </w:rPr>
        <w:t xml:space="preserve">by omitting from sub-section (2) </w:t>
      </w:r>
      <w:r w:rsidR="00C212BD" w:rsidRPr="004D6E33">
        <w:rPr>
          <w:sz w:val="24"/>
          <w:szCs w:val="22"/>
        </w:rPr>
        <w:t>“</w:t>
      </w:r>
      <w:r w:rsidRPr="004D6E33">
        <w:rPr>
          <w:sz w:val="24"/>
          <w:szCs w:val="22"/>
        </w:rPr>
        <w:t>the season referred to in the last preceding sub-section</w:t>
      </w:r>
      <w:r w:rsidR="00C212BD" w:rsidRPr="004D6E33">
        <w:rPr>
          <w:sz w:val="24"/>
          <w:szCs w:val="22"/>
        </w:rPr>
        <w:t>”</w:t>
      </w:r>
      <w:r w:rsidRPr="004D6E33">
        <w:rPr>
          <w:sz w:val="24"/>
          <w:szCs w:val="22"/>
        </w:rPr>
        <w:t xml:space="preserve"> and substituting </w:t>
      </w:r>
      <w:r w:rsidR="00C212BD" w:rsidRPr="004D6E33">
        <w:rPr>
          <w:sz w:val="24"/>
          <w:szCs w:val="22"/>
        </w:rPr>
        <w:t>“</w:t>
      </w:r>
      <w:r w:rsidRPr="004D6E33">
        <w:rPr>
          <w:sz w:val="24"/>
          <w:szCs w:val="22"/>
        </w:rPr>
        <w:t>a season referred to in sub-section (1) or (1</w:t>
      </w:r>
      <w:r w:rsidRPr="004D6E33">
        <w:rPr>
          <w:smallCaps/>
          <w:sz w:val="24"/>
          <w:szCs w:val="22"/>
        </w:rPr>
        <w:t>a</w:t>
      </w:r>
      <w:r w:rsidRPr="004D6E33">
        <w:rPr>
          <w:sz w:val="24"/>
          <w:szCs w:val="22"/>
        </w:rPr>
        <w:t>)</w:t>
      </w:r>
      <w:r w:rsidR="00C212BD" w:rsidRPr="004D6E33">
        <w:rPr>
          <w:sz w:val="24"/>
          <w:szCs w:val="22"/>
        </w:rPr>
        <w:t>”</w:t>
      </w:r>
      <w:r w:rsidRPr="004D6E33">
        <w:rPr>
          <w:sz w:val="24"/>
          <w:szCs w:val="22"/>
        </w:rPr>
        <w:t>.</w:t>
      </w:r>
    </w:p>
    <w:p w:rsidR="00BC3789" w:rsidRPr="004D6E33" w:rsidRDefault="00764EF3" w:rsidP="00BC3789">
      <w:pPr>
        <w:shd w:val="clear" w:color="auto" w:fill="FFFFFF"/>
        <w:spacing w:before="120" w:after="60"/>
        <w:jc w:val="both"/>
        <w:rPr>
          <w:b/>
          <w:szCs w:val="22"/>
        </w:rPr>
      </w:pPr>
      <w:r w:rsidRPr="004D6E33">
        <w:rPr>
          <w:b/>
          <w:szCs w:val="22"/>
        </w:rPr>
        <w:t>Rate of stabilization payment</w:t>
      </w:r>
    </w:p>
    <w:p w:rsidR="00F563AC" w:rsidRPr="004D6E33" w:rsidRDefault="00BC3789" w:rsidP="00BC3789">
      <w:pPr>
        <w:shd w:val="clear" w:color="auto" w:fill="FFFFFF"/>
        <w:spacing w:after="60"/>
        <w:ind w:firstLine="288"/>
        <w:jc w:val="both"/>
        <w:rPr>
          <w:sz w:val="24"/>
          <w:szCs w:val="22"/>
        </w:rPr>
      </w:pPr>
      <w:r w:rsidRPr="004D6E33">
        <w:rPr>
          <w:b/>
          <w:sz w:val="24"/>
          <w:szCs w:val="22"/>
        </w:rPr>
        <w:t>6.</w:t>
      </w:r>
      <w:r w:rsidR="00764EF3" w:rsidRPr="004D6E33">
        <w:rPr>
          <w:sz w:val="24"/>
          <w:szCs w:val="22"/>
        </w:rPr>
        <w:t xml:space="preserve"> Section 14 of the Principal Act is amended</w:t>
      </w:r>
      <w:r w:rsidR="00764EF3" w:rsidRPr="004D6E33">
        <w:rPr>
          <w:rFonts w:eastAsia="Times New Roman"/>
          <w:sz w:val="24"/>
          <w:szCs w:val="22"/>
        </w:rPr>
        <w:t>—</w:t>
      </w:r>
    </w:p>
    <w:p w:rsidR="00BC3789" w:rsidRPr="004D6E33" w:rsidRDefault="00764EF3" w:rsidP="00BC3789">
      <w:pPr>
        <w:shd w:val="clear" w:color="auto" w:fill="FFFFFF"/>
        <w:ind w:left="720" w:hanging="432"/>
        <w:jc w:val="both"/>
        <w:rPr>
          <w:sz w:val="24"/>
          <w:szCs w:val="22"/>
        </w:rPr>
      </w:pPr>
      <w:r w:rsidRPr="004D6E33">
        <w:rPr>
          <w:sz w:val="24"/>
          <w:szCs w:val="22"/>
        </w:rPr>
        <w:t xml:space="preserve">(a) by inserting in the definition of </w:t>
      </w:r>
      <w:r w:rsidR="00C212BD" w:rsidRPr="004D6E33">
        <w:rPr>
          <w:sz w:val="24"/>
          <w:szCs w:val="22"/>
        </w:rPr>
        <w:t>“</w:t>
      </w:r>
      <w:r w:rsidRPr="004D6E33">
        <w:rPr>
          <w:sz w:val="24"/>
          <w:szCs w:val="22"/>
        </w:rPr>
        <w:t>the Commonwealth limit</w:t>
      </w:r>
      <w:r w:rsidR="00C212BD" w:rsidRPr="004D6E33">
        <w:rPr>
          <w:sz w:val="24"/>
          <w:szCs w:val="22"/>
        </w:rPr>
        <w:t>”</w:t>
      </w:r>
      <w:r w:rsidRPr="004D6E33">
        <w:rPr>
          <w:sz w:val="24"/>
          <w:szCs w:val="22"/>
        </w:rPr>
        <w:t xml:space="preserve"> in sub-section (1) </w:t>
      </w:r>
      <w:r w:rsidR="00C212BD" w:rsidRPr="004D6E33">
        <w:rPr>
          <w:sz w:val="24"/>
          <w:szCs w:val="22"/>
        </w:rPr>
        <w:t>“</w:t>
      </w:r>
      <w:r w:rsidRPr="004D6E33">
        <w:rPr>
          <w:sz w:val="24"/>
          <w:szCs w:val="22"/>
        </w:rPr>
        <w:t>that commenced before 1 January 1978</w:t>
      </w:r>
      <w:r w:rsidR="00C212BD" w:rsidRPr="004D6E33">
        <w:rPr>
          <w:sz w:val="24"/>
          <w:szCs w:val="22"/>
        </w:rPr>
        <w:t>”</w:t>
      </w:r>
      <w:r w:rsidRPr="004D6E33">
        <w:rPr>
          <w:sz w:val="24"/>
          <w:szCs w:val="22"/>
        </w:rPr>
        <w:t xml:space="preserve"> after </w:t>
      </w:r>
      <w:r w:rsidR="00C212BD" w:rsidRPr="004D6E33">
        <w:rPr>
          <w:sz w:val="24"/>
          <w:szCs w:val="22"/>
        </w:rPr>
        <w:t>“</w:t>
      </w:r>
      <w:r w:rsidRPr="004D6E33">
        <w:rPr>
          <w:sz w:val="24"/>
          <w:szCs w:val="22"/>
        </w:rPr>
        <w:t>season</w:t>
      </w:r>
      <w:r w:rsidR="00C212BD" w:rsidRPr="004D6E33">
        <w:rPr>
          <w:sz w:val="24"/>
          <w:szCs w:val="22"/>
        </w:rPr>
        <w:t>”</w:t>
      </w:r>
      <w:r w:rsidRPr="004D6E33">
        <w:rPr>
          <w:sz w:val="24"/>
          <w:szCs w:val="22"/>
        </w:rPr>
        <w:t>;</w:t>
      </w:r>
    </w:p>
    <w:p w:rsidR="00F563AC" w:rsidRPr="004D6E33" w:rsidRDefault="00764EF3" w:rsidP="00BC3789">
      <w:pPr>
        <w:shd w:val="clear" w:color="auto" w:fill="FFFFFF"/>
        <w:ind w:left="720" w:hanging="432"/>
        <w:jc w:val="both"/>
        <w:rPr>
          <w:sz w:val="24"/>
          <w:szCs w:val="22"/>
        </w:rPr>
      </w:pPr>
      <w:r w:rsidRPr="004D6E33">
        <w:rPr>
          <w:sz w:val="24"/>
          <w:szCs w:val="22"/>
        </w:rPr>
        <w:t>(b)</w:t>
      </w:r>
      <w:r w:rsidR="00C212BD" w:rsidRPr="004D6E33">
        <w:rPr>
          <w:sz w:val="24"/>
          <w:szCs w:val="22"/>
        </w:rPr>
        <w:t xml:space="preserve"> </w:t>
      </w:r>
      <w:r w:rsidRPr="004D6E33">
        <w:rPr>
          <w:sz w:val="24"/>
          <w:szCs w:val="22"/>
        </w:rPr>
        <w:t xml:space="preserve">by adding at the end of the definition of </w:t>
      </w:r>
      <w:r w:rsidR="00C212BD" w:rsidRPr="004D6E33">
        <w:rPr>
          <w:sz w:val="24"/>
          <w:szCs w:val="22"/>
        </w:rPr>
        <w:t>“</w:t>
      </w:r>
      <w:r w:rsidRPr="004D6E33">
        <w:rPr>
          <w:sz w:val="24"/>
          <w:szCs w:val="22"/>
        </w:rPr>
        <w:t>the Commonwealth limit</w:t>
      </w:r>
      <w:r w:rsidR="009D6C55">
        <w:rPr>
          <w:sz w:val="24"/>
          <w:szCs w:val="22"/>
        </w:rPr>
        <w:t xml:space="preserve">” </w:t>
      </w:r>
      <w:r w:rsidRPr="004D6E33">
        <w:rPr>
          <w:sz w:val="24"/>
          <w:szCs w:val="22"/>
        </w:rPr>
        <w:t>in sub-section (1)</w:t>
      </w:r>
      <w:r w:rsidRPr="004D6E33">
        <w:rPr>
          <w:rFonts w:eastAsia="Times New Roman"/>
          <w:sz w:val="24"/>
          <w:szCs w:val="22"/>
        </w:rPr>
        <w:t>—</w:t>
      </w:r>
    </w:p>
    <w:p w:rsidR="00F563AC" w:rsidRPr="004D6E33" w:rsidRDefault="00C212BD" w:rsidP="00BC3789">
      <w:pPr>
        <w:shd w:val="clear" w:color="auto" w:fill="FFFFFF"/>
        <w:spacing w:before="60" w:after="60"/>
        <w:ind w:left="1440" w:hanging="576"/>
        <w:rPr>
          <w:sz w:val="24"/>
          <w:szCs w:val="22"/>
        </w:rPr>
      </w:pPr>
      <w:r w:rsidRPr="004D6E33">
        <w:rPr>
          <w:sz w:val="24"/>
          <w:szCs w:val="22"/>
        </w:rPr>
        <w:t>“</w:t>
      </w:r>
      <w:r w:rsidR="00764EF3" w:rsidRPr="004D6E33">
        <w:rPr>
          <w:sz w:val="24"/>
          <w:szCs w:val="22"/>
        </w:rPr>
        <w:t>, and, in relation to dried fruit received for packing during any other season</w:t>
      </w:r>
      <w:r w:rsidR="00764EF3" w:rsidRPr="004D6E33">
        <w:rPr>
          <w:rFonts w:eastAsia="Times New Roman"/>
          <w:sz w:val="24"/>
          <w:szCs w:val="22"/>
        </w:rPr>
        <w:t>—</w:t>
      </w:r>
    </w:p>
    <w:p w:rsidR="00F563AC" w:rsidRPr="004D6E33" w:rsidRDefault="00764EF3" w:rsidP="00BC3789">
      <w:pPr>
        <w:shd w:val="clear" w:color="auto" w:fill="FFFFFF"/>
        <w:spacing w:before="60" w:after="60"/>
        <w:ind w:left="1152" w:hanging="288"/>
        <w:rPr>
          <w:sz w:val="24"/>
          <w:szCs w:val="22"/>
        </w:rPr>
      </w:pPr>
      <w:r w:rsidRPr="004D6E33">
        <w:rPr>
          <w:sz w:val="24"/>
          <w:szCs w:val="22"/>
        </w:rPr>
        <w:t>(c)</w:t>
      </w:r>
      <w:r w:rsidR="00C212BD" w:rsidRPr="004D6E33">
        <w:rPr>
          <w:sz w:val="24"/>
          <w:szCs w:val="22"/>
        </w:rPr>
        <w:t xml:space="preserve"> </w:t>
      </w:r>
      <w:r w:rsidRPr="004D6E33">
        <w:rPr>
          <w:sz w:val="24"/>
          <w:szCs w:val="22"/>
        </w:rPr>
        <w:t>where the specified factor in relation to that dried fruit is less than one</w:t>
      </w:r>
      <w:r w:rsidRPr="004D6E33">
        <w:rPr>
          <w:rFonts w:eastAsia="Times New Roman"/>
          <w:sz w:val="24"/>
          <w:szCs w:val="22"/>
        </w:rPr>
        <w:t>—an amount equal to the product of $25 and the specified factor; or</w:t>
      </w:r>
    </w:p>
    <w:p w:rsidR="00F563AC" w:rsidRPr="004D6E33" w:rsidRDefault="00764EF3" w:rsidP="00BC3789">
      <w:pPr>
        <w:shd w:val="clear" w:color="auto" w:fill="FFFFFF"/>
        <w:spacing w:before="60" w:after="60"/>
        <w:ind w:left="1152" w:hanging="288"/>
        <w:rPr>
          <w:sz w:val="24"/>
          <w:szCs w:val="22"/>
        </w:rPr>
      </w:pPr>
      <w:r w:rsidRPr="004D6E33">
        <w:rPr>
          <w:sz w:val="24"/>
          <w:szCs w:val="22"/>
        </w:rPr>
        <w:t>(d)</w:t>
      </w:r>
      <w:r w:rsidR="00C212BD" w:rsidRPr="004D6E33">
        <w:rPr>
          <w:sz w:val="24"/>
          <w:szCs w:val="22"/>
        </w:rPr>
        <w:t xml:space="preserve"> </w:t>
      </w:r>
      <w:r w:rsidRPr="004D6E33">
        <w:rPr>
          <w:sz w:val="24"/>
          <w:szCs w:val="22"/>
        </w:rPr>
        <w:t>in any other case</w:t>
      </w:r>
      <w:r w:rsidRPr="004D6E33">
        <w:rPr>
          <w:rFonts w:eastAsia="Times New Roman"/>
          <w:sz w:val="24"/>
          <w:szCs w:val="22"/>
        </w:rPr>
        <w:t>—$25</w:t>
      </w:r>
      <w:r w:rsidR="00C212BD" w:rsidRPr="004D6E33">
        <w:rPr>
          <w:rFonts w:eastAsia="Times New Roman"/>
          <w:sz w:val="24"/>
          <w:szCs w:val="22"/>
        </w:rPr>
        <w:t>”</w:t>
      </w:r>
      <w:r w:rsidRPr="004D6E33">
        <w:rPr>
          <w:rFonts w:eastAsia="Times New Roman"/>
          <w:sz w:val="24"/>
          <w:szCs w:val="22"/>
        </w:rPr>
        <w:t>;</w:t>
      </w:r>
    </w:p>
    <w:p w:rsidR="00F563AC" w:rsidRPr="004D6E33" w:rsidRDefault="00764EF3" w:rsidP="00BC3789">
      <w:pPr>
        <w:shd w:val="clear" w:color="auto" w:fill="FFFFFF"/>
        <w:ind w:left="720" w:hanging="432"/>
        <w:jc w:val="both"/>
        <w:rPr>
          <w:sz w:val="24"/>
          <w:szCs w:val="22"/>
        </w:rPr>
      </w:pPr>
      <w:r w:rsidRPr="004D6E33">
        <w:rPr>
          <w:sz w:val="24"/>
          <w:szCs w:val="22"/>
        </w:rPr>
        <w:t>(c)</w:t>
      </w:r>
      <w:r w:rsidR="00C212BD" w:rsidRPr="004D6E33">
        <w:rPr>
          <w:sz w:val="24"/>
          <w:szCs w:val="22"/>
        </w:rPr>
        <w:t xml:space="preserve"> </w:t>
      </w:r>
      <w:r w:rsidRPr="004D6E33">
        <w:rPr>
          <w:sz w:val="24"/>
          <w:szCs w:val="22"/>
        </w:rPr>
        <w:t xml:space="preserve">by inserting in paragraph (b) of the definition of </w:t>
      </w:r>
      <w:r w:rsidR="00C212BD" w:rsidRPr="004D6E33">
        <w:rPr>
          <w:sz w:val="24"/>
          <w:szCs w:val="22"/>
        </w:rPr>
        <w:t>“</w:t>
      </w:r>
      <w:r w:rsidRPr="004D6E33">
        <w:rPr>
          <w:sz w:val="24"/>
          <w:szCs w:val="22"/>
        </w:rPr>
        <w:t>maximum quantity</w:t>
      </w:r>
      <w:r w:rsidR="00C212BD" w:rsidRPr="004D6E33">
        <w:rPr>
          <w:sz w:val="24"/>
          <w:szCs w:val="22"/>
        </w:rPr>
        <w:t>”</w:t>
      </w:r>
      <w:r w:rsidRPr="004D6E33">
        <w:rPr>
          <w:sz w:val="24"/>
          <w:szCs w:val="22"/>
        </w:rPr>
        <w:t xml:space="preserve"> in sub-section (1) </w:t>
      </w:r>
      <w:r w:rsidR="00C212BD" w:rsidRPr="004D6E33">
        <w:rPr>
          <w:sz w:val="24"/>
          <w:szCs w:val="22"/>
        </w:rPr>
        <w:t>“</w:t>
      </w:r>
      <w:r w:rsidRPr="004D6E33">
        <w:rPr>
          <w:sz w:val="24"/>
          <w:szCs w:val="22"/>
        </w:rPr>
        <w:t>received for packing during a season that commenced before 1 January 1978</w:t>
      </w:r>
      <w:r w:rsidR="00C212BD" w:rsidRPr="004D6E33">
        <w:rPr>
          <w:sz w:val="24"/>
          <w:szCs w:val="22"/>
        </w:rPr>
        <w:t>”</w:t>
      </w:r>
      <w:r w:rsidRPr="004D6E33">
        <w:rPr>
          <w:sz w:val="24"/>
          <w:szCs w:val="22"/>
        </w:rPr>
        <w:t xml:space="preserve"> after </w:t>
      </w:r>
      <w:r w:rsidR="00C212BD" w:rsidRPr="004D6E33">
        <w:rPr>
          <w:sz w:val="24"/>
          <w:szCs w:val="22"/>
        </w:rPr>
        <w:t>“</w:t>
      </w:r>
      <w:r w:rsidRPr="004D6E33">
        <w:rPr>
          <w:sz w:val="24"/>
          <w:szCs w:val="22"/>
        </w:rPr>
        <w:t>sultanas</w:t>
      </w:r>
      <w:r w:rsidR="00C212BD" w:rsidRPr="004D6E33">
        <w:rPr>
          <w:sz w:val="24"/>
          <w:szCs w:val="22"/>
        </w:rPr>
        <w:t>”</w:t>
      </w:r>
      <w:r w:rsidRPr="004D6E33">
        <w:rPr>
          <w:sz w:val="24"/>
          <w:szCs w:val="22"/>
        </w:rPr>
        <w:t>; and</w:t>
      </w:r>
    </w:p>
    <w:p w:rsidR="00F563AC" w:rsidRPr="004D6E33" w:rsidRDefault="00764EF3" w:rsidP="00BC3789">
      <w:pPr>
        <w:shd w:val="clear" w:color="auto" w:fill="FFFFFF"/>
        <w:ind w:left="720" w:hanging="432"/>
        <w:jc w:val="both"/>
        <w:rPr>
          <w:sz w:val="24"/>
          <w:szCs w:val="22"/>
        </w:rPr>
      </w:pPr>
      <w:r w:rsidRPr="004D6E33">
        <w:rPr>
          <w:sz w:val="24"/>
          <w:szCs w:val="22"/>
        </w:rPr>
        <w:t>(d)</w:t>
      </w:r>
      <w:r w:rsidR="00C212BD" w:rsidRPr="004D6E33">
        <w:rPr>
          <w:sz w:val="24"/>
          <w:szCs w:val="22"/>
        </w:rPr>
        <w:t xml:space="preserve"> </w:t>
      </w:r>
      <w:r w:rsidRPr="004D6E33">
        <w:rPr>
          <w:sz w:val="24"/>
          <w:szCs w:val="22"/>
        </w:rPr>
        <w:t xml:space="preserve">by inserting after paragraph (b) in the definition of </w:t>
      </w:r>
      <w:r w:rsidR="00C212BD" w:rsidRPr="004D6E33">
        <w:rPr>
          <w:sz w:val="24"/>
          <w:szCs w:val="22"/>
        </w:rPr>
        <w:t>“</w:t>
      </w:r>
      <w:r w:rsidRPr="004D6E33">
        <w:rPr>
          <w:sz w:val="24"/>
          <w:szCs w:val="22"/>
        </w:rPr>
        <w:t>maximum quantity</w:t>
      </w:r>
      <w:r w:rsidR="00C212BD" w:rsidRPr="004D6E33">
        <w:rPr>
          <w:sz w:val="24"/>
          <w:szCs w:val="22"/>
        </w:rPr>
        <w:t>”</w:t>
      </w:r>
      <w:r w:rsidRPr="004D6E33">
        <w:rPr>
          <w:sz w:val="24"/>
          <w:szCs w:val="22"/>
        </w:rPr>
        <w:t xml:space="preserve"> in sub-section (1) the following paragraph:</w:t>
      </w:r>
    </w:p>
    <w:p w:rsidR="00F563AC" w:rsidRPr="004D6E33" w:rsidRDefault="00C212BD" w:rsidP="00BC3789">
      <w:pPr>
        <w:shd w:val="clear" w:color="auto" w:fill="FFFFFF"/>
        <w:ind w:left="1296" w:hanging="432"/>
        <w:jc w:val="both"/>
        <w:rPr>
          <w:sz w:val="24"/>
          <w:szCs w:val="22"/>
        </w:rPr>
      </w:pPr>
      <w:r w:rsidRPr="004D6E33">
        <w:rPr>
          <w:sz w:val="24"/>
          <w:szCs w:val="22"/>
        </w:rPr>
        <w:t>“</w:t>
      </w:r>
      <w:r w:rsidR="00764EF3" w:rsidRPr="004D6E33">
        <w:rPr>
          <w:sz w:val="24"/>
          <w:szCs w:val="22"/>
        </w:rPr>
        <w:t>(</w:t>
      </w:r>
      <w:proofErr w:type="spellStart"/>
      <w:r w:rsidR="00764EF3" w:rsidRPr="004D6E33">
        <w:rPr>
          <w:sz w:val="24"/>
          <w:szCs w:val="22"/>
        </w:rPr>
        <w:t>ba</w:t>
      </w:r>
      <w:proofErr w:type="spellEnd"/>
      <w:r w:rsidR="00764EF3" w:rsidRPr="004D6E33">
        <w:rPr>
          <w:sz w:val="24"/>
          <w:szCs w:val="22"/>
        </w:rPr>
        <w:t>) in relation to sultanas received for packing during the season that commenced on 1 January 1978 or during either of the next 2 succeeding seasons</w:t>
      </w:r>
      <w:r w:rsidR="00764EF3" w:rsidRPr="004D6E33">
        <w:rPr>
          <w:rFonts w:eastAsia="Times New Roman"/>
          <w:sz w:val="24"/>
          <w:szCs w:val="22"/>
        </w:rPr>
        <w:t>—60,000 tonnes.</w:t>
      </w:r>
      <w:r w:rsidRPr="004D6E33">
        <w:rPr>
          <w:rFonts w:eastAsia="Times New Roman"/>
          <w:sz w:val="24"/>
          <w:szCs w:val="22"/>
        </w:rPr>
        <w:t>”</w:t>
      </w:r>
      <w:r w:rsidR="00764EF3" w:rsidRPr="004D6E33">
        <w:rPr>
          <w:rFonts w:eastAsia="Times New Roman"/>
          <w:sz w:val="24"/>
          <w:szCs w:val="22"/>
        </w:rPr>
        <w:t>.</w:t>
      </w:r>
    </w:p>
    <w:p w:rsidR="001042A6" w:rsidRDefault="001042A6">
      <w:pPr>
        <w:widowControl/>
        <w:autoSpaceDE/>
        <w:autoSpaceDN/>
        <w:adjustRightInd/>
        <w:spacing w:after="200" w:line="276" w:lineRule="auto"/>
        <w:rPr>
          <w:b/>
          <w:szCs w:val="22"/>
        </w:rPr>
      </w:pPr>
      <w:r>
        <w:rPr>
          <w:b/>
          <w:szCs w:val="22"/>
        </w:rPr>
        <w:br w:type="page"/>
      </w:r>
    </w:p>
    <w:p w:rsidR="00BC3789" w:rsidRPr="004D6E33" w:rsidRDefault="00764EF3" w:rsidP="00BC3789">
      <w:pPr>
        <w:shd w:val="clear" w:color="auto" w:fill="FFFFFF"/>
        <w:spacing w:before="120" w:after="60"/>
        <w:jc w:val="both"/>
        <w:rPr>
          <w:b/>
          <w:szCs w:val="22"/>
        </w:rPr>
      </w:pPr>
      <w:r w:rsidRPr="004D6E33">
        <w:rPr>
          <w:b/>
          <w:szCs w:val="22"/>
        </w:rPr>
        <w:lastRenderedPageBreak/>
        <w:t>Refund from stabilization funds</w:t>
      </w:r>
    </w:p>
    <w:p w:rsidR="00F563AC" w:rsidRPr="004D6E33" w:rsidRDefault="00BC3789" w:rsidP="00BC3789">
      <w:pPr>
        <w:shd w:val="clear" w:color="auto" w:fill="FFFFFF"/>
        <w:spacing w:after="60"/>
        <w:ind w:firstLine="288"/>
        <w:jc w:val="both"/>
        <w:rPr>
          <w:sz w:val="24"/>
          <w:szCs w:val="22"/>
        </w:rPr>
      </w:pPr>
      <w:r w:rsidRPr="004D6E33">
        <w:rPr>
          <w:b/>
          <w:sz w:val="24"/>
          <w:szCs w:val="22"/>
        </w:rPr>
        <w:t>7.</w:t>
      </w:r>
      <w:r w:rsidR="00764EF3" w:rsidRPr="004D6E33">
        <w:rPr>
          <w:sz w:val="24"/>
          <w:szCs w:val="22"/>
        </w:rPr>
        <w:t xml:space="preserve"> Section 22 of the Principal Act is amended</w:t>
      </w:r>
      <w:r w:rsidR="00764EF3" w:rsidRPr="004D6E33">
        <w:rPr>
          <w:rFonts w:eastAsia="Times New Roman"/>
          <w:sz w:val="24"/>
          <w:szCs w:val="22"/>
        </w:rPr>
        <w:t>—</w:t>
      </w:r>
    </w:p>
    <w:p w:rsidR="00F563AC" w:rsidRPr="004D6E33" w:rsidRDefault="00764EF3" w:rsidP="00BC3789">
      <w:pPr>
        <w:shd w:val="clear" w:color="auto" w:fill="FFFFFF"/>
        <w:ind w:left="720" w:hanging="432"/>
        <w:jc w:val="both"/>
        <w:rPr>
          <w:sz w:val="24"/>
          <w:szCs w:val="22"/>
        </w:rPr>
      </w:pPr>
      <w:r w:rsidRPr="004D6E33">
        <w:rPr>
          <w:sz w:val="24"/>
          <w:szCs w:val="22"/>
        </w:rPr>
        <w:t>(a)</w:t>
      </w:r>
      <w:r w:rsidR="00C212BD" w:rsidRPr="004D6E33">
        <w:rPr>
          <w:sz w:val="24"/>
          <w:szCs w:val="22"/>
        </w:rPr>
        <w:t xml:space="preserve"> </w:t>
      </w:r>
      <w:r w:rsidRPr="004D6E33">
        <w:rPr>
          <w:sz w:val="24"/>
          <w:szCs w:val="22"/>
        </w:rPr>
        <w:t>by omitting sub-section (3) and substituting the following sub-section:</w:t>
      </w:r>
    </w:p>
    <w:p w:rsidR="00F563AC" w:rsidRPr="004D6E33" w:rsidRDefault="00C212BD" w:rsidP="00BC3789">
      <w:pPr>
        <w:shd w:val="clear" w:color="auto" w:fill="FFFFFF"/>
        <w:spacing w:before="60" w:after="60"/>
        <w:ind w:left="576" w:firstLine="288"/>
        <w:jc w:val="both"/>
        <w:rPr>
          <w:sz w:val="24"/>
          <w:szCs w:val="22"/>
        </w:rPr>
      </w:pPr>
      <w:r w:rsidRPr="004D6E33">
        <w:rPr>
          <w:sz w:val="24"/>
          <w:szCs w:val="22"/>
        </w:rPr>
        <w:t>“</w:t>
      </w:r>
      <w:r w:rsidR="00764EF3" w:rsidRPr="004D6E33">
        <w:rPr>
          <w:sz w:val="24"/>
          <w:szCs w:val="22"/>
        </w:rPr>
        <w:t>(3) Where the making of a repayment to the Consolidated Revenue Fund out of a stabilization fund would permit the rate of a stabilization payment payable out of the stabilization fund to exceed</w:t>
      </w:r>
      <w:r w:rsidR="00764EF3" w:rsidRPr="004D6E33">
        <w:rPr>
          <w:rFonts w:eastAsia="Times New Roman"/>
          <w:sz w:val="24"/>
          <w:szCs w:val="22"/>
        </w:rPr>
        <w:t>—</w:t>
      </w:r>
    </w:p>
    <w:p w:rsidR="00F563AC" w:rsidRPr="004D6E33" w:rsidRDefault="00764EF3" w:rsidP="00BC3789">
      <w:pPr>
        <w:shd w:val="clear" w:color="auto" w:fill="FFFFFF"/>
        <w:spacing w:before="60" w:after="60"/>
        <w:ind w:left="1152" w:hanging="288"/>
        <w:rPr>
          <w:sz w:val="24"/>
          <w:szCs w:val="22"/>
        </w:rPr>
      </w:pPr>
      <w:r w:rsidRPr="004D6E33">
        <w:rPr>
          <w:sz w:val="24"/>
          <w:szCs w:val="22"/>
        </w:rPr>
        <w:t>(a)</w:t>
      </w:r>
      <w:r w:rsidR="00C212BD" w:rsidRPr="004D6E33">
        <w:rPr>
          <w:sz w:val="24"/>
          <w:szCs w:val="22"/>
        </w:rPr>
        <w:t xml:space="preserve"> </w:t>
      </w:r>
      <w:r w:rsidRPr="004D6E33">
        <w:rPr>
          <w:sz w:val="24"/>
          <w:szCs w:val="22"/>
        </w:rPr>
        <w:t>in relation to a season that commenced before 1 January 1978</w:t>
      </w:r>
      <w:r w:rsidRPr="004D6E33">
        <w:rPr>
          <w:rFonts w:eastAsia="Times New Roman"/>
          <w:sz w:val="24"/>
          <w:szCs w:val="22"/>
        </w:rPr>
        <w:t>—$23 per tonne; or</w:t>
      </w:r>
    </w:p>
    <w:p w:rsidR="00F563AC" w:rsidRPr="004D6E33" w:rsidRDefault="00764EF3" w:rsidP="00BC3789">
      <w:pPr>
        <w:shd w:val="clear" w:color="auto" w:fill="FFFFFF"/>
        <w:spacing w:before="60" w:after="60"/>
        <w:ind w:left="1152" w:hanging="288"/>
        <w:rPr>
          <w:sz w:val="24"/>
          <w:szCs w:val="22"/>
        </w:rPr>
      </w:pPr>
      <w:r w:rsidRPr="004D6E33">
        <w:rPr>
          <w:sz w:val="24"/>
          <w:szCs w:val="22"/>
        </w:rPr>
        <w:t>(b)</w:t>
      </w:r>
      <w:r w:rsidR="00C212BD" w:rsidRPr="004D6E33">
        <w:rPr>
          <w:sz w:val="24"/>
          <w:szCs w:val="22"/>
        </w:rPr>
        <w:t xml:space="preserve"> </w:t>
      </w:r>
      <w:r w:rsidRPr="004D6E33">
        <w:rPr>
          <w:sz w:val="24"/>
          <w:szCs w:val="22"/>
        </w:rPr>
        <w:t>in relation to the season that commenced on 1 January 1978 or either of the next 2 succeeding seasons</w:t>
      </w:r>
      <w:r w:rsidRPr="004D6E33">
        <w:rPr>
          <w:rFonts w:eastAsia="Times New Roman"/>
          <w:sz w:val="24"/>
          <w:szCs w:val="22"/>
        </w:rPr>
        <w:t>—$25 per tonne,</w:t>
      </w:r>
    </w:p>
    <w:p w:rsidR="00F563AC" w:rsidRPr="004D6E33" w:rsidRDefault="00764EF3" w:rsidP="00BC3789">
      <w:pPr>
        <w:shd w:val="clear" w:color="auto" w:fill="FFFFFF"/>
        <w:spacing w:after="60"/>
        <w:ind w:left="288" w:firstLine="288"/>
        <w:jc w:val="both"/>
        <w:rPr>
          <w:sz w:val="24"/>
          <w:szCs w:val="22"/>
        </w:rPr>
      </w:pPr>
      <w:r w:rsidRPr="004D6E33">
        <w:rPr>
          <w:sz w:val="24"/>
          <w:szCs w:val="22"/>
        </w:rPr>
        <w:t>the Minister shall make that repayment.</w:t>
      </w:r>
      <w:r w:rsidR="00C212BD" w:rsidRPr="004D6E33">
        <w:rPr>
          <w:sz w:val="24"/>
          <w:szCs w:val="22"/>
        </w:rPr>
        <w:t>”</w:t>
      </w:r>
      <w:r w:rsidRPr="004D6E33">
        <w:rPr>
          <w:sz w:val="24"/>
          <w:szCs w:val="22"/>
        </w:rPr>
        <w:t>;</w:t>
      </w:r>
    </w:p>
    <w:p w:rsidR="00F563AC" w:rsidRPr="004D6E33" w:rsidRDefault="00764EF3" w:rsidP="00BC3789">
      <w:pPr>
        <w:shd w:val="clear" w:color="auto" w:fill="FFFFFF"/>
        <w:ind w:left="720" w:hanging="432"/>
        <w:jc w:val="both"/>
        <w:rPr>
          <w:sz w:val="24"/>
          <w:szCs w:val="22"/>
        </w:rPr>
      </w:pPr>
      <w:r w:rsidRPr="004D6E33">
        <w:rPr>
          <w:sz w:val="24"/>
          <w:szCs w:val="22"/>
        </w:rPr>
        <w:t>(b)</w:t>
      </w:r>
      <w:r w:rsidR="00C212BD" w:rsidRPr="004D6E33">
        <w:rPr>
          <w:sz w:val="24"/>
          <w:szCs w:val="22"/>
        </w:rPr>
        <w:t xml:space="preserve"> </w:t>
      </w:r>
      <w:r w:rsidRPr="004D6E33">
        <w:rPr>
          <w:sz w:val="24"/>
          <w:szCs w:val="22"/>
        </w:rPr>
        <w:t>by inserting after sub-section (4) the following sub-section:</w:t>
      </w:r>
    </w:p>
    <w:p w:rsidR="00F563AC" w:rsidRPr="004D6E33" w:rsidRDefault="00C212BD" w:rsidP="00BC3789">
      <w:pPr>
        <w:shd w:val="clear" w:color="auto" w:fill="FFFFFF"/>
        <w:spacing w:before="60" w:after="60"/>
        <w:ind w:left="720" w:firstLine="288"/>
        <w:jc w:val="both"/>
        <w:rPr>
          <w:sz w:val="24"/>
          <w:szCs w:val="22"/>
        </w:rPr>
      </w:pPr>
      <w:r w:rsidRPr="004D6E33">
        <w:rPr>
          <w:smallCaps/>
          <w:sz w:val="24"/>
          <w:szCs w:val="22"/>
        </w:rPr>
        <w:t>“</w:t>
      </w:r>
      <w:r w:rsidR="00764EF3" w:rsidRPr="004D6E33">
        <w:rPr>
          <w:smallCaps/>
          <w:sz w:val="24"/>
          <w:szCs w:val="22"/>
        </w:rPr>
        <w:t xml:space="preserve">(4a) </w:t>
      </w:r>
      <w:r w:rsidR="00764EF3" w:rsidRPr="004D6E33">
        <w:rPr>
          <w:sz w:val="24"/>
          <w:szCs w:val="22"/>
        </w:rPr>
        <w:t>Sub-section (4) applies in relation to the Currants Stabilization Fund and the Raisins Stabilization Fund as if the last season to which this Act applies were the season that commenced on 1 January 1976.</w:t>
      </w:r>
      <w:r w:rsidRPr="004D6E33">
        <w:rPr>
          <w:sz w:val="24"/>
          <w:szCs w:val="22"/>
        </w:rPr>
        <w:t>”</w:t>
      </w:r>
      <w:r w:rsidR="00764EF3" w:rsidRPr="004D6E33">
        <w:rPr>
          <w:sz w:val="24"/>
          <w:szCs w:val="22"/>
        </w:rPr>
        <w:t>; and</w:t>
      </w:r>
    </w:p>
    <w:p w:rsidR="00F563AC" w:rsidRPr="004D6E33" w:rsidRDefault="00764EF3" w:rsidP="00BC3789">
      <w:pPr>
        <w:shd w:val="clear" w:color="auto" w:fill="FFFFFF"/>
        <w:ind w:left="720" w:hanging="432"/>
        <w:jc w:val="both"/>
        <w:rPr>
          <w:sz w:val="24"/>
          <w:szCs w:val="22"/>
        </w:rPr>
      </w:pPr>
      <w:r w:rsidRPr="004D6E33">
        <w:rPr>
          <w:sz w:val="24"/>
          <w:szCs w:val="22"/>
        </w:rPr>
        <w:t>(c)</w:t>
      </w:r>
      <w:r w:rsidR="00C212BD" w:rsidRPr="004D6E33">
        <w:rPr>
          <w:sz w:val="24"/>
          <w:szCs w:val="22"/>
        </w:rPr>
        <w:t xml:space="preserve"> </w:t>
      </w:r>
      <w:r w:rsidRPr="004D6E33">
        <w:rPr>
          <w:sz w:val="24"/>
          <w:szCs w:val="22"/>
        </w:rPr>
        <w:t>by inserting after sub-section (5) the following sub-section:</w:t>
      </w:r>
    </w:p>
    <w:p w:rsidR="00BC3789" w:rsidRPr="004D6E33" w:rsidRDefault="00C212BD" w:rsidP="00BC3789">
      <w:pPr>
        <w:shd w:val="clear" w:color="auto" w:fill="FFFFFF"/>
        <w:spacing w:after="60"/>
        <w:ind w:left="576" w:firstLine="288"/>
        <w:jc w:val="both"/>
        <w:rPr>
          <w:sz w:val="24"/>
          <w:szCs w:val="22"/>
        </w:rPr>
      </w:pPr>
      <w:r w:rsidRPr="004D6E33">
        <w:rPr>
          <w:smallCaps/>
          <w:sz w:val="24"/>
          <w:szCs w:val="22"/>
        </w:rPr>
        <w:t>“</w:t>
      </w:r>
      <w:r w:rsidR="00764EF3" w:rsidRPr="004D6E33">
        <w:rPr>
          <w:smallCaps/>
          <w:sz w:val="24"/>
          <w:szCs w:val="22"/>
        </w:rPr>
        <w:t xml:space="preserve">(5a) </w:t>
      </w:r>
      <w:r w:rsidR="00764EF3" w:rsidRPr="004D6E33">
        <w:rPr>
          <w:sz w:val="24"/>
          <w:szCs w:val="22"/>
        </w:rPr>
        <w:t>For the purposes of the application of sub-section (5) in relation to the making of payments out of a stabilization fund after the date of commencement of this sub-section, any moneys paid into that fund before that date shall be disregarded.</w:t>
      </w:r>
      <w:r w:rsidRPr="004D6E33">
        <w:rPr>
          <w:sz w:val="24"/>
          <w:szCs w:val="22"/>
        </w:rPr>
        <w:t>”</w:t>
      </w:r>
      <w:r w:rsidR="00764EF3" w:rsidRPr="004D6E33">
        <w:rPr>
          <w:sz w:val="24"/>
          <w:szCs w:val="22"/>
        </w:rPr>
        <w:t>.</w:t>
      </w:r>
    </w:p>
    <w:p w:rsidR="00BC3789" w:rsidRPr="004D6E33" w:rsidRDefault="00764EF3" w:rsidP="00BC3789">
      <w:pPr>
        <w:shd w:val="clear" w:color="auto" w:fill="FFFFFF"/>
        <w:spacing w:before="120" w:after="60"/>
        <w:jc w:val="both"/>
        <w:rPr>
          <w:b/>
          <w:szCs w:val="22"/>
        </w:rPr>
      </w:pPr>
      <w:r w:rsidRPr="004D6E33">
        <w:rPr>
          <w:b/>
          <w:szCs w:val="22"/>
          <w:lang w:val="de-DE"/>
        </w:rPr>
        <w:t xml:space="preserve">Formal </w:t>
      </w:r>
      <w:r w:rsidRPr="004D6E33">
        <w:rPr>
          <w:b/>
          <w:szCs w:val="22"/>
        </w:rPr>
        <w:t>amendments</w:t>
      </w:r>
    </w:p>
    <w:p w:rsidR="00F563AC" w:rsidRPr="004D6E33" w:rsidRDefault="00271C12" w:rsidP="00BC3789">
      <w:pPr>
        <w:shd w:val="clear" w:color="auto" w:fill="FFFFFF"/>
        <w:spacing w:after="480"/>
        <w:ind w:firstLine="288"/>
        <w:jc w:val="both"/>
        <w:rPr>
          <w:sz w:val="24"/>
          <w:szCs w:val="22"/>
        </w:rPr>
      </w:pPr>
      <w:r w:rsidRPr="004D6E33">
        <w:rPr>
          <w:b/>
          <w:noProof/>
          <w:sz w:val="24"/>
          <w:szCs w:val="22"/>
          <w:lang w:val="en-AU" w:eastAsia="en-AU"/>
        </w:rPr>
        <mc:AlternateContent>
          <mc:Choice Requires="wps">
            <w:drawing>
              <wp:anchor distT="0" distB="0" distL="114300" distR="114300" simplePos="0" relativeHeight="251660288" behindDoc="0" locked="0" layoutInCell="1" allowOverlap="1">
                <wp:simplePos x="0" y="0"/>
                <wp:positionH relativeFrom="column">
                  <wp:posOffset>2835322</wp:posOffset>
                </wp:positionH>
                <wp:positionV relativeFrom="paragraph">
                  <wp:posOffset>310581</wp:posOffset>
                </wp:positionV>
                <wp:extent cx="67556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675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305970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3.25pt,24.45pt" to="276.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" strokecolor="black [3040]"/>
            </w:pict>
          </mc:Fallback>
        </mc:AlternateContent>
      </w:r>
      <w:r w:rsidR="00BC3789" w:rsidRPr="004D6E33">
        <w:rPr>
          <w:b/>
          <w:sz w:val="24"/>
          <w:szCs w:val="22"/>
        </w:rPr>
        <w:t>8.</w:t>
      </w:r>
      <w:r w:rsidR="00764EF3" w:rsidRPr="004D6E33">
        <w:rPr>
          <w:sz w:val="24"/>
          <w:szCs w:val="22"/>
        </w:rPr>
        <w:t xml:space="preserve"> The Principal Act is amended as set out in the Schedule.</w:t>
      </w:r>
    </w:p>
    <w:tbl>
      <w:tblPr>
        <w:tblW w:w="5000" w:type="pct"/>
        <w:jc w:val="center"/>
        <w:tblLayout w:type="fixed"/>
        <w:tblCellMar>
          <w:left w:w="40" w:type="dxa"/>
          <w:right w:w="40" w:type="dxa"/>
        </w:tblCellMar>
        <w:tblLook w:val="0000" w:firstRow="0" w:lastRow="0" w:firstColumn="0" w:lastColumn="0" w:noHBand="0" w:noVBand="0"/>
      </w:tblPr>
      <w:tblGrid>
        <w:gridCol w:w="5706"/>
        <w:gridCol w:w="4123"/>
      </w:tblGrid>
      <w:tr w:rsidR="00F563AC" w:rsidRPr="004D6E33" w:rsidTr="00BC3789">
        <w:trPr>
          <w:trHeight w:val="235"/>
          <w:jc w:val="center"/>
        </w:trPr>
        <w:tc>
          <w:tcPr>
            <w:tcW w:w="2318" w:type="dxa"/>
            <w:tcBorders>
              <w:top w:val="nil"/>
              <w:left w:val="nil"/>
              <w:bottom w:val="nil"/>
              <w:right w:val="nil"/>
            </w:tcBorders>
            <w:shd w:val="clear" w:color="auto" w:fill="FFFFFF"/>
            <w:vAlign w:val="bottom"/>
          </w:tcPr>
          <w:p w:rsidR="00F563AC" w:rsidRPr="004D6E33" w:rsidRDefault="00764EF3" w:rsidP="00BC3789">
            <w:pPr>
              <w:shd w:val="clear" w:color="auto" w:fill="FFFFFF"/>
              <w:jc w:val="right"/>
              <w:rPr>
                <w:sz w:val="24"/>
                <w:szCs w:val="22"/>
              </w:rPr>
            </w:pPr>
            <w:r w:rsidRPr="004D6E33">
              <w:rPr>
                <w:sz w:val="24"/>
                <w:szCs w:val="22"/>
              </w:rPr>
              <w:t>SCHEDULE</w:t>
            </w:r>
          </w:p>
        </w:tc>
        <w:tc>
          <w:tcPr>
            <w:tcW w:w="1675" w:type="dxa"/>
            <w:tcBorders>
              <w:top w:val="nil"/>
              <w:left w:val="nil"/>
              <w:bottom w:val="nil"/>
              <w:right w:val="nil"/>
            </w:tcBorders>
            <w:shd w:val="clear" w:color="auto" w:fill="FFFFFF"/>
            <w:vAlign w:val="bottom"/>
          </w:tcPr>
          <w:p w:rsidR="00F563AC" w:rsidRPr="004D6E33" w:rsidRDefault="00764EF3" w:rsidP="00BC3789">
            <w:pPr>
              <w:shd w:val="clear" w:color="auto" w:fill="FFFFFF"/>
              <w:jc w:val="right"/>
              <w:rPr>
                <w:sz w:val="24"/>
                <w:szCs w:val="22"/>
              </w:rPr>
            </w:pPr>
            <w:r w:rsidRPr="004D6E33">
              <w:rPr>
                <w:sz w:val="24"/>
                <w:szCs w:val="22"/>
              </w:rPr>
              <w:t>Section 8</w:t>
            </w:r>
          </w:p>
        </w:tc>
      </w:tr>
    </w:tbl>
    <w:p w:rsidR="00F563AC" w:rsidRPr="004D6E33" w:rsidRDefault="00764EF3" w:rsidP="00BC3789">
      <w:pPr>
        <w:shd w:val="clear" w:color="auto" w:fill="FFFFFF"/>
        <w:spacing w:before="120" w:after="120"/>
        <w:jc w:val="center"/>
        <w:rPr>
          <w:sz w:val="24"/>
          <w:szCs w:val="22"/>
        </w:rPr>
      </w:pPr>
      <w:r w:rsidRPr="004D6E33">
        <w:rPr>
          <w:sz w:val="24"/>
          <w:szCs w:val="22"/>
        </w:rPr>
        <w:t>FORMAL AMENDMENTS</w:t>
      </w:r>
    </w:p>
    <w:tbl>
      <w:tblPr>
        <w:tblW w:w="5000" w:type="pct"/>
        <w:jc w:val="center"/>
        <w:tblLayout w:type="fixed"/>
        <w:tblCellMar>
          <w:left w:w="40" w:type="dxa"/>
          <w:right w:w="40" w:type="dxa"/>
        </w:tblCellMar>
        <w:tblLook w:val="0000" w:firstRow="0" w:lastRow="0" w:firstColumn="0" w:lastColumn="0" w:noHBand="0" w:noVBand="0"/>
      </w:tblPr>
      <w:tblGrid>
        <w:gridCol w:w="3022"/>
        <w:gridCol w:w="6807"/>
      </w:tblGrid>
      <w:tr w:rsidR="00F563AC" w:rsidRPr="004D6E33" w:rsidTr="00BC3789">
        <w:trPr>
          <w:trHeight w:val="398"/>
          <w:jc w:val="center"/>
        </w:trPr>
        <w:tc>
          <w:tcPr>
            <w:tcW w:w="2342" w:type="dxa"/>
            <w:tcBorders>
              <w:top w:val="single" w:sz="6" w:space="0" w:color="auto"/>
              <w:left w:val="nil"/>
              <w:bottom w:val="single" w:sz="6" w:space="0" w:color="auto"/>
              <w:right w:val="nil"/>
            </w:tcBorders>
            <w:shd w:val="clear" w:color="auto" w:fill="FFFFFF"/>
            <w:vAlign w:val="bottom"/>
          </w:tcPr>
          <w:p w:rsidR="00F563AC" w:rsidRPr="004D6E33" w:rsidRDefault="00764EF3" w:rsidP="00BC3789">
            <w:pPr>
              <w:shd w:val="clear" w:color="auto" w:fill="FFFFFF"/>
              <w:jc w:val="both"/>
              <w:rPr>
                <w:sz w:val="24"/>
                <w:szCs w:val="22"/>
              </w:rPr>
            </w:pPr>
            <w:r w:rsidRPr="004D6E33">
              <w:rPr>
                <w:sz w:val="24"/>
                <w:szCs w:val="22"/>
              </w:rPr>
              <w:t>Provision</w:t>
            </w:r>
          </w:p>
        </w:tc>
        <w:tc>
          <w:tcPr>
            <w:tcW w:w="5275" w:type="dxa"/>
            <w:tcBorders>
              <w:top w:val="single" w:sz="6" w:space="0" w:color="auto"/>
              <w:left w:val="nil"/>
              <w:bottom w:val="single" w:sz="6" w:space="0" w:color="auto"/>
              <w:right w:val="nil"/>
            </w:tcBorders>
            <w:shd w:val="clear" w:color="auto" w:fill="FFFFFF"/>
            <w:vAlign w:val="bottom"/>
          </w:tcPr>
          <w:p w:rsidR="00F563AC" w:rsidRPr="004D6E33" w:rsidRDefault="00764EF3" w:rsidP="00BC3789">
            <w:pPr>
              <w:shd w:val="clear" w:color="auto" w:fill="FFFFFF"/>
              <w:jc w:val="both"/>
              <w:rPr>
                <w:sz w:val="24"/>
                <w:szCs w:val="22"/>
              </w:rPr>
            </w:pPr>
            <w:r w:rsidRPr="004D6E33">
              <w:rPr>
                <w:sz w:val="24"/>
                <w:szCs w:val="22"/>
              </w:rPr>
              <w:t>Amendment</w:t>
            </w:r>
          </w:p>
        </w:tc>
      </w:tr>
      <w:tr w:rsidR="00F563AC" w:rsidRPr="004D6E33" w:rsidTr="00553F63">
        <w:trPr>
          <w:trHeight w:val="211"/>
          <w:jc w:val="center"/>
        </w:trPr>
        <w:tc>
          <w:tcPr>
            <w:tcW w:w="2342" w:type="dxa"/>
            <w:tcBorders>
              <w:top w:val="single" w:sz="6" w:space="0" w:color="auto"/>
              <w:left w:val="nil"/>
              <w:bottom w:val="nil"/>
              <w:right w:val="nil"/>
            </w:tcBorders>
            <w:shd w:val="clear" w:color="auto" w:fill="FFFFFF"/>
          </w:tcPr>
          <w:p w:rsidR="00F563AC" w:rsidRPr="004D6E33" w:rsidRDefault="00764EF3" w:rsidP="001042A6">
            <w:pPr>
              <w:shd w:val="clear" w:color="auto" w:fill="FFFFFF"/>
              <w:jc w:val="both"/>
              <w:rPr>
                <w:sz w:val="24"/>
                <w:szCs w:val="22"/>
              </w:rPr>
            </w:pPr>
            <w:r w:rsidRPr="004D6E33">
              <w:rPr>
                <w:sz w:val="24"/>
                <w:szCs w:val="22"/>
              </w:rPr>
              <w:t>Sub-section 6(2)</w:t>
            </w:r>
            <w:r w:rsidR="009D6C55">
              <w:rPr>
                <w:sz w:val="24"/>
                <w:szCs w:val="22"/>
              </w:rPr>
              <w:t>……………</w:t>
            </w:r>
          </w:p>
        </w:tc>
        <w:tc>
          <w:tcPr>
            <w:tcW w:w="5275" w:type="dxa"/>
            <w:tcBorders>
              <w:top w:val="single" w:sz="6" w:space="0" w:color="auto"/>
              <w:left w:val="nil"/>
              <w:bottom w:val="nil"/>
              <w:right w:val="nil"/>
            </w:tcBorders>
            <w:shd w:val="clear" w:color="auto" w:fill="FFFFFF"/>
          </w:tcPr>
          <w:p w:rsidR="00F563AC" w:rsidRPr="004D6E33" w:rsidRDefault="00764EF3" w:rsidP="00BC3789">
            <w:pPr>
              <w:shd w:val="clear" w:color="auto" w:fill="FFFFFF"/>
              <w:jc w:val="both"/>
              <w:rPr>
                <w:sz w:val="24"/>
                <w:szCs w:val="22"/>
              </w:rPr>
            </w:pPr>
            <w:r w:rsidRPr="004D6E33">
              <w:rPr>
                <w:sz w:val="24"/>
                <w:szCs w:val="22"/>
              </w:rPr>
              <w:t xml:space="preserve">Omit </w:t>
            </w:r>
            <w:r w:rsidR="00C212BD" w:rsidRPr="004D6E33">
              <w:rPr>
                <w:sz w:val="24"/>
                <w:szCs w:val="22"/>
              </w:rPr>
              <w:t>“</w:t>
            </w:r>
            <w:r w:rsidRPr="004D6E33">
              <w:rPr>
                <w:sz w:val="24"/>
                <w:szCs w:val="22"/>
              </w:rPr>
              <w:t>twelve</w:t>
            </w:r>
            <w:r w:rsidR="00C212BD" w:rsidRPr="004D6E33">
              <w:rPr>
                <w:sz w:val="24"/>
                <w:szCs w:val="22"/>
              </w:rPr>
              <w:t>”</w:t>
            </w:r>
            <w:r w:rsidRPr="004D6E33">
              <w:rPr>
                <w:sz w:val="24"/>
                <w:szCs w:val="22"/>
              </w:rPr>
              <w:t xml:space="preserve">, substitute </w:t>
            </w:r>
            <w:r w:rsidR="00C212BD" w:rsidRPr="004D6E33">
              <w:rPr>
                <w:sz w:val="24"/>
                <w:szCs w:val="22"/>
              </w:rPr>
              <w:t>“</w:t>
            </w:r>
            <w:r w:rsidRPr="004D6E33">
              <w:rPr>
                <w:sz w:val="24"/>
                <w:szCs w:val="22"/>
              </w:rPr>
              <w:t>12</w:t>
            </w:r>
            <w:r w:rsidR="00C212BD" w:rsidRPr="004D6E33">
              <w:rPr>
                <w:sz w:val="24"/>
                <w:szCs w:val="22"/>
              </w:rPr>
              <w:t>”</w:t>
            </w:r>
            <w:r w:rsidRPr="004D6E33">
              <w:rPr>
                <w:sz w:val="24"/>
                <w:szCs w:val="22"/>
              </w:rPr>
              <w:t>.</w:t>
            </w:r>
          </w:p>
        </w:tc>
      </w:tr>
      <w:tr w:rsidR="00F563AC" w:rsidRPr="004D6E33" w:rsidTr="00553F63">
        <w:trPr>
          <w:trHeight w:val="317"/>
          <w:jc w:val="center"/>
        </w:trPr>
        <w:tc>
          <w:tcPr>
            <w:tcW w:w="2342" w:type="dxa"/>
            <w:tcBorders>
              <w:top w:val="nil"/>
              <w:left w:val="nil"/>
              <w:bottom w:val="nil"/>
              <w:right w:val="nil"/>
            </w:tcBorders>
            <w:shd w:val="clear" w:color="auto" w:fill="FFFFFF"/>
          </w:tcPr>
          <w:p w:rsidR="00F563AC" w:rsidRPr="004D6E33" w:rsidRDefault="00764EF3" w:rsidP="001042A6">
            <w:pPr>
              <w:shd w:val="clear" w:color="auto" w:fill="FFFFFF"/>
              <w:ind w:left="216" w:hanging="216"/>
              <w:jc w:val="both"/>
              <w:rPr>
                <w:sz w:val="24"/>
                <w:szCs w:val="22"/>
              </w:rPr>
            </w:pPr>
            <w:r w:rsidRPr="004D6E33">
              <w:rPr>
                <w:sz w:val="24"/>
                <w:szCs w:val="22"/>
              </w:rPr>
              <w:t xml:space="preserve">Sub-section 14(1) (definition of </w:t>
            </w:r>
            <w:r w:rsidR="00C212BD" w:rsidRPr="004D6E33">
              <w:rPr>
                <w:sz w:val="24"/>
                <w:szCs w:val="22"/>
              </w:rPr>
              <w:t>“</w:t>
            </w:r>
            <w:r w:rsidRPr="004D6E33">
              <w:rPr>
                <w:sz w:val="24"/>
                <w:szCs w:val="22"/>
              </w:rPr>
              <w:t>the</w:t>
            </w:r>
            <w:r w:rsidR="00C212BD" w:rsidRPr="004D6E33">
              <w:rPr>
                <w:sz w:val="24"/>
                <w:szCs w:val="22"/>
              </w:rPr>
              <w:t xml:space="preserve"> </w:t>
            </w:r>
            <w:r w:rsidRPr="004D6E33">
              <w:rPr>
                <w:sz w:val="24"/>
                <w:szCs w:val="22"/>
              </w:rPr>
              <w:t>maximum</w:t>
            </w:r>
            <w:r w:rsidR="00C212BD" w:rsidRPr="004D6E33">
              <w:rPr>
                <w:sz w:val="24"/>
                <w:szCs w:val="22"/>
              </w:rPr>
              <w:t xml:space="preserve"> </w:t>
            </w:r>
            <w:r w:rsidRPr="004D6E33">
              <w:rPr>
                <w:sz w:val="24"/>
                <w:szCs w:val="22"/>
              </w:rPr>
              <w:t>quantity</w:t>
            </w:r>
            <w:r w:rsidR="00C212BD" w:rsidRPr="004D6E33">
              <w:rPr>
                <w:sz w:val="24"/>
                <w:szCs w:val="22"/>
              </w:rPr>
              <w:t>”</w:t>
            </w:r>
            <w:r w:rsidRPr="004D6E33">
              <w:rPr>
                <w:sz w:val="24"/>
                <w:szCs w:val="22"/>
              </w:rPr>
              <w:t>)</w:t>
            </w:r>
          </w:p>
        </w:tc>
        <w:tc>
          <w:tcPr>
            <w:tcW w:w="5275" w:type="dxa"/>
            <w:tcBorders>
              <w:top w:val="nil"/>
              <w:left w:val="nil"/>
              <w:bottom w:val="nil"/>
              <w:right w:val="nil"/>
            </w:tcBorders>
            <w:shd w:val="clear" w:color="auto" w:fill="FFFFFF"/>
          </w:tcPr>
          <w:p w:rsidR="00F563AC" w:rsidRPr="004D6E33" w:rsidRDefault="00764EF3" w:rsidP="00BC3789">
            <w:pPr>
              <w:shd w:val="clear" w:color="auto" w:fill="FFFFFF"/>
              <w:jc w:val="both"/>
              <w:rPr>
                <w:sz w:val="24"/>
                <w:szCs w:val="22"/>
              </w:rPr>
            </w:pPr>
            <w:r w:rsidRPr="004D6E33">
              <w:rPr>
                <w:sz w:val="24"/>
                <w:szCs w:val="22"/>
              </w:rPr>
              <w:t>(a)</w:t>
            </w:r>
            <w:r w:rsidR="00C212BD" w:rsidRPr="004D6E33">
              <w:rPr>
                <w:sz w:val="24"/>
                <w:szCs w:val="22"/>
              </w:rPr>
              <w:t xml:space="preserve"> </w:t>
            </w:r>
            <w:r w:rsidRPr="004D6E33">
              <w:rPr>
                <w:sz w:val="24"/>
                <w:szCs w:val="22"/>
              </w:rPr>
              <w:t xml:space="preserve">Omit </w:t>
            </w:r>
            <w:r w:rsidR="00C212BD" w:rsidRPr="004D6E33">
              <w:rPr>
                <w:sz w:val="24"/>
                <w:szCs w:val="22"/>
              </w:rPr>
              <w:t>“</w:t>
            </w:r>
            <w:r w:rsidRPr="004D6E33">
              <w:rPr>
                <w:sz w:val="24"/>
                <w:szCs w:val="22"/>
              </w:rPr>
              <w:t>Thirteen</w:t>
            </w:r>
            <w:r w:rsidR="00C212BD" w:rsidRPr="004D6E33">
              <w:rPr>
                <w:sz w:val="24"/>
                <w:szCs w:val="22"/>
              </w:rPr>
              <w:t xml:space="preserve"> </w:t>
            </w:r>
            <w:r w:rsidRPr="004D6E33">
              <w:rPr>
                <w:sz w:val="24"/>
                <w:szCs w:val="22"/>
              </w:rPr>
              <w:t>thousand</w:t>
            </w:r>
            <w:r w:rsidR="00C212BD" w:rsidRPr="004D6E33">
              <w:rPr>
                <w:sz w:val="24"/>
                <w:szCs w:val="22"/>
              </w:rPr>
              <w:t xml:space="preserve"> </w:t>
            </w:r>
            <w:r w:rsidRPr="004D6E33">
              <w:rPr>
                <w:sz w:val="24"/>
                <w:szCs w:val="22"/>
              </w:rPr>
              <w:t>five</w:t>
            </w:r>
            <w:r w:rsidR="00C212BD" w:rsidRPr="004D6E33">
              <w:rPr>
                <w:sz w:val="24"/>
                <w:szCs w:val="22"/>
              </w:rPr>
              <w:t xml:space="preserve"> </w:t>
            </w:r>
            <w:r w:rsidRPr="004D6E33">
              <w:rPr>
                <w:sz w:val="24"/>
                <w:szCs w:val="22"/>
              </w:rPr>
              <w:t>hundred</w:t>
            </w:r>
            <w:r w:rsidR="00C212BD" w:rsidRPr="004D6E33">
              <w:rPr>
                <w:sz w:val="24"/>
                <w:szCs w:val="22"/>
              </w:rPr>
              <w:t>”</w:t>
            </w:r>
            <w:r w:rsidRPr="004D6E33">
              <w:rPr>
                <w:sz w:val="24"/>
                <w:szCs w:val="22"/>
              </w:rPr>
              <w:t>,</w:t>
            </w:r>
            <w:r w:rsidR="00C212BD" w:rsidRPr="004D6E33">
              <w:rPr>
                <w:sz w:val="24"/>
                <w:szCs w:val="22"/>
              </w:rPr>
              <w:t xml:space="preserve"> </w:t>
            </w:r>
            <w:r w:rsidRPr="004D6E33">
              <w:rPr>
                <w:sz w:val="24"/>
                <w:szCs w:val="22"/>
              </w:rPr>
              <w:t xml:space="preserve">substitute </w:t>
            </w:r>
            <w:r w:rsidR="00C212BD" w:rsidRPr="004D6E33">
              <w:rPr>
                <w:sz w:val="24"/>
                <w:szCs w:val="22"/>
              </w:rPr>
              <w:t>“</w:t>
            </w:r>
            <w:r w:rsidRPr="004D6E33">
              <w:rPr>
                <w:sz w:val="24"/>
                <w:szCs w:val="22"/>
              </w:rPr>
              <w:t>13,500</w:t>
            </w:r>
            <w:r w:rsidR="00C212BD" w:rsidRPr="004D6E33">
              <w:rPr>
                <w:sz w:val="24"/>
                <w:szCs w:val="22"/>
              </w:rPr>
              <w:t>”</w:t>
            </w:r>
            <w:r w:rsidRPr="004D6E33">
              <w:rPr>
                <w:sz w:val="24"/>
                <w:szCs w:val="22"/>
              </w:rPr>
              <w:t>.</w:t>
            </w:r>
          </w:p>
        </w:tc>
      </w:tr>
      <w:tr w:rsidR="00F563AC" w:rsidRPr="004D6E33" w:rsidTr="00553F63">
        <w:trPr>
          <w:trHeight w:val="221"/>
          <w:jc w:val="center"/>
        </w:trPr>
        <w:tc>
          <w:tcPr>
            <w:tcW w:w="2342" w:type="dxa"/>
            <w:tcBorders>
              <w:top w:val="nil"/>
              <w:left w:val="nil"/>
              <w:bottom w:val="nil"/>
              <w:right w:val="nil"/>
            </w:tcBorders>
            <w:shd w:val="clear" w:color="auto" w:fill="FFFFFF"/>
          </w:tcPr>
          <w:p w:rsidR="00F563AC" w:rsidRPr="004D6E33" w:rsidRDefault="00F563AC" w:rsidP="00BC3789">
            <w:pPr>
              <w:jc w:val="both"/>
              <w:rPr>
                <w:sz w:val="24"/>
                <w:szCs w:val="22"/>
              </w:rPr>
            </w:pPr>
          </w:p>
        </w:tc>
        <w:tc>
          <w:tcPr>
            <w:tcW w:w="5275" w:type="dxa"/>
            <w:tcBorders>
              <w:top w:val="nil"/>
              <w:left w:val="nil"/>
              <w:bottom w:val="nil"/>
              <w:right w:val="nil"/>
            </w:tcBorders>
            <w:shd w:val="clear" w:color="auto" w:fill="FFFFFF"/>
          </w:tcPr>
          <w:p w:rsidR="00F563AC" w:rsidRPr="004D6E33" w:rsidRDefault="00764EF3" w:rsidP="00BC3789">
            <w:pPr>
              <w:shd w:val="clear" w:color="auto" w:fill="FFFFFF"/>
              <w:jc w:val="both"/>
              <w:rPr>
                <w:sz w:val="24"/>
                <w:szCs w:val="22"/>
              </w:rPr>
            </w:pPr>
            <w:r w:rsidRPr="004D6E33">
              <w:rPr>
                <w:sz w:val="24"/>
                <w:szCs w:val="22"/>
              </w:rPr>
              <w:t>(b)</w:t>
            </w:r>
            <w:r w:rsidR="00C212BD" w:rsidRPr="004D6E33">
              <w:rPr>
                <w:sz w:val="24"/>
                <w:szCs w:val="22"/>
              </w:rPr>
              <w:t xml:space="preserve"> </w:t>
            </w:r>
            <w:r w:rsidRPr="004D6E33">
              <w:rPr>
                <w:sz w:val="24"/>
                <w:szCs w:val="22"/>
              </w:rPr>
              <w:t xml:space="preserve">Omit </w:t>
            </w:r>
            <w:r w:rsidR="00C212BD" w:rsidRPr="004D6E33">
              <w:rPr>
                <w:sz w:val="24"/>
                <w:szCs w:val="22"/>
              </w:rPr>
              <w:t>“</w:t>
            </w:r>
            <w:r w:rsidRPr="004D6E33">
              <w:rPr>
                <w:sz w:val="24"/>
                <w:szCs w:val="22"/>
              </w:rPr>
              <w:t>Seventy-five thousand</w:t>
            </w:r>
            <w:r w:rsidR="00C212BD" w:rsidRPr="004D6E33">
              <w:rPr>
                <w:sz w:val="24"/>
                <w:szCs w:val="22"/>
              </w:rPr>
              <w:t>”</w:t>
            </w:r>
            <w:r w:rsidRPr="004D6E33">
              <w:rPr>
                <w:sz w:val="24"/>
                <w:szCs w:val="22"/>
              </w:rPr>
              <w:t xml:space="preserve">, substitute </w:t>
            </w:r>
            <w:r w:rsidR="00C212BD" w:rsidRPr="004D6E33">
              <w:rPr>
                <w:sz w:val="24"/>
                <w:szCs w:val="22"/>
              </w:rPr>
              <w:t>“</w:t>
            </w:r>
            <w:r w:rsidRPr="004D6E33">
              <w:rPr>
                <w:sz w:val="24"/>
                <w:szCs w:val="22"/>
              </w:rPr>
              <w:t>75,000</w:t>
            </w:r>
            <w:r w:rsidR="00C212BD" w:rsidRPr="004D6E33">
              <w:rPr>
                <w:sz w:val="24"/>
                <w:szCs w:val="22"/>
              </w:rPr>
              <w:t>”</w:t>
            </w:r>
            <w:r w:rsidRPr="004D6E33">
              <w:rPr>
                <w:sz w:val="24"/>
                <w:szCs w:val="22"/>
              </w:rPr>
              <w:t>.</w:t>
            </w:r>
          </w:p>
        </w:tc>
      </w:tr>
      <w:tr w:rsidR="00F563AC" w:rsidRPr="004D6E33" w:rsidTr="00553F63">
        <w:trPr>
          <w:trHeight w:val="178"/>
          <w:jc w:val="center"/>
        </w:trPr>
        <w:tc>
          <w:tcPr>
            <w:tcW w:w="2342" w:type="dxa"/>
            <w:tcBorders>
              <w:top w:val="nil"/>
              <w:left w:val="nil"/>
              <w:bottom w:val="nil"/>
              <w:right w:val="nil"/>
            </w:tcBorders>
            <w:shd w:val="clear" w:color="auto" w:fill="FFFFFF"/>
          </w:tcPr>
          <w:p w:rsidR="00F563AC" w:rsidRPr="004D6E33" w:rsidRDefault="00F563AC" w:rsidP="00BC3789">
            <w:pPr>
              <w:shd w:val="clear" w:color="auto" w:fill="FFFFFF"/>
              <w:jc w:val="both"/>
              <w:rPr>
                <w:sz w:val="24"/>
                <w:szCs w:val="22"/>
              </w:rPr>
            </w:pPr>
          </w:p>
        </w:tc>
        <w:tc>
          <w:tcPr>
            <w:tcW w:w="5275" w:type="dxa"/>
            <w:tcBorders>
              <w:top w:val="nil"/>
              <w:left w:val="nil"/>
              <w:bottom w:val="nil"/>
              <w:right w:val="nil"/>
            </w:tcBorders>
            <w:shd w:val="clear" w:color="auto" w:fill="FFFFFF"/>
          </w:tcPr>
          <w:p w:rsidR="00F563AC" w:rsidRPr="004D6E33" w:rsidRDefault="00764EF3" w:rsidP="00BC3789">
            <w:pPr>
              <w:shd w:val="clear" w:color="auto" w:fill="FFFFFF"/>
              <w:jc w:val="both"/>
              <w:rPr>
                <w:sz w:val="24"/>
                <w:szCs w:val="22"/>
              </w:rPr>
            </w:pPr>
            <w:r w:rsidRPr="004D6E33">
              <w:rPr>
                <w:sz w:val="24"/>
                <w:szCs w:val="22"/>
              </w:rPr>
              <w:t>(c)</w:t>
            </w:r>
            <w:r w:rsidR="00C212BD" w:rsidRPr="004D6E33">
              <w:rPr>
                <w:sz w:val="24"/>
                <w:szCs w:val="22"/>
              </w:rPr>
              <w:t xml:space="preserve"> </w:t>
            </w:r>
            <w:r w:rsidRPr="004D6E33">
              <w:rPr>
                <w:sz w:val="24"/>
                <w:szCs w:val="22"/>
              </w:rPr>
              <w:t xml:space="preserve">Omit </w:t>
            </w:r>
            <w:r w:rsidR="00C212BD" w:rsidRPr="004D6E33">
              <w:rPr>
                <w:sz w:val="24"/>
                <w:szCs w:val="22"/>
              </w:rPr>
              <w:t>“</w:t>
            </w:r>
            <w:r w:rsidRPr="004D6E33">
              <w:rPr>
                <w:sz w:val="24"/>
                <w:szCs w:val="22"/>
              </w:rPr>
              <w:t>Eleven thousand</w:t>
            </w:r>
            <w:r w:rsidR="00C212BD" w:rsidRPr="004D6E33">
              <w:rPr>
                <w:sz w:val="24"/>
                <w:szCs w:val="22"/>
              </w:rPr>
              <w:t>”</w:t>
            </w:r>
            <w:r w:rsidRPr="004D6E33">
              <w:rPr>
                <w:sz w:val="24"/>
                <w:szCs w:val="22"/>
              </w:rPr>
              <w:t xml:space="preserve">, substitute </w:t>
            </w:r>
            <w:r w:rsidR="00C212BD" w:rsidRPr="004D6E33">
              <w:rPr>
                <w:sz w:val="24"/>
                <w:szCs w:val="22"/>
              </w:rPr>
              <w:t>“</w:t>
            </w:r>
            <w:r w:rsidRPr="004D6E33">
              <w:rPr>
                <w:sz w:val="24"/>
                <w:szCs w:val="22"/>
              </w:rPr>
              <w:t>11,000</w:t>
            </w:r>
            <w:r w:rsidR="00C212BD" w:rsidRPr="004D6E33">
              <w:rPr>
                <w:sz w:val="24"/>
                <w:szCs w:val="22"/>
              </w:rPr>
              <w:t>”</w:t>
            </w:r>
            <w:r w:rsidRPr="004D6E33">
              <w:rPr>
                <w:sz w:val="24"/>
                <w:szCs w:val="22"/>
              </w:rPr>
              <w:t>.</w:t>
            </w:r>
          </w:p>
        </w:tc>
      </w:tr>
      <w:tr w:rsidR="00F563AC" w:rsidRPr="004D6E33" w:rsidTr="00553F63">
        <w:trPr>
          <w:trHeight w:val="173"/>
          <w:jc w:val="center"/>
        </w:trPr>
        <w:tc>
          <w:tcPr>
            <w:tcW w:w="2342" w:type="dxa"/>
            <w:tcBorders>
              <w:top w:val="nil"/>
              <w:left w:val="nil"/>
              <w:bottom w:val="nil"/>
              <w:right w:val="nil"/>
            </w:tcBorders>
            <w:shd w:val="clear" w:color="auto" w:fill="FFFFFF"/>
          </w:tcPr>
          <w:p w:rsidR="00F563AC" w:rsidRPr="004D6E33" w:rsidRDefault="001042A6" w:rsidP="00BC3789">
            <w:pPr>
              <w:shd w:val="clear" w:color="auto" w:fill="FFFFFF"/>
              <w:jc w:val="both"/>
              <w:rPr>
                <w:sz w:val="24"/>
                <w:szCs w:val="22"/>
              </w:rPr>
            </w:pPr>
            <w:r>
              <w:rPr>
                <w:sz w:val="24"/>
                <w:szCs w:val="22"/>
              </w:rPr>
              <w:t>Sub-section 27</w:t>
            </w:r>
            <w:r w:rsidR="00764EF3" w:rsidRPr="004D6E33">
              <w:rPr>
                <w:sz w:val="24"/>
                <w:szCs w:val="22"/>
              </w:rPr>
              <w:t>(1)</w:t>
            </w:r>
            <w:r w:rsidR="009D6C55">
              <w:rPr>
                <w:sz w:val="24"/>
                <w:szCs w:val="22"/>
              </w:rPr>
              <w:t>…………..</w:t>
            </w:r>
          </w:p>
        </w:tc>
        <w:tc>
          <w:tcPr>
            <w:tcW w:w="5275" w:type="dxa"/>
            <w:tcBorders>
              <w:top w:val="nil"/>
              <w:left w:val="nil"/>
              <w:bottom w:val="nil"/>
              <w:right w:val="nil"/>
            </w:tcBorders>
            <w:shd w:val="clear" w:color="auto" w:fill="FFFFFF"/>
          </w:tcPr>
          <w:p w:rsidR="00F563AC" w:rsidRPr="004D6E33" w:rsidRDefault="00764EF3" w:rsidP="001042A6">
            <w:pPr>
              <w:shd w:val="clear" w:color="auto" w:fill="FFFFFF"/>
              <w:jc w:val="both"/>
              <w:rPr>
                <w:sz w:val="24"/>
                <w:szCs w:val="22"/>
              </w:rPr>
            </w:pPr>
            <w:r w:rsidRPr="004D6E33">
              <w:rPr>
                <w:sz w:val="24"/>
                <w:szCs w:val="22"/>
              </w:rPr>
              <w:t xml:space="preserve">Omit </w:t>
            </w:r>
            <w:r w:rsidR="00C212BD" w:rsidRPr="004D6E33">
              <w:rPr>
                <w:sz w:val="24"/>
                <w:szCs w:val="22"/>
              </w:rPr>
              <w:t>“</w:t>
            </w:r>
            <w:r w:rsidRPr="004D6E33">
              <w:rPr>
                <w:sz w:val="24"/>
                <w:szCs w:val="22"/>
              </w:rPr>
              <w:t>six</w:t>
            </w:r>
            <w:r w:rsidR="001042A6">
              <w:rPr>
                <w:sz w:val="24"/>
                <w:szCs w:val="22"/>
              </w:rPr>
              <w:t>”</w:t>
            </w:r>
            <w:r w:rsidRPr="004D6E33">
              <w:rPr>
                <w:sz w:val="24"/>
                <w:szCs w:val="22"/>
              </w:rPr>
              <w:t xml:space="preserve"> </w:t>
            </w:r>
            <w:bookmarkStart w:id="0" w:name="_GoBack"/>
            <w:bookmarkEnd w:id="0"/>
            <w:r w:rsidRPr="004D6E33">
              <w:rPr>
                <w:sz w:val="24"/>
                <w:szCs w:val="22"/>
              </w:rPr>
              <w:t xml:space="preserve">(wherever occurring), substitute </w:t>
            </w:r>
            <w:r w:rsidR="00C212BD" w:rsidRPr="004D6E33">
              <w:rPr>
                <w:sz w:val="24"/>
                <w:szCs w:val="22"/>
              </w:rPr>
              <w:t>“</w:t>
            </w:r>
            <w:r w:rsidRPr="004D6E33">
              <w:rPr>
                <w:sz w:val="24"/>
                <w:szCs w:val="22"/>
              </w:rPr>
              <w:t>6</w:t>
            </w:r>
            <w:r w:rsidR="00C212BD" w:rsidRPr="004D6E33">
              <w:rPr>
                <w:sz w:val="24"/>
                <w:szCs w:val="22"/>
              </w:rPr>
              <w:t>”</w:t>
            </w:r>
            <w:r w:rsidRPr="004D6E33">
              <w:rPr>
                <w:sz w:val="24"/>
                <w:szCs w:val="22"/>
              </w:rPr>
              <w:t>.</w:t>
            </w:r>
          </w:p>
        </w:tc>
      </w:tr>
      <w:tr w:rsidR="00F563AC" w:rsidRPr="004D6E33" w:rsidTr="00553F63">
        <w:trPr>
          <w:trHeight w:val="187"/>
          <w:jc w:val="center"/>
        </w:trPr>
        <w:tc>
          <w:tcPr>
            <w:tcW w:w="2342" w:type="dxa"/>
            <w:tcBorders>
              <w:top w:val="nil"/>
              <w:left w:val="nil"/>
              <w:bottom w:val="single" w:sz="6" w:space="0" w:color="auto"/>
              <w:right w:val="nil"/>
            </w:tcBorders>
            <w:shd w:val="clear" w:color="auto" w:fill="FFFFFF"/>
          </w:tcPr>
          <w:p w:rsidR="00F563AC" w:rsidRPr="004D6E33" w:rsidRDefault="00764EF3" w:rsidP="001042A6">
            <w:pPr>
              <w:shd w:val="clear" w:color="auto" w:fill="FFFFFF"/>
              <w:jc w:val="both"/>
              <w:rPr>
                <w:sz w:val="24"/>
                <w:szCs w:val="22"/>
              </w:rPr>
            </w:pPr>
            <w:r w:rsidRPr="004D6E33">
              <w:rPr>
                <w:sz w:val="24"/>
                <w:szCs w:val="22"/>
              </w:rPr>
              <w:t>Sub-section 27(2)</w:t>
            </w:r>
            <w:r w:rsidR="009D6C55">
              <w:rPr>
                <w:sz w:val="24"/>
                <w:szCs w:val="22"/>
              </w:rPr>
              <w:t>…………..</w:t>
            </w:r>
          </w:p>
        </w:tc>
        <w:tc>
          <w:tcPr>
            <w:tcW w:w="5275" w:type="dxa"/>
            <w:tcBorders>
              <w:top w:val="nil"/>
              <w:left w:val="nil"/>
              <w:bottom w:val="single" w:sz="6" w:space="0" w:color="auto"/>
              <w:right w:val="nil"/>
            </w:tcBorders>
            <w:shd w:val="clear" w:color="auto" w:fill="FFFFFF"/>
          </w:tcPr>
          <w:p w:rsidR="00F563AC" w:rsidRPr="004D6E33" w:rsidRDefault="00764EF3" w:rsidP="00BC3789">
            <w:pPr>
              <w:shd w:val="clear" w:color="auto" w:fill="FFFFFF"/>
              <w:jc w:val="both"/>
              <w:rPr>
                <w:sz w:val="24"/>
                <w:szCs w:val="22"/>
              </w:rPr>
            </w:pPr>
            <w:r w:rsidRPr="004D6E33">
              <w:rPr>
                <w:sz w:val="24"/>
                <w:szCs w:val="22"/>
              </w:rPr>
              <w:t xml:space="preserve">Omit </w:t>
            </w:r>
            <w:r w:rsidR="00C212BD" w:rsidRPr="004D6E33">
              <w:rPr>
                <w:sz w:val="24"/>
                <w:szCs w:val="22"/>
              </w:rPr>
              <w:t>“</w:t>
            </w:r>
            <w:r w:rsidRPr="004D6E33">
              <w:rPr>
                <w:sz w:val="24"/>
                <w:szCs w:val="22"/>
              </w:rPr>
              <w:t>three</w:t>
            </w:r>
            <w:r w:rsidR="00C212BD" w:rsidRPr="004D6E33">
              <w:rPr>
                <w:sz w:val="24"/>
                <w:szCs w:val="22"/>
              </w:rPr>
              <w:t>”</w:t>
            </w:r>
            <w:r w:rsidRPr="004D6E33">
              <w:rPr>
                <w:sz w:val="24"/>
                <w:szCs w:val="22"/>
              </w:rPr>
              <w:t xml:space="preserve">, substitute </w:t>
            </w:r>
            <w:r w:rsidR="00C212BD" w:rsidRPr="004D6E33">
              <w:rPr>
                <w:sz w:val="24"/>
                <w:szCs w:val="22"/>
              </w:rPr>
              <w:t>“</w:t>
            </w:r>
            <w:r w:rsidRPr="004D6E33">
              <w:rPr>
                <w:sz w:val="24"/>
                <w:szCs w:val="22"/>
              </w:rPr>
              <w:t>3</w:t>
            </w:r>
            <w:r w:rsidR="00C212BD" w:rsidRPr="004D6E33">
              <w:rPr>
                <w:sz w:val="24"/>
                <w:szCs w:val="22"/>
              </w:rPr>
              <w:t>”</w:t>
            </w:r>
            <w:r w:rsidRPr="004D6E33">
              <w:rPr>
                <w:sz w:val="24"/>
                <w:szCs w:val="22"/>
              </w:rPr>
              <w:t>.</w:t>
            </w:r>
          </w:p>
        </w:tc>
      </w:tr>
    </w:tbl>
    <w:p w:rsidR="00764EF3" w:rsidRPr="001042A6" w:rsidRDefault="006D51A0" w:rsidP="001042A6">
      <w:pPr>
        <w:shd w:val="clear" w:color="auto" w:fill="FFFFFF"/>
        <w:spacing w:before="600" w:after="120"/>
        <w:jc w:val="center"/>
        <w:rPr>
          <w:b/>
          <w:sz w:val="24"/>
          <w:szCs w:val="22"/>
        </w:rPr>
      </w:pPr>
      <w:r w:rsidRPr="004D6E33">
        <w:rPr>
          <w:b/>
          <w:bCs/>
          <w:noProof/>
          <w:sz w:val="24"/>
          <w:szCs w:val="22"/>
          <w:lang w:val="en-AU" w:eastAsia="en-AU"/>
        </w:rPr>
        <mc:AlternateContent>
          <mc:Choice Requires="wps">
            <w:drawing>
              <wp:anchor distT="0" distB="0" distL="114300" distR="114300" simplePos="0" relativeHeight="251659264" behindDoc="0" locked="0" layoutInCell="1" allowOverlap="1" wp14:anchorId="47B58B61" wp14:editId="1AB0F350">
                <wp:simplePos x="0" y="0"/>
                <wp:positionH relativeFrom="column">
                  <wp:posOffset>-58003</wp:posOffset>
                </wp:positionH>
                <wp:positionV relativeFrom="paragraph">
                  <wp:posOffset>180539</wp:posOffset>
                </wp:positionV>
                <wp:extent cx="6387152"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6387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843F5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pt,14.2pt" to="498.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" strokecolor="black [3040]"/>
            </w:pict>
          </mc:Fallback>
        </mc:AlternateContent>
      </w:r>
    </w:p>
    <w:sectPr w:rsidR="00764EF3" w:rsidRPr="001042A6" w:rsidSect="00FB73CF">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75C" w:rsidRDefault="00BE275C" w:rsidP="00FB73CF">
      <w:r>
        <w:separator/>
      </w:r>
    </w:p>
  </w:endnote>
  <w:endnote w:type="continuationSeparator" w:id="0">
    <w:p w:rsidR="00BE275C" w:rsidRDefault="00BE275C" w:rsidP="00FB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75C" w:rsidRDefault="00BE275C" w:rsidP="00FB73CF">
      <w:r>
        <w:separator/>
      </w:r>
    </w:p>
  </w:footnote>
  <w:footnote w:type="continuationSeparator" w:id="0">
    <w:p w:rsidR="00BE275C" w:rsidRDefault="00BE275C" w:rsidP="00FB7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CF" w:rsidRPr="00FB73CF" w:rsidRDefault="00FB73CF" w:rsidP="00705BFA">
    <w:pPr>
      <w:pStyle w:val="Header"/>
      <w:tabs>
        <w:tab w:val="clear" w:pos="9360"/>
        <w:tab w:val="right" w:pos="9720"/>
      </w:tabs>
      <w:rPr>
        <w:sz w:val="22"/>
      </w:rPr>
    </w:pPr>
    <w:r w:rsidRPr="00FB73CF">
      <w:rPr>
        <w:bCs/>
        <w:sz w:val="22"/>
        <w:szCs w:val="22"/>
      </w:rPr>
      <w:t>No. 135</w:t>
    </w:r>
    <w:r w:rsidRPr="00FB73CF">
      <w:rPr>
        <w:bCs/>
        <w:sz w:val="22"/>
        <w:szCs w:val="22"/>
      </w:rPr>
      <w:tab/>
    </w:r>
    <w:r w:rsidRPr="00FB73CF">
      <w:rPr>
        <w:i/>
        <w:iCs/>
        <w:sz w:val="22"/>
      </w:rPr>
      <w:t>Dried Vine Fruits Stabilization Amendment</w:t>
    </w:r>
    <w:r w:rsidRPr="00FB73CF">
      <w:rPr>
        <w:i/>
        <w:iCs/>
        <w:sz w:val="22"/>
      </w:rPr>
      <w:tab/>
    </w:r>
    <w:r w:rsidRPr="00FB73CF">
      <w:rPr>
        <w:bCs/>
        <w:sz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CF" w:rsidRPr="00705BFA" w:rsidRDefault="00705BFA" w:rsidP="00705BFA">
    <w:pPr>
      <w:pStyle w:val="Header"/>
      <w:tabs>
        <w:tab w:val="clear" w:pos="9360"/>
        <w:tab w:val="right" w:pos="9720"/>
      </w:tabs>
      <w:rPr>
        <w:sz w:val="22"/>
      </w:rPr>
    </w:pPr>
    <w:r w:rsidRPr="00FB73CF">
      <w:rPr>
        <w:bCs/>
        <w:sz w:val="22"/>
      </w:rPr>
      <w:t>1978</w:t>
    </w:r>
    <w:r w:rsidRPr="00FB73CF">
      <w:rPr>
        <w:bCs/>
        <w:sz w:val="22"/>
        <w:szCs w:val="22"/>
      </w:rPr>
      <w:tab/>
    </w:r>
    <w:r w:rsidRPr="00FB73CF">
      <w:rPr>
        <w:i/>
        <w:iCs/>
        <w:sz w:val="22"/>
      </w:rPr>
      <w:t>Dried Vine Fruits Stabilization Amendment</w:t>
    </w:r>
    <w:r w:rsidRPr="00FB73CF">
      <w:rPr>
        <w:i/>
        <w:iCs/>
        <w:sz w:val="22"/>
      </w:rPr>
      <w:tab/>
    </w:r>
    <w:r w:rsidRPr="00FB73CF">
      <w:rPr>
        <w:bCs/>
        <w:sz w:val="22"/>
        <w:szCs w:val="22"/>
      </w:rPr>
      <w:t>No. 135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BD"/>
    <w:rsid w:val="001042A6"/>
    <w:rsid w:val="00271C12"/>
    <w:rsid w:val="00283C9C"/>
    <w:rsid w:val="004D6E33"/>
    <w:rsid w:val="00553F63"/>
    <w:rsid w:val="00603222"/>
    <w:rsid w:val="0067489D"/>
    <w:rsid w:val="00687042"/>
    <w:rsid w:val="006D51A0"/>
    <w:rsid w:val="00705BFA"/>
    <w:rsid w:val="00764EF3"/>
    <w:rsid w:val="009D6C55"/>
    <w:rsid w:val="009F7DAC"/>
    <w:rsid w:val="00AB4FF9"/>
    <w:rsid w:val="00BC3789"/>
    <w:rsid w:val="00BE275C"/>
    <w:rsid w:val="00C212BD"/>
    <w:rsid w:val="00E1496F"/>
    <w:rsid w:val="00F563AC"/>
    <w:rsid w:val="00FB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3CF"/>
    <w:pPr>
      <w:tabs>
        <w:tab w:val="center" w:pos="4680"/>
        <w:tab w:val="right" w:pos="9360"/>
      </w:tabs>
    </w:pPr>
  </w:style>
  <w:style w:type="character" w:customStyle="1" w:styleId="HeaderChar">
    <w:name w:val="Header Char"/>
    <w:basedOn w:val="DefaultParagraphFont"/>
    <w:link w:val="Header"/>
    <w:uiPriority w:val="99"/>
    <w:rsid w:val="00FB73CF"/>
    <w:rPr>
      <w:rFonts w:ascii="Times New Roman" w:hAnsi="Times New Roman" w:cs="Times New Roman"/>
      <w:sz w:val="20"/>
      <w:szCs w:val="20"/>
    </w:rPr>
  </w:style>
  <w:style w:type="paragraph" w:styleId="Footer">
    <w:name w:val="footer"/>
    <w:basedOn w:val="Normal"/>
    <w:link w:val="FooterChar"/>
    <w:uiPriority w:val="99"/>
    <w:unhideWhenUsed/>
    <w:rsid w:val="00FB73CF"/>
    <w:pPr>
      <w:tabs>
        <w:tab w:val="center" w:pos="4680"/>
        <w:tab w:val="right" w:pos="9360"/>
      </w:tabs>
    </w:pPr>
  </w:style>
  <w:style w:type="character" w:customStyle="1" w:styleId="FooterChar">
    <w:name w:val="Footer Char"/>
    <w:basedOn w:val="DefaultParagraphFont"/>
    <w:link w:val="Footer"/>
    <w:uiPriority w:val="99"/>
    <w:rsid w:val="00FB73C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B73CF"/>
    <w:rPr>
      <w:rFonts w:ascii="Tahoma" w:hAnsi="Tahoma" w:cs="Tahoma"/>
      <w:sz w:val="16"/>
      <w:szCs w:val="16"/>
    </w:rPr>
  </w:style>
  <w:style w:type="character" w:customStyle="1" w:styleId="BalloonTextChar">
    <w:name w:val="Balloon Text Char"/>
    <w:basedOn w:val="DefaultParagraphFont"/>
    <w:link w:val="BalloonText"/>
    <w:uiPriority w:val="99"/>
    <w:semiHidden/>
    <w:rsid w:val="00FB7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3CF"/>
    <w:pPr>
      <w:tabs>
        <w:tab w:val="center" w:pos="4680"/>
        <w:tab w:val="right" w:pos="9360"/>
      </w:tabs>
    </w:pPr>
  </w:style>
  <w:style w:type="character" w:customStyle="1" w:styleId="HeaderChar">
    <w:name w:val="Header Char"/>
    <w:basedOn w:val="DefaultParagraphFont"/>
    <w:link w:val="Header"/>
    <w:uiPriority w:val="99"/>
    <w:rsid w:val="00FB73CF"/>
    <w:rPr>
      <w:rFonts w:ascii="Times New Roman" w:hAnsi="Times New Roman" w:cs="Times New Roman"/>
      <w:sz w:val="20"/>
      <w:szCs w:val="20"/>
    </w:rPr>
  </w:style>
  <w:style w:type="paragraph" w:styleId="Footer">
    <w:name w:val="footer"/>
    <w:basedOn w:val="Normal"/>
    <w:link w:val="FooterChar"/>
    <w:uiPriority w:val="99"/>
    <w:unhideWhenUsed/>
    <w:rsid w:val="00FB73CF"/>
    <w:pPr>
      <w:tabs>
        <w:tab w:val="center" w:pos="4680"/>
        <w:tab w:val="right" w:pos="9360"/>
      </w:tabs>
    </w:pPr>
  </w:style>
  <w:style w:type="character" w:customStyle="1" w:styleId="FooterChar">
    <w:name w:val="Footer Char"/>
    <w:basedOn w:val="DefaultParagraphFont"/>
    <w:link w:val="Footer"/>
    <w:uiPriority w:val="99"/>
    <w:rsid w:val="00FB73C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B73CF"/>
    <w:rPr>
      <w:rFonts w:ascii="Tahoma" w:hAnsi="Tahoma" w:cs="Tahoma"/>
      <w:sz w:val="16"/>
      <w:szCs w:val="16"/>
    </w:rPr>
  </w:style>
  <w:style w:type="character" w:customStyle="1" w:styleId="BalloonTextChar">
    <w:name w:val="Balloon Text Char"/>
    <w:basedOn w:val="DefaultParagraphFont"/>
    <w:link w:val="BalloonText"/>
    <w:uiPriority w:val="99"/>
    <w:semiHidden/>
    <w:rsid w:val="00FB7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24</cp:revision>
  <dcterms:created xsi:type="dcterms:W3CDTF">2018-03-12T05:11:00Z</dcterms:created>
  <dcterms:modified xsi:type="dcterms:W3CDTF">2019-09-23T03:01:00Z</dcterms:modified>
</cp:coreProperties>
</file>