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B56EE" w14:textId="77777777" w:rsidR="00C41193" w:rsidRPr="0022293E" w:rsidRDefault="009F00F8" w:rsidP="00013571">
      <w:pPr>
        <w:shd w:val="clear" w:color="auto" w:fill="FFFFFF"/>
        <w:ind w:left="1440" w:right="1440"/>
        <w:jc w:val="center"/>
        <w:rPr>
          <w:rFonts w:cs="Arial"/>
          <w:sz w:val="32"/>
          <w:szCs w:val="24"/>
        </w:rPr>
      </w:pPr>
      <w:r w:rsidRPr="0022293E">
        <w:rPr>
          <w:rFonts w:cs="Arial"/>
          <w:b/>
          <w:bCs/>
          <w:sz w:val="32"/>
          <w:szCs w:val="28"/>
        </w:rPr>
        <w:t>PRIMARY INDUSTRY BANK AMENDMENT</w:t>
      </w:r>
      <w:r w:rsidR="00013571">
        <w:rPr>
          <w:rFonts w:cs="Arial"/>
          <w:b/>
          <w:bCs/>
          <w:sz w:val="32"/>
          <w:szCs w:val="28"/>
        </w:rPr>
        <w:t xml:space="preserve"> </w:t>
      </w:r>
      <w:r w:rsidRPr="0022293E">
        <w:rPr>
          <w:rFonts w:cs="Arial"/>
          <w:b/>
          <w:bCs/>
          <w:sz w:val="32"/>
          <w:szCs w:val="28"/>
        </w:rPr>
        <w:t>ACT (No. 2) 1978</w:t>
      </w:r>
    </w:p>
    <w:p w14:paraId="1D72CCDE" w14:textId="77777777" w:rsidR="00C41193" w:rsidRPr="0022293E" w:rsidRDefault="009F00F8" w:rsidP="0022293E">
      <w:pPr>
        <w:shd w:val="clear" w:color="auto" w:fill="FFFFFF"/>
        <w:spacing w:before="240" w:after="360"/>
        <w:jc w:val="center"/>
        <w:rPr>
          <w:rFonts w:cs="Arial"/>
          <w:sz w:val="28"/>
          <w:szCs w:val="24"/>
        </w:rPr>
      </w:pPr>
      <w:r w:rsidRPr="0022293E">
        <w:rPr>
          <w:rFonts w:cs="Arial"/>
          <w:b/>
          <w:bCs/>
          <w:sz w:val="28"/>
          <w:szCs w:val="28"/>
        </w:rPr>
        <w:t>No. 167 of 1978</w:t>
      </w:r>
    </w:p>
    <w:p w14:paraId="582A2369" w14:textId="77777777" w:rsidR="00C41193" w:rsidRPr="00A87B55" w:rsidRDefault="009F00F8" w:rsidP="00A87B55">
      <w:pPr>
        <w:shd w:val="clear" w:color="auto" w:fill="FFFFFF"/>
        <w:jc w:val="both"/>
        <w:rPr>
          <w:rFonts w:cs="Arial"/>
          <w:sz w:val="24"/>
          <w:szCs w:val="24"/>
        </w:rPr>
      </w:pPr>
      <w:r w:rsidRPr="00A87B55">
        <w:rPr>
          <w:sz w:val="24"/>
          <w:szCs w:val="22"/>
        </w:rPr>
        <w:t xml:space="preserve">An Act to amend the </w:t>
      </w:r>
      <w:r w:rsidRPr="00A87B55">
        <w:rPr>
          <w:i/>
          <w:iCs/>
          <w:sz w:val="24"/>
          <w:szCs w:val="22"/>
        </w:rPr>
        <w:t xml:space="preserve">Primary Industry Bank Act </w:t>
      </w:r>
      <w:r w:rsidRPr="00A87B55">
        <w:rPr>
          <w:sz w:val="24"/>
          <w:szCs w:val="22"/>
        </w:rPr>
        <w:t>1977 in relation to the Income Equalization Deposits Trust Account.</w:t>
      </w:r>
    </w:p>
    <w:p w14:paraId="639D46EA" w14:textId="77777777" w:rsidR="00C41193" w:rsidRPr="00A87B55" w:rsidRDefault="009F00F8" w:rsidP="004D08AE">
      <w:pPr>
        <w:shd w:val="clear" w:color="auto" w:fill="FFFFFF"/>
        <w:spacing w:before="360" w:after="240"/>
        <w:ind w:firstLine="432"/>
        <w:jc w:val="both"/>
        <w:rPr>
          <w:rFonts w:cs="Arial"/>
          <w:sz w:val="24"/>
          <w:szCs w:val="24"/>
        </w:rPr>
      </w:pPr>
      <w:r w:rsidRPr="00A87B55">
        <w:rPr>
          <w:sz w:val="24"/>
          <w:szCs w:val="22"/>
        </w:rPr>
        <w:t>BE IT ENACTED by the Queen, and the Senate and House of Representatives of the Commonwealth of Australia, as follows:</w:t>
      </w:r>
    </w:p>
    <w:p w14:paraId="23B65BB2" w14:textId="77777777" w:rsidR="00C41193" w:rsidRPr="00D37408" w:rsidRDefault="009F00F8" w:rsidP="00D37408">
      <w:pPr>
        <w:shd w:val="clear" w:color="auto" w:fill="FFFFFF"/>
        <w:spacing w:before="120" w:after="60"/>
        <w:rPr>
          <w:b/>
          <w:szCs w:val="24"/>
        </w:rPr>
      </w:pPr>
      <w:r w:rsidRPr="00D37408">
        <w:rPr>
          <w:b/>
          <w:szCs w:val="18"/>
        </w:rPr>
        <w:t>Short title, &amp;c.</w:t>
      </w:r>
    </w:p>
    <w:p w14:paraId="25E88997" w14:textId="0DCFC596" w:rsidR="00C41193" w:rsidRPr="00A87B55" w:rsidRDefault="009F00F8" w:rsidP="00D37408">
      <w:pPr>
        <w:shd w:val="clear" w:color="auto" w:fill="FFFFFF"/>
        <w:spacing w:before="60" w:after="60"/>
        <w:ind w:firstLine="432"/>
        <w:jc w:val="both"/>
        <w:rPr>
          <w:rFonts w:cs="Arial"/>
          <w:sz w:val="24"/>
          <w:szCs w:val="24"/>
        </w:rPr>
      </w:pPr>
      <w:r w:rsidRPr="00A87B55">
        <w:rPr>
          <w:b/>
          <w:bCs/>
          <w:sz w:val="24"/>
          <w:szCs w:val="22"/>
        </w:rPr>
        <w:t>1.</w:t>
      </w:r>
      <w:r w:rsidRPr="00A87B55">
        <w:rPr>
          <w:sz w:val="24"/>
          <w:szCs w:val="22"/>
        </w:rPr>
        <w:t xml:space="preserve"> (1) This</w:t>
      </w:r>
      <w:r w:rsidR="00B278BE" w:rsidRPr="00A87B55">
        <w:rPr>
          <w:sz w:val="24"/>
          <w:szCs w:val="22"/>
        </w:rPr>
        <w:t xml:space="preserve"> </w:t>
      </w:r>
      <w:r w:rsidRPr="00A87B55">
        <w:rPr>
          <w:sz w:val="24"/>
          <w:szCs w:val="22"/>
        </w:rPr>
        <w:t>Act</w:t>
      </w:r>
      <w:r w:rsidR="00B278BE" w:rsidRPr="00A87B55">
        <w:rPr>
          <w:sz w:val="24"/>
          <w:szCs w:val="22"/>
        </w:rPr>
        <w:t xml:space="preserve"> </w:t>
      </w:r>
      <w:r w:rsidRPr="00A87B55">
        <w:rPr>
          <w:sz w:val="24"/>
          <w:szCs w:val="22"/>
        </w:rPr>
        <w:t>may</w:t>
      </w:r>
      <w:r w:rsidR="00B278BE" w:rsidRPr="00A87B55">
        <w:rPr>
          <w:sz w:val="24"/>
          <w:szCs w:val="22"/>
        </w:rPr>
        <w:t xml:space="preserve"> </w:t>
      </w:r>
      <w:r w:rsidRPr="00A87B55">
        <w:rPr>
          <w:sz w:val="24"/>
          <w:szCs w:val="22"/>
        </w:rPr>
        <w:t>be</w:t>
      </w:r>
      <w:r w:rsidR="00B278BE" w:rsidRPr="00A87B55">
        <w:rPr>
          <w:sz w:val="24"/>
          <w:szCs w:val="22"/>
        </w:rPr>
        <w:t xml:space="preserve"> </w:t>
      </w:r>
      <w:r w:rsidRPr="00A87B55">
        <w:rPr>
          <w:sz w:val="24"/>
          <w:szCs w:val="22"/>
        </w:rPr>
        <w:t>cited</w:t>
      </w:r>
      <w:r w:rsidR="00B278BE" w:rsidRPr="00A87B55">
        <w:rPr>
          <w:sz w:val="24"/>
          <w:szCs w:val="22"/>
        </w:rPr>
        <w:t xml:space="preserve"> </w:t>
      </w:r>
      <w:r w:rsidRPr="00A87B55">
        <w:rPr>
          <w:sz w:val="24"/>
          <w:szCs w:val="22"/>
        </w:rPr>
        <w:t>as</w:t>
      </w:r>
      <w:r w:rsidR="00B278BE" w:rsidRPr="00A87B55">
        <w:rPr>
          <w:sz w:val="24"/>
          <w:szCs w:val="22"/>
        </w:rPr>
        <w:t xml:space="preserve"> </w:t>
      </w:r>
      <w:r w:rsidRPr="00A87B55">
        <w:rPr>
          <w:sz w:val="24"/>
          <w:szCs w:val="22"/>
        </w:rPr>
        <w:t>the</w:t>
      </w:r>
      <w:r w:rsidR="00B278BE" w:rsidRPr="00A87B55">
        <w:rPr>
          <w:sz w:val="24"/>
          <w:szCs w:val="22"/>
        </w:rPr>
        <w:t xml:space="preserve"> </w:t>
      </w:r>
      <w:r w:rsidRPr="00A87B55">
        <w:rPr>
          <w:i/>
          <w:iCs/>
          <w:sz w:val="24"/>
          <w:szCs w:val="22"/>
        </w:rPr>
        <w:t xml:space="preserve">Primary Industry Bank Amendment Act </w:t>
      </w:r>
      <w:r w:rsidRPr="0073695C">
        <w:rPr>
          <w:iCs/>
          <w:sz w:val="24"/>
          <w:szCs w:val="22"/>
        </w:rPr>
        <w:t>(</w:t>
      </w:r>
      <w:r w:rsidRPr="00A87B55">
        <w:rPr>
          <w:i/>
          <w:iCs/>
          <w:sz w:val="24"/>
          <w:szCs w:val="22"/>
        </w:rPr>
        <w:t xml:space="preserve">No. </w:t>
      </w:r>
      <w:r w:rsidRPr="00A87B55">
        <w:rPr>
          <w:sz w:val="24"/>
          <w:szCs w:val="22"/>
        </w:rPr>
        <w:t>2)</w:t>
      </w:r>
      <w:r w:rsidRPr="00A87B55">
        <w:rPr>
          <w:i/>
          <w:iCs/>
          <w:sz w:val="24"/>
          <w:szCs w:val="22"/>
        </w:rPr>
        <w:t xml:space="preserve"> </w:t>
      </w:r>
      <w:r w:rsidRPr="00A87B55">
        <w:rPr>
          <w:sz w:val="24"/>
          <w:szCs w:val="22"/>
        </w:rPr>
        <w:t>1978.</w:t>
      </w:r>
    </w:p>
    <w:p w14:paraId="6255678B" w14:textId="6728C28A" w:rsidR="00C41193" w:rsidRPr="00A87B55" w:rsidRDefault="009F00F8" w:rsidP="0025685C">
      <w:pPr>
        <w:shd w:val="clear" w:color="auto" w:fill="FFFFFF"/>
        <w:spacing w:before="60" w:after="60"/>
        <w:ind w:firstLine="432"/>
        <w:jc w:val="both"/>
        <w:rPr>
          <w:rFonts w:cs="Arial"/>
          <w:sz w:val="24"/>
          <w:szCs w:val="24"/>
        </w:rPr>
      </w:pPr>
      <w:r w:rsidRPr="00A87B55">
        <w:rPr>
          <w:sz w:val="24"/>
          <w:szCs w:val="22"/>
        </w:rPr>
        <w:t xml:space="preserve">(2) The </w:t>
      </w:r>
      <w:r w:rsidRPr="00A87B55">
        <w:rPr>
          <w:i/>
          <w:iCs/>
          <w:sz w:val="24"/>
          <w:szCs w:val="22"/>
        </w:rPr>
        <w:t xml:space="preserve">Primary Industry Bank Act </w:t>
      </w:r>
      <w:r w:rsidRPr="00A87B55">
        <w:rPr>
          <w:sz w:val="24"/>
          <w:szCs w:val="22"/>
        </w:rPr>
        <w:t>1977 is in this Act referred to as the Principal Act.</w:t>
      </w:r>
    </w:p>
    <w:p w14:paraId="01721EE2" w14:textId="77777777" w:rsidR="00C41193" w:rsidRPr="00D37408" w:rsidRDefault="009F00F8" w:rsidP="00D37408">
      <w:pPr>
        <w:shd w:val="clear" w:color="auto" w:fill="FFFFFF"/>
        <w:spacing w:before="120" w:after="60"/>
        <w:rPr>
          <w:b/>
          <w:szCs w:val="24"/>
        </w:rPr>
      </w:pPr>
      <w:r w:rsidRPr="00D37408">
        <w:rPr>
          <w:b/>
          <w:szCs w:val="18"/>
        </w:rPr>
        <w:t>Commencement</w:t>
      </w:r>
    </w:p>
    <w:p w14:paraId="12178059" w14:textId="5619529C" w:rsidR="00C41193" w:rsidRPr="00A87B55" w:rsidRDefault="009F00F8" w:rsidP="00D37408">
      <w:pPr>
        <w:shd w:val="clear" w:color="auto" w:fill="FFFFFF"/>
        <w:spacing w:before="60" w:after="60"/>
        <w:ind w:firstLine="432"/>
        <w:jc w:val="both"/>
        <w:rPr>
          <w:rFonts w:cs="Arial"/>
          <w:sz w:val="24"/>
          <w:szCs w:val="24"/>
        </w:rPr>
      </w:pPr>
      <w:r w:rsidRPr="00A87B55">
        <w:rPr>
          <w:b/>
          <w:bCs/>
          <w:sz w:val="24"/>
          <w:szCs w:val="22"/>
        </w:rPr>
        <w:t>2.</w:t>
      </w:r>
      <w:r w:rsidRPr="00A87B55">
        <w:rPr>
          <w:sz w:val="24"/>
          <w:szCs w:val="22"/>
        </w:rPr>
        <w:t xml:space="preserve"> This Act shall come into operation on the day on which it receives the Royal Assent.</w:t>
      </w:r>
      <w:bookmarkStart w:id="0" w:name="_GoBack"/>
      <w:bookmarkEnd w:id="0"/>
    </w:p>
    <w:p w14:paraId="2AA38B4F" w14:textId="77777777" w:rsidR="00C41193" w:rsidRPr="00C6767F" w:rsidRDefault="009F00F8" w:rsidP="00C6767F">
      <w:pPr>
        <w:shd w:val="clear" w:color="auto" w:fill="FFFFFF"/>
        <w:spacing w:before="120" w:after="60"/>
        <w:rPr>
          <w:b/>
          <w:szCs w:val="24"/>
        </w:rPr>
      </w:pPr>
      <w:r w:rsidRPr="00C6767F">
        <w:rPr>
          <w:b/>
          <w:szCs w:val="18"/>
        </w:rPr>
        <w:t>Sources of funds provided by Commonwealth</w:t>
      </w:r>
    </w:p>
    <w:p w14:paraId="5F2424C9" w14:textId="77777777" w:rsidR="00C41193" w:rsidRPr="00A87B55" w:rsidRDefault="009F00F8" w:rsidP="00120193">
      <w:pPr>
        <w:shd w:val="clear" w:color="auto" w:fill="FFFFFF"/>
        <w:spacing w:before="60" w:after="60"/>
        <w:ind w:firstLine="432"/>
        <w:jc w:val="both"/>
        <w:rPr>
          <w:rFonts w:cs="Arial"/>
          <w:sz w:val="24"/>
          <w:szCs w:val="24"/>
        </w:rPr>
      </w:pPr>
      <w:r w:rsidRPr="00A87B55">
        <w:rPr>
          <w:b/>
          <w:bCs/>
          <w:sz w:val="24"/>
          <w:szCs w:val="22"/>
        </w:rPr>
        <w:t>3.</w:t>
      </w:r>
      <w:r w:rsidRPr="00A87B55">
        <w:rPr>
          <w:sz w:val="24"/>
          <w:szCs w:val="22"/>
        </w:rPr>
        <w:t xml:space="preserve"> Section 8 of the Principal Act is amended</w:t>
      </w:r>
      <w:r w:rsidRPr="00A87B55">
        <w:rPr>
          <w:rFonts w:eastAsia="Times New Roman"/>
          <w:sz w:val="24"/>
          <w:szCs w:val="22"/>
        </w:rPr>
        <w:t>—</w:t>
      </w:r>
    </w:p>
    <w:p w14:paraId="08A4155E" w14:textId="77777777" w:rsidR="00C41193" w:rsidRPr="00A87B55" w:rsidRDefault="009F00F8" w:rsidP="00120193">
      <w:pPr>
        <w:shd w:val="clear" w:color="auto" w:fill="FFFFFF"/>
        <w:spacing w:before="60" w:after="60"/>
        <w:ind w:left="792" w:hanging="360"/>
        <w:jc w:val="both"/>
        <w:rPr>
          <w:rFonts w:cs="Arial"/>
          <w:sz w:val="24"/>
          <w:szCs w:val="24"/>
        </w:rPr>
      </w:pPr>
      <w:r w:rsidRPr="00A87B55">
        <w:rPr>
          <w:sz w:val="24"/>
          <w:szCs w:val="22"/>
        </w:rPr>
        <w:t>(a)</w:t>
      </w:r>
      <w:r w:rsidR="00B278BE" w:rsidRPr="00A87B55">
        <w:rPr>
          <w:sz w:val="24"/>
          <w:szCs w:val="22"/>
        </w:rPr>
        <w:t xml:space="preserve"> </w:t>
      </w:r>
      <w:r w:rsidRPr="00A87B55">
        <w:rPr>
          <w:sz w:val="24"/>
          <w:szCs w:val="22"/>
        </w:rPr>
        <w:t>by omitting sub-sections (2) and (3) and substituting the following sub-sections:</w:t>
      </w:r>
    </w:p>
    <w:p w14:paraId="19D466F5" w14:textId="77777777" w:rsidR="00C41193" w:rsidRPr="00A87B55" w:rsidRDefault="00A87B55" w:rsidP="006F58B9">
      <w:pPr>
        <w:shd w:val="clear" w:color="auto" w:fill="FFFFFF"/>
        <w:spacing w:before="60" w:after="60"/>
        <w:ind w:left="792" w:firstLine="288"/>
        <w:jc w:val="both"/>
        <w:rPr>
          <w:rFonts w:cs="Arial"/>
          <w:sz w:val="24"/>
          <w:szCs w:val="24"/>
        </w:rPr>
      </w:pPr>
      <w:r>
        <w:rPr>
          <w:sz w:val="24"/>
          <w:szCs w:val="22"/>
        </w:rPr>
        <w:t>“</w:t>
      </w:r>
      <w:r w:rsidR="009F00F8" w:rsidRPr="00A87B55">
        <w:rPr>
          <w:sz w:val="24"/>
          <w:szCs w:val="22"/>
        </w:rPr>
        <w:t xml:space="preserve">(2) A loan to the Bank under section 7 may, notwithstanding anything in the </w:t>
      </w:r>
      <w:r w:rsidR="009F00F8" w:rsidRPr="00A87B55">
        <w:rPr>
          <w:i/>
          <w:iCs/>
          <w:sz w:val="24"/>
          <w:szCs w:val="22"/>
        </w:rPr>
        <w:t xml:space="preserve">Loan (Income Equalization Deposits) Act </w:t>
      </w:r>
      <w:r w:rsidR="009F00F8" w:rsidRPr="00A87B55">
        <w:rPr>
          <w:sz w:val="24"/>
          <w:szCs w:val="22"/>
        </w:rPr>
        <w:t>1976, but subject to sub-section (3), be made by</w:t>
      </w:r>
      <w:r w:rsidR="009F00F8" w:rsidRPr="00A87B55">
        <w:rPr>
          <w:rFonts w:eastAsia="Times New Roman"/>
          <w:sz w:val="24"/>
          <w:szCs w:val="22"/>
        </w:rPr>
        <w:t>—</w:t>
      </w:r>
    </w:p>
    <w:p w14:paraId="047E7423" w14:textId="77777777" w:rsidR="00C41193" w:rsidRPr="00A87B55" w:rsidRDefault="009F00F8" w:rsidP="005765DB">
      <w:pPr>
        <w:shd w:val="clear" w:color="auto" w:fill="FFFFFF"/>
        <w:spacing w:before="60" w:after="60"/>
        <w:ind w:left="1440" w:hanging="360"/>
        <w:jc w:val="both"/>
        <w:rPr>
          <w:rFonts w:cs="Arial"/>
          <w:sz w:val="24"/>
          <w:szCs w:val="24"/>
        </w:rPr>
      </w:pPr>
      <w:r w:rsidRPr="00A87B55">
        <w:rPr>
          <w:sz w:val="24"/>
          <w:szCs w:val="22"/>
        </w:rPr>
        <w:t>(a) investing on deposit in the Bank moneys standing to the credit of the Income Equalization Deposits Trust Account; or</w:t>
      </w:r>
    </w:p>
    <w:p w14:paraId="023A1FDC" w14:textId="77777777" w:rsidR="00C41193" w:rsidRPr="00A87B55" w:rsidRDefault="009F00F8" w:rsidP="005765DB">
      <w:pPr>
        <w:shd w:val="clear" w:color="auto" w:fill="FFFFFF"/>
        <w:spacing w:before="60" w:after="60"/>
        <w:ind w:left="1440" w:hanging="360"/>
        <w:jc w:val="both"/>
        <w:rPr>
          <w:rFonts w:cs="Arial"/>
          <w:sz w:val="24"/>
          <w:szCs w:val="24"/>
        </w:rPr>
      </w:pPr>
      <w:r w:rsidRPr="00A87B55">
        <w:rPr>
          <w:sz w:val="24"/>
          <w:szCs w:val="22"/>
        </w:rPr>
        <w:t>(b)</w:t>
      </w:r>
      <w:r w:rsidR="00B278BE" w:rsidRPr="00A87B55">
        <w:rPr>
          <w:sz w:val="24"/>
          <w:szCs w:val="22"/>
        </w:rPr>
        <w:t xml:space="preserve"> </w:t>
      </w:r>
      <w:r w:rsidRPr="00A87B55">
        <w:rPr>
          <w:sz w:val="24"/>
          <w:szCs w:val="22"/>
        </w:rPr>
        <w:t>paying to the Bank moneys paid out of that Account.</w:t>
      </w:r>
    </w:p>
    <w:p w14:paraId="0AE4F6CB" w14:textId="77777777" w:rsidR="0025685C" w:rsidRDefault="0025685C" w:rsidP="0025685C">
      <w:pPr>
        <w:shd w:val="clear" w:color="auto" w:fill="FFFFFF"/>
        <w:spacing w:after="60"/>
        <w:ind w:firstLine="432"/>
        <w:jc w:val="both"/>
        <w:rPr>
          <w:sz w:val="2"/>
          <w:szCs w:val="2"/>
        </w:rPr>
      </w:pPr>
    </w:p>
    <w:p w14:paraId="0CDC823F" w14:textId="21BC1A40" w:rsidR="00C41193" w:rsidRPr="00A87B55" w:rsidRDefault="00A87B55" w:rsidP="0025685C">
      <w:pPr>
        <w:shd w:val="clear" w:color="auto" w:fill="FFFFFF"/>
        <w:spacing w:before="60" w:after="60"/>
        <w:ind w:left="792" w:firstLine="288"/>
        <w:jc w:val="both"/>
        <w:rPr>
          <w:rFonts w:cs="Arial"/>
          <w:sz w:val="24"/>
          <w:szCs w:val="24"/>
        </w:rPr>
      </w:pPr>
      <w:r>
        <w:rPr>
          <w:sz w:val="24"/>
          <w:szCs w:val="22"/>
        </w:rPr>
        <w:t>“</w:t>
      </w:r>
      <w:r w:rsidR="009F00F8" w:rsidRPr="00A87B55">
        <w:rPr>
          <w:sz w:val="24"/>
          <w:szCs w:val="22"/>
        </w:rPr>
        <w:t>(3) A loan to the Bank in accordance with sub-section (2) shall not be made except in accordance with regulations made for the purposes of this sub-section that</w:t>
      </w:r>
      <w:r w:rsidR="009F00F8" w:rsidRPr="00A87B55">
        <w:rPr>
          <w:rFonts w:eastAsia="Times New Roman"/>
          <w:sz w:val="24"/>
          <w:szCs w:val="22"/>
        </w:rPr>
        <w:t>—</w:t>
      </w:r>
    </w:p>
    <w:p w14:paraId="027D73B6" w14:textId="77777777" w:rsidR="00C41193" w:rsidRPr="00A87B55" w:rsidRDefault="009F00F8" w:rsidP="006C1E5D">
      <w:pPr>
        <w:shd w:val="clear" w:color="auto" w:fill="FFFFFF"/>
        <w:spacing w:before="60" w:after="60"/>
        <w:ind w:left="1440" w:hanging="360"/>
        <w:jc w:val="both"/>
        <w:rPr>
          <w:rFonts w:cs="Arial"/>
          <w:sz w:val="24"/>
          <w:szCs w:val="24"/>
        </w:rPr>
      </w:pPr>
      <w:r w:rsidRPr="00A87B55">
        <w:rPr>
          <w:sz w:val="24"/>
          <w:szCs w:val="22"/>
        </w:rPr>
        <w:t>(a)</w:t>
      </w:r>
      <w:r w:rsidR="00B278BE" w:rsidRPr="00A87B55">
        <w:rPr>
          <w:sz w:val="24"/>
          <w:szCs w:val="22"/>
        </w:rPr>
        <w:t xml:space="preserve"> </w:t>
      </w:r>
      <w:r w:rsidRPr="00A87B55">
        <w:rPr>
          <w:sz w:val="24"/>
          <w:szCs w:val="22"/>
        </w:rPr>
        <w:t>prescribe maximum limits with respect to the amounts that may from time to time be lent to the Bank in accordance with sub-section (2); and</w:t>
      </w:r>
    </w:p>
    <w:p w14:paraId="21CCC69E" w14:textId="77777777" w:rsidR="00C41193" w:rsidRPr="00A87B55" w:rsidRDefault="009F00F8" w:rsidP="006C1E5D">
      <w:pPr>
        <w:shd w:val="clear" w:color="auto" w:fill="FFFFFF"/>
        <w:spacing w:before="60" w:after="60"/>
        <w:ind w:left="1440" w:hanging="360"/>
        <w:jc w:val="both"/>
        <w:rPr>
          <w:rFonts w:cs="Arial"/>
          <w:sz w:val="24"/>
          <w:szCs w:val="24"/>
        </w:rPr>
      </w:pPr>
      <w:r w:rsidRPr="00A87B55">
        <w:rPr>
          <w:sz w:val="24"/>
          <w:szCs w:val="22"/>
        </w:rPr>
        <w:t>(b)</w:t>
      </w:r>
      <w:r w:rsidR="00B278BE" w:rsidRPr="00A87B55">
        <w:rPr>
          <w:sz w:val="24"/>
          <w:szCs w:val="22"/>
        </w:rPr>
        <w:t xml:space="preserve"> </w:t>
      </w:r>
      <w:r w:rsidRPr="00A87B55">
        <w:rPr>
          <w:sz w:val="24"/>
          <w:szCs w:val="22"/>
        </w:rPr>
        <w:t>prescribe rates of interest to be payable in respect of loans made to the Bank in accordance with sub-section (2).</w:t>
      </w:r>
      <w:r w:rsidR="00A87B55">
        <w:rPr>
          <w:sz w:val="24"/>
          <w:szCs w:val="22"/>
        </w:rPr>
        <w:t>”</w:t>
      </w:r>
      <w:r w:rsidRPr="00A87B55">
        <w:rPr>
          <w:sz w:val="24"/>
          <w:szCs w:val="22"/>
        </w:rPr>
        <w:t>; and</w:t>
      </w:r>
    </w:p>
    <w:p w14:paraId="47EC6280" w14:textId="77777777" w:rsidR="00C41193" w:rsidRPr="00A87B55" w:rsidRDefault="009F00F8" w:rsidP="00D917D2">
      <w:pPr>
        <w:shd w:val="clear" w:color="auto" w:fill="FFFFFF"/>
        <w:spacing w:before="60" w:after="60"/>
        <w:ind w:left="792" w:hanging="360"/>
        <w:jc w:val="both"/>
        <w:rPr>
          <w:rFonts w:cs="Arial"/>
          <w:sz w:val="24"/>
          <w:szCs w:val="24"/>
        </w:rPr>
      </w:pPr>
      <w:r w:rsidRPr="00A87B55">
        <w:rPr>
          <w:sz w:val="24"/>
          <w:szCs w:val="22"/>
        </w:rPr>
        <w:t>(b)</w:t>
      </w:r>
      <w:r w:rsidR="00B278BE" w:rsidRPr="00A87B55">
        <w:rPr>
          <w:sz w:val="24"/>
          <w:szCs w:val="22"/>
        </w:rPr>
        <w:t xml:space="preserve"> </w:t>
      </w:r>
      <w:r w:rsidRPr="00A87B55">
        <w:rPr>
          <w:sz w:val="24"/>
          <w:szCs w:val="22"/>
        </w:rPr>
        <w:t>by adding at the end thereof the following sub-sections:</w:t>
      </w:r>
    </w:p>
    <w:p w14:paraId="528B9231" w14:textId="77777777" w:rsidR="0025685C" w:rsidRDefault="0025685C" w:rsidP="0025685C">
      <w:pPr>
        <w:shd w:val="clear" w:color="auto" w:fill="FFFFFF"/>
        <w:spacing w:after="60"/>
        <w:ind w:firstLine="432"/>
        <w:jc w:val="both"/>
        <w:rPr>
          <w:sz w:val="2"/>
          <w:szCs w:val="2"/>
        </w:rPr>
      </w:pPr>
    </w:p>
    <w:p w14:paraId="39F2AACF" w14:textId="46CDAD8A" w:rsidR="00C41193" w:rsidRPr="00A87B55" w:rsidRDefault="00A87B55" w:rsidP="0073695C">
      <w:pPr>
        <w:shd w:val="clear" w:color="auto" w:fill="FFFFFF"/>
        <w:spacing w:before="60" w:after="60"/>
        <w:ind w:left="792" w:firstLine="288"/>
        <w:jc w:val="both"/>
        <w:rPr>
          <w:rFonts w:cs="Arial"/>
          <w:sz w:val="24"/>
          <w:szCs w:val="24"/>
        </w:rPr>
      </w:pPr>
      <w:r>
        <w:rPr>
          <w:sz w:val="24"/>
          <w:szCs w:val="22"/>
        </w:rPr>
        <w:t>“</w:t>
      </w:r>
      <w:r w:rsidR="009F00F8" w:rsidRPr="00A87B55">
        <w:rPr>
          <w:sz w:val="24"/>
          <w:szCs w:val="22"/>
        </w:rPr>
        <w:t>(5) Notwithstanding anything contained in any other Act, where a loan made to the Bank, whether before or after the commencement of this sub-section, by the payment to the Bank</w:t>
      </w:r>
      <w:r w:rsidR="0073695C">
        <w:rPr>
          <w:rFonts w:cs="Arial"/>
          <w:sz w:val="24"/>
          <w:szCs w:val="24"/>
        </w:rPr>
        <w:t xml:space="preserve"> </w:t>
      </w:r>
      <w:r w:rsidR="009F00F8" w:rsidRPr="00A87B55">
        <w:rPr>
          <w:sz w:val="24"/>
          <w:szCs w:val="24"/>
        </w:rPr>
        <w:t>of moneys paid out of the Income Equalization Deposits Trust Account is repaid, the moneys repaid shall be paid into that Account.</w:t>
      </w:r>
    </w:p>
    <w:p w14:paraId="7AF9649A" w14:textId="5B875236" w:rsidR="00C41193" w:rsidRPr="00A87B55" w:rsidRDefault="00A87B55" w:rsidP="0025685C">
      <w:pPr>
        <w:shd w:val="clear" w:color="auto" w:fill="FFFFFF"/>
        <w:spacing w:before="60" w:after="60"/>
        <w:ind w:left="792" w:firstLine="288"/>
        <w:jc w:val="both"/>
        <w:rPr>
          <w:rFonts w:cs="Arial"/>
          <w:sz w:val="24"/>
          <w:szCs w:val="24"/>
        </w:rPr>
      </w:pPr>
      <w:r>
        <w:rPr>
          <w:sz w:val="24"/>
          <w:szCs w:val="24"/>
        </w:rPr>
        <w:t>“</w:t>
      </w:r>
      <w:r w:rsidR="009F00F8" w:rsidRPr="00A87B55">
        <w:rPr>
          <w:sz w:val="24"/>
          <w:szCs w:val="24"/>
        </w:rPr>
        <w:t>(6) At any time when</w:t>
      </w:r>
      <w:r w:rsidR="009F00F8" w:rsidRPr="00A87B55">
        <w:rPr>
          <w:rFonts w:eastAsia="Times New Roman"/>
          <w:sz w:val="24"/>
          <w:szCs w:val="24"/>
        </w:rPr>
        <w:t>—</w:t>
      </w:r>
    </w:p>
    <w:p w14:paraId="4C956586" w14:textId="77777777" w:rsidR="007E01B0" w:rsidRDefault="009F00F8" w:rsidP="007E01B0">
      <w:pPr>
        <w:shd w:val="clear" w:color="auto" w:fill="FFFFFF"/>
        <w:spacing w:before="60" w:after="60"/>
        <w:ind w:left="1440" w:hanging="360"/>
        <w:jc w:val="both"/>
        <w:rPr>
          <w:sz w:val="24"/>
          <w:szCs w:val="24"/>
        </w:rPr>
      </w:pPr>
      <w:r w:rsidRPr="00A87B55">
        <w:rPr>
          <w:sz w:val="24"/>
          <w:szCs w:val="24"/>
        </w:rPr>
        <w:t>(a)</w:t>
      </w:r>
      <w:r w:rsidR="00B278BE" w:rsidRPr="00A87B55">
        <w:rPr>
          <w:sz w:val="24"/>
          <w:szCs w:val="24"/>
        </w:rPr>
        <w:t xml:space="preserve"> </w:t>
      </w:r>
      <w:r w:rsidRPr="007E01B0">
        <w:rPr>
          <w:sz w:val="24"/>
          <w:szCs w:val="22"/>
        </w:rPr>
        <w:t>moneys</w:t>
      </w:r>
      <w:r w:rsidRPr="00A87B55">
        <w:rPr>
          <w:sz w:val="24"/>
          <w:szCs w:val="24"/>
        </w:rPr>
        <w:t xml:space="preserve"> standing to the credit of the Income Equalization Deposits Trust Account are invested on deposit in the Bank in accordance with sub-section (2); or</w:t>
      </w:r>
    </w:p>
    <w:p w14:paraId="1A64B001" w14:textId="77777777" w:rsidR="00C41193" w:rsidRPr="00A87B55" w:rsidRDefault="009F00F8" w:rsidP="007E01B0">
      <w:pPr>
        <w:shd w:val="clear" w:color="auto" w:fill="FFFFFF"/>
        <w:spacing w:before="60" w:after="60"/>
        <w:ind w:left="1440" w:hanging="360"/>
        <w:jc w:val="both"/>
        <w:rPr>
          <w:rFonts w:cs="Arial"/>
          <w:sz w:val="24"/>
          <w:szCs w:val="24"/>
        </w:rPr>
      </w:pPr>
      <w:r w:rsidRPr="00A87B55">
        <w:rPr>
          <w:sz w:val="24"/>
          <w:szCs w:val="24"/>
        </w:rPr>
        <w:t>(b)</w:t>
      </w:r>
      <w:r w:rsidR="00B278BE" w:rsidRPr="00A87B55">
        <w:rPr>
          <w:sz w:val="24"/>
          <w:szCs w:val="24"/>
        </w:rPr>
        <w:t xml:space="preserve"> </w:t>
      </w:r>
      <w:r w:rsidRPr="00A87B55">
        <w:rPr>
          <w:sz w:val="24"/>
          <w:szCs w:val="24"/>
        </w:rPr>
        <w:t>the sum of moneys paid out of that Account and paid to the Bank exceeds the sum of such moneys that have been repaid,</w:t>
      </w:r>
    </w:p>
    <w:p w14:paraId="23C0E68A" w14:textId="77777777" w:rsidR="00C41193" w:rsidRPr="00A87B55" w:rsidRDefault="009F00F8" w:rsidP="00A3079A">
      <w:pPr>
        <w:shd w:val="clear" w:color="auto" w:fill="FFFFFF"/>
        <w:ind w:left="792"/>
        <w:jc w:val="both"/>
        <w:rPr>
          <w:rFonts w:cs="Arial"/>
          <w:sz w:val="24"/>
          <w:szCs w:val="24"/>
        </w:rPr>
      </w:pPr>
      <w:r w:rsidRPr="00A87B55">
        <w:rPr>
          <w:sz w:val="24"/>
          <w:szCs w:val="24"/>
        </w:rPr>
        <w:t xml:space="preserve">there may be paid to the credit </w:t>
      </w:r>
      <w:r w:rsidRPr="00A87B55">
        <w:rPr>
          <w:sz w:val="24"/>
          <w:szCs w:val="24"/>
          <w:lang w:val="de-DE"/>
        </w:rPr>
        <w:t xml:space="preserve">of that </w:t>
      </w:r>
      <w:r w:rsidRPr="00A87B55">
        <w:rPr>
          <w:sz w:val="24"/>
          <w:szCs w:val="24"/>
        </w:rPr>
        <w:t>Account, out of the Consolidated Revenue Fund, which is appropriated accordingly, an amount not greater than the sum of the amount of any moneys referred to in paragraph (a) and the amount of any excess referred to in paragraph (b) less the sum of any payments previously made under this sub-section and not repaid.</w:t>
      </w:r>
    </w:p>
    <w:p w14:paraId="3A58FD3F" w14:textId="77777777" w:rsidR="0025685C" w:rsidRDefault="0025685C" w:rsidP="0025685C">
      <w:pPr>
        <w:shd w:val="clear" w:color="auto" w:fill="FFFFFF"/>
        <w:spacing w:after="60"/>
        <w:ind w:firstLine="432"/>
        <w:jc w:val="both"/>
        <w:rPr>
          <w:sz w:val="2"/>
          <w:szCs w:val="2"/>
        </w:rPr>
      </w:pPr>
    </w:p>
    <w:p w14:paraId="02F82DCF" w14:textId="77777777" w:rsidR="0025685C" w:rsidRDefault="0025685C" w:rsidP="0025685C">
      <w:pPr>
        <w:shd w:val="clear" w:color="auto" w:fill="FFFFFF"/>
        <w:spacing w:after="60"/>
        <w:ind w:firstLine="432"/>
        <w:jc w:val="both"/>
        <w:rPr>
          <w:sz w:val="2"/>
          <w:szCs w:val="2"/>
        </w:rPr>
      </w:pPr>
      <w:r>
        <w:rPr>
          <w:sz w:val="24"/>
          <w:szCs w:val="24"/>
        </w:rPr>
        <w:t xml:space="preserve"> </w:t>
      </w:r>
    </w:p>
    <w:p w14:paraId="44F29B4F" w14:textId="77777777" w:rsidR="0073695C" w:rsidRDefault="0073695C">
      <w:pPr>
        <w:widowControl/>
        <w:autoSpaceDE/>
        <w:autoSpaceDN/>
        <w:adjustRightInd/>
        <w:spacing w:after="200" w:line="276" w:lineRule="auto"/>
        <w:rPr>
          <w:sz w:val="24"/>
          <w:szCs w:val="24"/>
        </w:rPr>
      </w:pPr>
      <w:r>
        <w:rPr>
          <w:sz w:val="24"/>
          <w:szCs w:val="24"/>
        </w:rPr>
        <w:br w:type="page"/>
      </w:r>
    </w:p>
    <w:p w14:paraId="06022276" w14:textId="6E9B652F" w:rsidR="00C41193" w:rsidRPr="00A87B55" w:rsidRDefault="00A87B55" w:rsidP="0025685C">
      <w:pPr>
        <w:shd w:val="clear" w:color="auto" w:fill="FFFFFF"/>
        <w:spacing w:before="60" w:after="60"/>
        <w:ind w:left="792" w:firstLine="288"/>
        <w:jc w:val="both"/>
        <w:rPr>
          <w:rFonts w:cs="Arial"/>
          <w:sz w:val="24"/>
          <w:szCs w:val="24"/>
        </w:rPr>
      </w:pPr>
      <w:r>
        <w:rPr>
          <w:sz w:val="24"/>
          <w:szCs w:val="24"/>
        </w:rPr>
        <w:lastRenderedPageBreak/>
        <w:t>“</w:t>
      </w:r>
      <w:r w:rsidR="009F00F8" w:rsidRPr="00A87B55">
        <w:rPr>
          <w:sz w:val="24"/>
          <w:szCs w:val="24"/>
        </w:rPr>
        <w:t xml:space="preserve">(7) Notwithstanding anything in the </w:t>
      </w:r>
      <w:r w:rsidR="009F00F8" w:rsidRPr="00A87B55">
        <w:rPr>
          <w:i/>
          <w:iCs/>
          <w:sz w:val="24"/>
          <w:szCs w:val="24"/>
        </w:rPr>
        <w:t xml:space="preserve">Loan (Income Equalization Deposits) Act </w:t>
      </w:r>
      <w:r w:rsidR="009F00F8" w:rsidRPr="00A87B55">
        <w:rPr>
          <w:sz w:val="24"/>
          <w:szCs w:val="24"/>
        </w:rPr>
        <w:t xml:space="preserve">1976, moneys paid out of the Consolidated Revenue Fund under sub-section (6) may be repaid out of the Income Equalization Deposits Trust Account, and, if, at any time, the sum of the moneys so paid out of the Fund and not repaid exceeds the sum of the amount of any moneys standing to the credit </w:t>
      </w:r>
      <w:r w:rsidR="009F00F8" w:rsidRPr="00A87B55">
        <w:rPr>
          <w:sz w:val="24"/>
          <w:szCs w:val="24"/>
          <w:lang w:val="de-DE"/>
        </w:rPr>
        <w:t xml:space="preserve">of that </w:t>
      </w:r>
      <w:r w:rsidR="009F00F8" w:rsidRPr="00A87B55">
        <w:rPr>
          <w:sz w:val="24"/>
          <w:szCs w:val="24"/>
        </w:rPr>
        <w:t xml:space="preserve">Account invested on deposit in the Bank and the amount of any moneys paid out of that Account and paid to the Bank and not repaid, an amount equal to the amount </w:t>
      </w:r>
      <w:r w:rsidR="009F00F8" w:rsidRPr="00A87B55">
        <w:rPr>
          <w:sz w:val="24"/>
          <w:szCs w:val="24"/>
          <w:lang w:val="de-DE"/>
        </w:rPr>
        <w:t xml:space="preserve">of that </w:t>
      </w:r>
      <w:r w:rsidR="009F00F8" w:rsidRPr="00A87B55">
        <w:rPr>
          <w:sz w:val="24"/>
          <w:szCs w:val="24"/>
        </w:rPr>
        <w:t>excess shall be repaid under this sub-section.</w:t>
      </w:r>
      <w:r w:rsidR="0073695C">
        <w:rPr>
          <w:sz w:val="24"/>
          <w:szCs w:val="24"/>
        </w:rPr>
        <w:t>”</w:t>
      </w:r>
      <w:r w:rsidR="009F00F8" w:rsidRPr="00A87B55">
        <w:rPr>
          <w:sz w:val="24"/>
          <w:szCs w:val="24"/>
        </w:rPr>
        <w:t>.</w:t>
      </w:r>
    </w:p>
    <w:p w14:paraId="25D605B9" w14:textId="3BF133E6" w:rsidR="009F00F8" w:rsidRPr="00A87B55" w:rsidRDefault="005527E7" w:rsidP="0073695C">
      <w:pPr>
        <w:shd w:val="clear" w:color="auto" w:fill="FFFFFF"/>
        <w:spacing w:before="720" w:after="120"/>
        <w:jc w:val="center"/>
        <w:rPr>
          <w:rFonts w:cs="Arial"/>
          <w:sz w:val="24"/>
          <w:szCs w:val="24"/>
        </w:rPr>
      </w:pPr>
      <w:r>
        <w:rPr>
          <w:b/>
          <w:bCs/>
          <w:noProof/>
          <w:sz w:val="24"/>
          <w:lang w:val="en-AU" w:eastAsia="en-AU"/>
        </w:rPr>
        <mc:AlternateContent>
          <mc:Choice Requires="wps">
            <w:drawing>
              <wp:anchor distT="0" distB="0" distL="114300" distR="114300" simplePos="0" relativeHeight="251659264" behindDoc="0" locked="0" layoutInCell="1" allowOverlap="1" wp14:anchorId="1EA655C6" wp14:editId="6E355AAA">
                <wp:simplePos x="0" y="0"/>
                <wp:positionH relativeFrom="column">
                  <wp:posOffset>16510</wp:posOffset>
                </wp:positionH>
                <wp:positionV relativeFrom="paragraph">
                  <wp:posOffset>189442</wp:posOffset>
                </wp:positionV>
                <wp:extent cx="6189134" cy="0"/>
                <wp:effectExtent l="0" t="0" r="21590" b="19050"/>
                <wp:wrapNone/>
                <wp:docPr id="1" name="Straight Connector 1"/>
                <wp:cNvGraphicFramePr/>
                <a:graphic xmlns:a="http://schemas.openxmlformats.org/drawingml/2006/main">
                  <a:graphicData uri="http://schemas.microsoft.com/office/word/2010/wordprocessingShape">
                    <wps:wsp>
                      <wps:cNvCnPr/>
                      <wps:spPr>
                        <a:xfrm>
                          <a:off x="0" y="0"/>
                          <a:ext cx="6189134"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37FBE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pt,14.9pt" to="488.6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" strokecolor="black [3040]" strokeweight="1.5pt"/>
            </w:pict>
          </mc:Fallback>
        </mc:AlternateContent>
      </w:r>
    </w:p>
    <w:sectPr w:rsidR="009F00F8" w:rsidRPr="00A87B55" w:rsidSect="00B85D1F">
      <w:headerReference w:type="even" r:id="rId7"/>
      <w:headerReference w:type="default" r:id="rId8"/>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52B63C" w15:done="0"/>
  <w15:commentEx w15:paraId="613B04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52B63C" w16cid:durableId="1F71CEA9"/>
  <w16cid:commentId w16cid:paraId="613B04A7" w16cid:durableId="1F71CED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374FF0" w14:textId="77777777" w:rsidR="00CC6ECF" w:rsidRDefault="00CC6ECF" w:rsidP="00B85D1F">
      <w:r>
        <w:separator/>
      </w:r>
    </w:p>
  </w:endnote>
  <w:endnote w:type="continuationSeparator" w:id="0">
    <w:p w14:paraId="20EC7C1E" w14:textId="77777777" w:rsidR="00CC6ECF" w:rsidRDefault="00CC6ECF" w:rsidP="00B85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C82322" w14:textId="77777777" w:rsidR="00CC6ECF" w:rsidRDefault="00CC6ECF" w:rsidP="00B85D1F">
      <w:r>
        <w:separator/>
      </w:r>
    </w:p>
  </w:footnote>
  <w:footnote w:type="continuationSeparator" w:id="0">
    <w:p w14:paraId="32688F82" w14:textId="77777777" w:rsidR="00CC6ECF" w:rsidRDefault="00CC6ECF" w:rsidP="00B85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B7F79" w14:textId="77777777" w:rsidR="00B85D1F" w:rsidRPr="00B85D1F" w:rsidRDefault="00B85D1F" w:rsidP="00B85D1F">
    <w:pPr>
      <w:pStyle w:val="Header"/>
      <w:tabs>
        <w:tab w:val="clear" w:pos="4513"/>
        <w:tab w:val="clear" w:pos="9026"/>
        <w:tab w:val="center" w:pos="4860"/>
        <w:tab w:val="right" w:pos="9720"/>
      </w:tabs>
      <w:rPr>
        <w:sz w:val="22"/>
      </w:rPr>
    </w:pPr>
    <w:r w:rsidRPr="00B85D1F">
      <w:rPr>
        <w:bCs/>
        <w:sz w:val="22"/>
        <w:lang w:val="en-IN"/>
      </w:rPr>
      <w:t>No. 167</w:t>
    </w:r>
    <w:r w:rsidRPr="00B85D1F">
      <w:rPr>
        <w:bCs/>
        <w:sz w:val="22"/>
        <w:lang w:val="en-IN"/>
      </w:rPr>
      <w:tab/>
    </w:r>
    <w:r w:rsidRPr="00B85D1F">
      <w:rPr>
        <w:i/>
        <w:iCs/>
        <w:sz w:val="22"/>
        <w:szCs w:val="22"/>
        <w:lang w:val="en-IN"/>
      </w:rPr>
      <w:t xml:space="preserve">Primary Industry Bank Amendment </w:t>
    </w:r>
    <w:r w:rsidRPr="00B85D1F">
      <w:rPr>
        <w:iCs/>
        <w:sz w:val="22"/>
        <w:szCs w:val="22"/>
        <w:lang w:val="en-IN"/>
      </w:rPr>
      <w:t>(</w:t>
    </w:r>
    <w:r w:rsidRPr="00B85D1F">
      <w:rPr>
        <w:i/>
        <w:iCs/>
        <w:sz w:val="22"/>
        <w:szCs w:val="22"/>
        <w:lang w:val="en-IN"/>
      </w:rPr>
      <w:t xml:space="preserve">No. </w:t>
    </w:r>
    <w:r w:rsidRPr="00B85D1F">
      <w:rPr>
        <w:iCs/>
        <w:sz w:val="22"/>
        <w:szCs w:val="22"/>
        <w:lang w:val="en-IN"/>
      </w:rPr>
      <w:t>2)</w:t>
    </w:r>
    <w:r w:rsidRPr="00B85D1F">
      <w:rPr>
        <w:i/>
        <w:iCs/>
        <w:sz w:val="22"/>
        <w:szCs w:val="22"/>
        <w:lang w:val="en-IN"/>
      </w:rPr>
      <w:tab/>
    </w:r>
    <w:r w:rsidRPr="00B85D1F">
      <w:rPr>
        <w:bCs/>
        <w:sz w:val="22"/>
        <w:szCs w:val="22"/>
        <w:lang w:val="en-IN"/>
      </w:rPr>
      <w:t>1978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A8CB4F3C171241A3B05BB361127A66C2"/>
      </w:placeholder>
      <w:temporary/>
      <w:showingPlcHdr/>
    </w:sdtPr>
    <w:sdtEndPr/>
    <w:sdtContent>
      <w:p w14:paraId="206382CD" w14:textId="77777777" w:rsidR="00B85D1F" w:rsidRDefault="00B85D1F">
        <w:pPr>
          <w:pStyle w:val="Header"/>
        </w:pPr>
        <w:r>
          <w:t>[Type text]</w:t>
        </w:r>
      </w:p>
    </w:sdtContent>
  </w:sdt>
  <w:p w14:paraId="249DAD25" w14:textId="77777777" w:rsidR="00B85D1F" w:rsidRDefault="00B85D1F">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8BE"/>
    <w:rsid w:val="00013571"/>
    <w:rsid w:val="00120193"/>
    <w:rsid w:val="0022293E"/>
    <w:rsid w:val="0025685C"/>
    <w:rsid w:val="00315921"/>
    <w:rsid w:val="003468E4"/>
    <w:rsid w:val="003946DA"/>
    <w:rsid w:val="004D08AE"/>
    <w:rsid w:val="004E384A"/>
    <w:rsid w:val="005527E7"/>
    <w:rsid w:val="005765DB"/>
    <w:rsid w:val="00671B16"/>
    <w:rsid w:val="006C1E5D"/>
    <w:rsid w:val="006F58B9"/>
    <w:rsid w:val="0073695C"/>
    <w:rsid w:val="007E01B0"/>
    <w:rsid w:val="009A7944"/>
    <w:rsid w:val="009F00F8"/>
    <w:rsid w:val="00A3079A"/>
    <w:rsid w:val="00A610B8"/>
    <w:rsid w:val="00A87B55"/>
    <w:rsid w:val="00B278BE"/>
    <w:rsid w:val="00B85D1F"/>
    <w:rsid w:val="00BD34FB"/>
    <w:rsid w:val="00C41193"/>
    <w:rsid w:val="00C6767F"/>
    <w:rsid w:val="00CC6ECF"/>
    <w:rsid w:val="00D038E8"/>
    <w:rsid w:val="00D37408"/>
    <w:rsid w:val="00D917D2"/>
    <w:rsid w:val="00E55C4E"/>
    <w:rsid w:val="00EA181F"/>
    <w:rsid w:val="00F26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8280C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5D1F"/>
    <w:pPr>
      <w:tabs>
        <w:tab w:val="center" w:pos="4513"/>
        <w:tab w:val="right" w:pos="9026"/>
      </w:tabs>
    </w:pPr>
  </w:style>
  <w:style w:type="character" w:customStyle="1" w:styleId="HeaderChar">
    <w:name w:val="Header Char"/>
    <w:basedOn w:val="DefaultParagraphFont"/>
    <w:link w:val="Header"/>
    <w:uiPriority w:val="99"/>
    <w:rsid w:val="00B85D1F"/>
    <w:rPr>
      <w:rFonts w:ascii="Times New Roman" w:hAnsi="Times New Roman" w:cs="Times New Roman"/>
      <w:sz w:val="20"/>
      <w:szCs w:val="20"/>
    </w:rPr>
  </w:style>
  <w:style w:type="paragraph" w:styleId="Footer">
    <w:name w:val="footer"/>
    <w:basedOn w:val="Normal"/>
    <w:link w:val="FooterChar"/>
    <w:uiPriority w:val="99"/>
    <w:unhideWhenUsed/>
    <w:rsid w:val="00B85D1F"/>
    <w:pPr>
      <w:tabs>
        <w:tab w:val="center" w:pos="4513"/>
        <w:tab w:val="right" w:pos="9026"/>
      </w:tabs>
    </w:pPr>
  </w:style>
  <w:style w:type="character" w:customStyle="1" w:styleId="FooterChar">
    <w:name w:val="Footer Char"/>
    <w:basedOn w:val="DefaultParagraphFont"/>
    <w:link w:val="Footer"/>
    <w:uiPriority w:val="99"/>
    <w:rsid w:val="00B85D1F"/>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B85D1F"/>
    <w:rPr>
      <w:rFonts w:ascii="Tahoma" w:hAnsi="Tahoma" w:cs="Tahoma"/>
      <w:sz w:val="16"/>
      <w:szCs w:val="16"/>
    </w:rPr>
  </w:style>
  <w:style w:type="character" w:customStyle="1" w:styleId="BalloonTextChar">
    <w:name w:val="Balloon Text Char"/>
    <w:basedOn w:val="DefaultParagraphFont"/>
    <w:link w:val="BalloonText"/>
    <w:uiPriority w:val="99"/>
    <w:semiHidden/>
    <w:rsid w:val="00B85D1F"/>
    <w:rPr>
      <w:rFonts w:ascii="Tahoma" w:hAnsi="Tahoma" w:cs="Tahoma"/>
      <w:sz w:val="16"/>
      <w:szCs w:val="16"/>
    </w:rPr>
  </w:style>
  <w:style w:type="character" w:styleId="CommentReference">
    <w:name w:val="annotation reference"/>
    <w:basedOn w:val="DefaultParagraphFont"/>
    <w:uiPriority w:val="99"/>
    <w:semiHidden/>
    <w:unhideWhenUsed/>
    <w:rsid w:val="00671B16"/>
    <w:rPr>
      <w:sz w:val="16"/>
      <w:szCs w:val="16"/>
    </w:rPr>
  </w:style>
  <w:style w:type="paragraph" w:styleId="CommentText">
    <w:name w:val="annotation text"/>
    <w:basedOn w:val="Normal"/>
    <w:link w:val="CommentTextChar"/>
    <w:uiPriority w:val="99"/>
    <w:semiHidden/>
    <w:unhideWhenUsed/>
    <w:rsid w:val="00671B16"/>
  </w:style>
  <w:style w:type="character" w:customStyle="1" w:styleId="CommentTextChar">
    <w:name w:val="Comment Text Char"/>
    <w:basedOn w:val="DefaultParagraphFont"/>
    <w:link w:val="CommentText"/>
    <w:uiPriority w:val="99"/>
    <w:semiHidden/>
    <w:rsid w:val="00671B1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1B16"/>
    <w:rPr>
      <w:b/>
      <w:bCs/>
    </w:rPr>
  </w:style>
  <w:style w:type="character" w:customStyle="1" w:styleId="CommentSubjectChar">
    <w:name w:val="Comment Subject Char"/>
    <w:basedOn w:val="CommentTextChar"/>
    <w:link w:val="CommentSubject"/>
    <w:uiPriority w:val="99"/>
    <w:semiHidden/>
    <w:rsid w:val="00671B16"/>
    <w:rPr>
      <w:rFonts w:ascii="Times New Roman" w:hAnsi="Times New Roman" w:cs="Times New Roman"/>
      <w:b/>
      <w:bCs/>
      <w:sz w:val="20"/>
      <w:szCs w:val="20"/>
    </w:rPr>
  </w:style>
  <w:style w:type="paragraph" w:styleId="Revision">
    <w:name w:val="Revision"/>
    <w:hidden/>
    <w:uiPriority w:val="99"/>
    <w:semiHidden/>
    <w:rsid w:val="0073695C"/>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5D1F"/>
    <w:pPr>
      <w:tabs>
        <w:tab w:val="center" w:pos="4513"/>
        <w:tab w:val="right" w:pos="9026"/>
      </w:tabs>
    </w:pPr>
  </w:style>
  <w:style w:type="character" w:customStyle="1" w:styleId="HeaderChar">
    <w:name w:val="Header Char"/>
    <w:basedOn w:val="DefaultParagraphFont"/>
    <w:link w:val="Header"/>
    <w:uiPriority w:val="99"/>
    <w:rsid w:val="00B85D1F"/>
    <w:rPr>
      <w:rFonts w:ascii="Times New Roman" w:hAnsi="Times New Roman" w:cs="Times New Roman"/>
      <w:sz w:val="20"/>
      <w:szCs w:val="20"/>
    </w:rPr>
  </w:style>
  <w:style w:type="paragraph" w:styleId="Footer">
    <w:name w:val="footer"/>
    <w:basedOn w:val="Normal"/>
    <w:link w:val="FooterChar"/>
    <w:uiPriority w:val="99"/>
    <w:unhideWhenUsed/>
    <w:rsid w:val="00B85D1F"/>
    <w:pPr>
      <w:tabs>
        <w:tab w:val="center" w:pos="4513"/>
        <w:tab w:val="right" w:pos="9026"/>
      </w:tabs>
    </w:pPr>
  </w:style>
  <w:style w:type="character" w:customStyle="1" w:styleId="FooterChar">
    <w:name w:val="Footer Char"/>
    <w:basedOn w:val="DefaultParagraphFont"/>
    <w:link w:val="Footer"/>
    <w:uiPriority w:val="99"/>
    <w:rsid w:val="00B85D1F"/>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B85D1F"/>
    <w:rPr>
      <w:rFonts w:ascii="Tahoma" w:hAnsi="Tahoma" w:cs="Tahoma"/>
      <w:sz w:val="16"/>
      <w:szCs w:val="16"/>
    </w:rPr>
  </w:style>
  <w:style w:type="character" w:customStyle="1" w:styleId="BalloonTextChar">
    <w:name w:val="Balloon Text Char"/>
    <w:basedOn w:val="DefaultParagraphFont"/>
    <w:link w:val="BalloonText"/>
    <w:uiPriority w:val="99"/>
    <w:semiHidden/>
    <w:rsid w:val="00B85D1F"/>
    <w:rPr>
      <w:rFonts w:ascii="Tahoma" w:hAnsi="Tahoma" w:cs="Tahoma"/>
      <w:sz w:val="16"/>
      <w:szCs w:val="16"/>
    </w:rPr>
  </w:style>
  <w:style w:type="character" w:styleId="CommentReference">
    <w:name w:val="annotation reference"/>
    <w:basedOn w:val="DefaultParagraphFont"/>
    <w:uiPriority w:val="99"/>
    <w:semiHidden/>
    <w:unhideWhenUsed/>
    <w:rsid w:val="00671B16"/>
    <w:rPr>
      <w:sz w:val="16"/>
      <w:szCs w:val="16"/>
    </w:rPr>
  </w:style>
  <w:style w:type="paragraph" w:styleId="CommentText">
    <w:name w:val="annotation text"/>
    <w:basedOn w:val="Normal"/>
    <w:link w:val="CommentTextChar"/>
    <w:uiPriority w:val="99"/>
    <w:semiHidden/>
    <w:unhideWhenUsed/>
    <w:rsid w:val="00671B16"/>
  </w:style>
  <w:style w:type="character" w:customStyle="1" w:styleId="CommentTextChar">
    <w:name w:val="Comment Text Char"/>
    <w:basedOn w:val="DefaultParagraphFont"/>
    <w:link w:val="CommentText"/>
    <w:uiPriority w:val="99"/>
    <w:semiHidden/>
    <w:rsid w:val="00671B1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1B16"/>
    <w:rPr>
      <w:b/>
      <w:bCs/>
    </w:rPr>
  </w:style>
  <w:style w:type="character" w:customStyle="1" w:styleId="CommentSubjectChar">
    <w:name w:val="Comment Subject Char"/>
    <w:basedOn w:val="CommentTextChar"/>
    <w:link w:val="CommentSubject"/>
    <w:uiPriority w:val="99"/>
    <w:semiHidden/>
    <w:rsid w:val="00671B16"/>
    <w:rPr>
      <w:rFonts w:ascii="Times New Roman" w:hAnsi="Times New Roman" w:cs="Times New Roman"/>
      <w:b/>
      <w:bCs/>
      <w:sz w:val="20"/>
      <w:szCs w:val="20"/>
    </w:rPr>
  </w:style>
  <w:style w:type="paragraph" w:styleId="Revision">
    <w:name w:val="Revision"/>
    <w:hidden/>
    <w:uiPriority w:val="99"/>
    <w:semiHidden/>
    <w:rsid w:val="0073695C"/>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1314">
      <w:bodyDiv w:val="1"/>
      <w:marLeft w:val="0"/>
      <w:marRight w:val="0"/>
      <w:marTop w:val="0"/>
      <w:marBottom w:val="0"/>
      <w:divBdr>
        <w:top w:val="none" w:sz="0" w:space="0" w:color="auto"/>
        <w:left w:val="none" w:sz="0" w:space="0" w:color="auto"/>
        <w:bottom w:val="none" w:sz="0" w:space="0" w:color="auto"/>
        <w:right w:val="none" w:sz="0" w:space="0" w:color="auto"/>
      </w:divBdr>
    </w:div>
    <w:div w:id="1136996938">
      <w:bodyDiv w:val="1"/>
      <w:marLeft w:val="0"/>
      <w:marRight w:val="0"/>
      <w:marTop w:val="0"/>
      <w:marBottom w:val="0"/>
      <w:divBdr>
        <w:top w:val="none" w:sz="0" w:space="0" w:color="auto"/>
        <w:left w:val="none" w:sz="0" w:space="0" w:color="auto"/>
        <w:bottom w:val="none" w:sz="0" w:space="0" w:color="auto"/>
        <w:right w:val="none" w:sz="0" w:space="0" w:color="auto"/>
      </w:divBdr>
    </w:div>
    <w:div w:id="1703940595">
      <w:bodyDiv w:val="1"/>
      <w:marLeft w:val="0"/>
      <w:marRight w:val="0"/>
      <w:marTop w:val="0"/>
      <w:marBottom w:val="0"/>
      <w:divBdr>
        <w:top w:val="none" w:sz="0" w:space="0" w:color="auto"/>
        <w:left w:val="none" w:sz="0" w:space="0" w:color="auto"/>
        <w:bottom w:val="none" w:sz="0" w:space="0" w:color="auto"/>
        <w:right w:val="none" w:sz="0" w:space="0" w:color="auto"/>
      </w:divBdr>
    </w:div>
    <w:div w:id="1714380869">
      <w:bodyDiv w:val="1"/>
      <w:marLeft w:val="0"/>
      <w:marRight w:val="0"/>
      <w:marTop w:val="0"/>
      <w:marBottom w:val="0"/>
      <w:divBdr>
        <w:top w:val="none" w:sz="0" w:space="0" w:color="auto"/>
        <w:left w:val="none" w:sz="0" w:space="0" w:color="auto"/>
        <w:bottom w:val="none" w:sz="0" w:space="0" w:color="auto"/>
        <w:right w:val="none" w:sz="0" w:space="0" w:color="auto"/>
      </w:divBdr>
    </w:div>
    <w:div w:id="1769083599">
      <w:bodyDiv w:val="1"/>
      <w:marLeft w:val="0"/>
      <w:marRight w:val="0"/>
      <w:marTop w:val="0"/>
      <w:marBottom w:val="0"/>
      <w:divBdr>
        <w:top w:val="none" w:sz="0" w:space="0" w:color="auto"/>
        <w:left w:val="none" w:sz="0" w:space="0" w:color="auto"/>
        <w:bottom w:val="none" w:sz="0" w:space="0" w:color="auto"/>
        <w:right w:val="none" w:sz="0" w:space="0" w:color="auto"/>
      </w:divBdr>
    </w:div>
    <w:div w:id="190999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8CB4F3C171241A3B05BB361127A66C2"/>
        <w:category>
          <w:name w:val="General"/>
          <w:gallery w:val="placeholder"/>
        </w:category>
        <w:types>
          <w:type w:val="bbPlcHdr"/>
        </w:types>
        <w:behaviors>
          <w:behavior w:val="content"/>
        </w:behaviors>
        <w:guid w:val="{FDD0255D-FBEB-4ED5-87AB-74D73D7D1762}"/>
      </w:docPartPr>
      <w:docPartBody>
        <w:p w:rsidR="00102502" w:rsidRDefault="00240D8E" w:rsidP="00240D8E">
          <w:pPr>
            <w:pStyle w:val="A8CB4F3C171241A3B05BB361127A66C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D8E"/>
    <w:rsid w:val="000A0DF5"/>
    <w:rsid w:val="00102502"/>
    <w:rsid w:val="00240D8E"/>
    <w:rsid w:val="008D3B4F"/>
    <w:rsid w:val="00F503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CB4F3C171241A3B05BB361127A66C2">
    <w:name w:val="A8CB4F3C171241A3B05BB361127A66C2"/>
    <w:rsid w:val="00240D8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CB4F3C171241A3B05BB361127A66C2">
    <w:name w:val="A8CB4F3C171241A3B05BB361127A66C2"/>
    <w:rsid w:val="00240D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Harper, Michael</cp:lastModifiedBy>
  <cp:revision>3</cp:revision>
  <dcterms:created xsi:type="dcterms:W3CDTF">2018-10-17T05:08:00Z</dcterms:created>
  <dcterms:modified xsi:type="dcterms:W3CDTF">2019-09-25T07:32:00Z</dcterms:modified>
</cp:coreProperties>
</file>