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431FB" w14:textId="77777777" w:rsidR="00F25549" w:rsidRPr="00EC0D23" w:rsidRDefault="00A012B4" w:rsidP="00EC0D23">
      <w:pPr>
        <w:shd w:val="clear" w:color="auto" w:fill="FFFFFF"/>
        <w:ind w:left="1440" w:right="1440"/>
        <w:jc w:val="center"/>
        <w:rPr>
          <w:sz w:val="36"/>
          <w:szCs w:val="24"/>
        </w:rPr>
      </w:pPr>
      <w:r w:rsidRPr="00EC0D23">
        <w:rPr>
          <w:b/>
          <w:bCs/>
          <w:sz w:val="36"/>
          <w:szCs w:val="38"/>
        </w:rPr>
        <w:t xml:space="preserve">Wheat Industry Stabilization </w:t>
      </w:r>
      <w:r w:rsidR="00FE5845">
        <w:rPr>
          <w:b/>
          <w:bCs/>
          <w:sz w:val="36"/>
          <w:szCs w:val="38"/>
        </w:rPr>
        <w:br/>
      </w:r>
      <w:r w:rsidRPr="00EC0D23">
        <w:rPr>
          <w:b/>
          <w:bCs/>
          <w:sz w:val="36"/>
          <w:szCs w:val="38"/>
        </w:rPr>
        <w:t>Amendment Act 1979</w:t>
      </w:r>
    </w:p>
    <w:p w14:paraId="751E57BA" w14:textId="77777777" w:rsidR="00F25549" w:rsidRPr="00EC0D23" w:rsidRDefault="00A012B4" w:rsidP="00EC0D23">
      <w:pPr>
        <w:shd w:val="clear" w:color="auto" w:fill="FFFFFF"/>
        <w:spacing w:before="240" w:after="360"/>
        <w:jc w:val="center"/>
        <w:rPr>
          <w:sz w:val="28"/>
          <w:szCs w:val="24"/>
        </w:rPr>
      </w:pPr>
      <w:r w:rsidRPr="00EC0D23">
        <w:rPr>
          <w:b/>
          <w:bCs/>
          <w:sz w:val="28"/>
          <w:szCs w:val="24"/>
        </w:rPr>
        <w:t>No. 37 of 1979</w:t>
      </w:r>
    </w:p>
    <w:p w14:paraId="281869D7" w14:textId="77777777" w:rsidR="00F25549" w:rsidRPr="008B230A" w:rsidRDefault="00A012B4" w:rsidP="008B230A">
      <w:pPr>
        <w:shd w:val="clear" w:color="auto" w:fill="FFFFFF"/>
        <w:jc w:val="both"/>
        <w:rPr>
          <w:sz w:val="24"/>
          <w:szCs w:val="24"/>
        </w:rPr>
      </w:pPr>
      <w:r w:rsidRPr="008B230A">
        <w:rPr>
          <w:sz w:val="24"/>
          <w:szCs w:val="24"/>
        </w:rPr>
        <w:t>An Act relating to the raising of moneys by the Australian Wheat Board.</w:t>
      </w:r>
    </w:p>
    <w:p w14:paraId="4BA12CE7" w14:textId="77777777" w:rsidR="00F25549" w:rsidRPr="008B230A" w:rsidRDefault="00A012B4" w:rsidP="00EC0D23">
      <w:pPr>
        <w:shd w:val="clear" w:color="auto" w:fill="FFFFFF"/>
        <w:spacing w:before="360" w:after="240"/>
        <w:ind w:firstLine="432"/>
        <w:jc w:val="both"/>
        <w:rPr>
          <w:sz w:val="24"/>
          <w:szCs w:val="24"/>
        </w:rPr>
      </w:pPr>
      <w:r w:rsidRPr="008B230A">
        <w:rPr>
          <w:sz w:val="24"/>
          <w:szCs w:val="24"/>
        </w:rPr>
        <w:t>BE IT ENACTED by the Queen, and the Senate and House of Representatives of the Commonwealth of Australia, as follows:</w:t>
      </w:r>
    </w:p>
    <w:p w14:paraId="014484EB" w14:textId="77777777" w:rsidR="00F25549" w:rsidRPr="00EC0D23" w:rsidRDefault="00A012B4" w:rsidP="00EC0D23">
      <w:pPr>
        <w:shd w:val="clear" w:color="auto" w:fill="FFFFFF"/>
        <w:spacing w:before="120" w:after="60"/>
        <w:jc w:val="both"/>
        <w:rPr>
          <w:b/>
          <w:szCs w:val="24"/>
        </w:rPr>
      </w:pPr>
      <w:r w:rsidRPr="00EC0D23">
        <w:rPr>
          <w:b/>
          <w:szCs w:val="18"/>
        </w:rPr>
        <w:t>Short title, &amp;c.</w:t>
      </w:r>
    </w:p>
    <w:p w14:paraId="3CABED89" w14:textId="76ECB6EC" w:rsidR="00F25549" w:rsidRPr="008B230A" w:rsidRDefault="00A012B4" w:rsidP="00EC0D23">
      <w:pPr>
        <w:shd w:val="clear" w:color="auto" w:fill="FFFFFF"/>
        <w:spacing w:after="60"/>
        <w:ind w:firstLine="432"/>
        <w:jc w:val="both"/>
        <w:rPr>
          <w:sz w:val="24"/>
          <w:szCs w:val="24"/>
        </w:rPr>
      </w:pPr>
      <w:r w:rsidRPr="008B230A">
        <w:rPr>
          <w:b/>
          <w:bCs/>
          <w:sz w:val="24"/>
          <w:szCs w:val="24"/>
        </w:rPr>
        <w:t>1.</w:t>
      </w:r>
      <w:r w:rsidRPr="008B230A">
        <w:rPr>
          <w:sz w:val="24"/>
          <w:szCs w:val="24"/>
        </w:rPr>
        <w:t xml:space="preserve"> (1) This Act may be cited as the </w:t>
      </w:r>
      <w:r w:rsidRPr="008B230A">
        <w:rPr>
          <w:i/>
          <w:iCs/>
          <w:sz w:val="24"/>
          <w:szCs w:val="24"/>
        </w:rPr>
        <w:t xml:space="preserve">Wheat Industry Stabilization Amendment Act </w:t>
      </w:r>
      <w:r w:rsidRPr="008B230A">
        <w:rPr>
          <w:sz w:val="24"/>
          <w:szCs w:val="24"/>
        </w:rPr>
        <w:t>1979.</w:t>
      </w:r>
    </w:p>
    <w:p w14:paraId="2AC46329" w14:textId="723264C8" w:rsidR="00F25549" w:rsidRPr="008B230A" w:rsidRDefault="00A012B4" w:rsidP="00EC0D23">
      <w:pPr>
        <w:shd w:val="clear" w:color="auto" w:fill="FFFFFF"/>
        <w:spacing w:after="60"/>
        <w:ind w:firstLine="432"/>
        <w:jc w:val="both"/>
        <w:rPr>
          <w:sz w:val="24"/>
          <w:szCs w:val="24"/>
        </w:rPr>
      </w:pPr>
      <w:r w:rsidRPr="008B230A">
        <w:rPr>
          <w:sz w:val="24"/>
          <w:szCs w:val="24"/>
        </w:rPr>
        <w:t xml:space="preserve">(2) The </w:t>
      </w:r>
      <w:r w:rsidRPr="008B230A">
        <w:rPr>
          <w:i/>
          <w:iCs/>
          <w:sz w:val="24"/>
          <w:szCs w:val="24"/>
        </w:rPr>
        <w:t xml:space="preserve">Wheat Industry Stabilization Act </w:t>
      </w:r>
      <w:r w:rsidRPr="008B230A">
        <w:rPr>
          <w:sz w:val="24"/>
          <w:szCs w:val="24"/>
        </w:rPr>
        <w:t>1974 is in this Act referred to as the Principal Act.</w:t>
      </w:r>
    </w:p>
    <w:p w14:paraId="4B1CD849" w14:textId="77777777" w:rsidR="00F25549" w:rsidRPr="00EC0D23" w:rsidRDefault="00A012B4" w:rsidP="00EC0D23">
      <w:pPr>
        <w:shd w:val="clear" w:color="auto" w:fill="FFFFFF"/>
        <w:spacing w:before="120" w:after="60"/>
        <w:jc w:val="both"/>
        <w:rPr>
          <w:b/>
          <w:szCs w:val="24"/>
        </w:rPr>
      </w:pPr>
      <w:r w:rsidRPr="00EC0D23">
        <w:rPr>
          <w:b/>
          <w:szCs w:val="18"/>
        </w:rPr>
        <w:t>Commencement</w:t>
      </w:r>
    </w:p>
    <w:p w14:paraId="2CA251CC" w14:textId="12513FD3" w:rsidR="00F25549" w:rsidRPr="008B230A" w:rsidRDefault="00A012B4" w:rsidP="00EC0D23">
      <w:pPr>
        <w:shd w:val="clear" w:color="auto" w:fill="FFFFFF"/>
        <w:spacing w:after="60"/>
        <w:ind w:firstLine="432"/>
        <w:jc w:val="both"/>
        <w:rPr>
          <w:sz w:val="24"/>
          <w:szCs w:val="24"/>
        </w:rPr>
      </w:pPr>
      <w:r w:rsidRPr="008B230A">
        <w:rPr>
          <w:b/>
          <w:bCs/>
          <w:sz w:val="24"/>
          <w:szCs w:val="24"/>
        </w:rPr>
        <w:t>2.</w:t>
      </w:r>
      <w:r w:rsidRPr="008B230A">
        <w:rPr>
          <w:sz w:val="24"/>
          <w:szCs w:val="24"/>
        </w:rPr>
        <w:t xml:space="preserve"> This Act shall come into operation on the day on which it receives the Royal Assent.</w:t>
      </w:r>
    </w:p>
    <w:p w14:paraId="6A28BA73" w14:textId="77777777" w:rsidR="00F25549" w:rsidRPr="00EC0D23" w:rsidRDefault="00A012B4" w:rsidP="00EC0D23">
      <w:pPr>
        <w:shd w:val="clear" w:color="auto" w:fill="FFFFFF"/>
        <w:spacing w:before="120" w:after="60"/>
        <w:jc w:val="both"/>
        <w:rPr>
          <w:b/>
          <w:szCs w:val="24"/>
        </w:rPr>
      </w:pPr>
      <w:r w:rsidRPr="00EC0D23">
        <w:rPr>
          <w:b/>
          <w:szCs w:val="18"/>
        </w:rPr>
        <w:t>Interpretation</w:t>
      </w:r>
    </w:p>
    <w:p w14:paraId="3785C896" w14:textId="77777777" w:rsidR="00F25549" w:rsidRPr="008B230A" w:rsidRDefault="00A012B4" w:rsidP="00EC0D23">
      <w:pPr>
        <w:shd w:val="clear" w:color="auto" w:fill="FFFFFF"/>
        <w:spacing w:after="60"/>
        <w:ind w:firstLine="432"/>
        <w:jc w:val="both"/>
        <w:rPr>
          <w:sz w:val="24"/>
          <w:szCs w:val="24"/>
        </w:rPr>
      </w:pPr>
      <w:r w:rsidRPr="008B230A">
        <w:rPr>
          <w:b/>
          <w:bCs/>
          <w:sz w:val="24"/>
          <w:szCs w:val="24"/>
        </w:rPr>
        <w:t>3.</w:t>
      </w:r>
      <w:r w:rsidRPr="008B230A">
        <w:rPr>
          <w:sz w:val="24"/>
          <w:szCs w:val="24"/>
        </w:rPr>
        <w:t xml:space="preserve"> Section 4 of the Principal Act is amended</w:t>
      </w:r>
      <w:r w:rsidRPr="008B230A">
        <w:rPr>
          <w:rFonts w:eastAsia="Times New Roman"/>
          <w:sz w:val="24"/>
          <w:szCs w:val="24"/>
        </w:rPr>
        <w:t>—</w:t>
      </w:r>
    </w:p>
    <w:p w14:paraId="226CF12B" w14:textId="77777777" w:rsidR="00F25549" w:rsidRPr="008B230A" w:rsidRDefault="00A012B4" w:rsidP="00EC0D23">
      <w:pPr>
        <w:shd w:val="clear" w:color="auto" w:fill="FFFFFF"/>
        <w:spacing w:after="60"/>
        <w:ind w:left="864" w:hanging="432"/>
        <w:jc w:val="both"/>
        <w:rPr>
          <w:sz w:val="24"/>
          <w:szCs w:val="24"/>
        </w:rPr>
      </w:pPr>
      <w:r w:rsidRPr="008B230A">
        <w:rPr>
          <w:sz w:val="24"/>
          <w:szCs w:val="24"/>
        </w:rPr>
        <w:t>(a)</w:t>
      </w:r>
      <w:r w:rsidR="00A90DAE" w:rsidRPr="008B230A">
        <w:rPr>
          <w:sz w:val="24"/>
          <w:szCs w:val="24"/>
        </w:rPr>
        <w:t xml:space="preserve"> </w:t>
      </w:r>
      <w:r w:rsidRPr="008B230A">
        <w:rPr>
          <w:sz w:val="24"/>
          <w:szCs w:val="24"/>
        </w:rPr>
        <w:t xml:space="preserve">by inserting after the definition of </w:t>
      </w:r>
      <w:r w:rsidR="00A90DAE" w:rsidRPr="008B230A">
        <w:rPr>
          <w:sz w:val="24"/>
          <w:szCs w:val="24"/>
        </w:rPr>
        <w:t>“</w:t>
      </w:r>
      <w:r w:rsidRPr="008B230A">
        <w:rPr>
          <w:sz w:val="24"/>
          <w:szCs w:val="24"/>
        </w:rPr>
        <w:t>season</w:t>
      </w:r>
      <w:r w:rsidR="00A90DAE" w:rsidRPr="008B230A">
        <w:rPr>
          <w:sz w:val="24"/>
          <w:szCs w:val="24"/>
        </w:rPr>
        <w:t>”</w:t>
      </w:r>
      <w:r w:rsidRPr="008B230A">
        <w:rPr>
          <w:sz w:val="24"/>
          <w:szCs w:val="24"/>
        </w:rPr>
        <w:t xml:space="preserve"> the following definition:</w:t>
      </w:r>
    </w:p>
    <w:p w14:paraId="486CCDD2" w14:textId="77777777" w:rsidR="00F25549" w:rsidRPr="008B230A" w:rsidRDefault="00A90DAE" w:rsidP="00EC0D23">
      <w:pPr>
        <w:shd w:val="clear" w:color="auto" w:fill="FFFFFF"/>
        <w:spacing w:after="60"/>
        <w:ind w:left="1584" w:hanging="432"/>
        <w:jc w:val="both"/>
        <w:rPr>
          <w:sz w:val="24"/>
          <w:szCs w:val="24"/>
        </w:rPr>
      </w:pPr>
      <w:r w:rsidRPr="008B230A">
        <w:rPr>
          <w:sz w:val="24"/>
          <w:szCs w:val="24"/>
        </w:rPr>
        <w:t>“</w:t>
      </w:r>
      <w:r w:rsidR="00A012B4" w:rsidRPr="008B230A">
        <w:rPr>
          <w:sz w:val="24"/>
          <w:szCs w:val="24"/>
        </w:rPr>
        <w:t xml:space="preserve"> </w:t>
      </w:r>
      <w:r w:rsidRPr="008B230A">
        <w:rPr>
          <w:sz w:val="24"/>
          <w:szCs w:val="24"/>
        </w:rPr>
        <w:t>‘</w:t>
      </w:r>
      <w:r w:rsidR="00A012B4" w:rsidRPr="008B230A">
        <w:rPr>
          <w:sz w:val="24"/>
          <w:szCs w:val="24"/>
        </w:rPr>
        <w:t>security</w:t>
      </w:r>
      <w:r w:rsidRPr="008B230A">
        <w:rPr>
          <w:sz w:val="24"/>
          <w:szCs w:val="24"/>
        </w:rPr>
        <w:t>’</w:t>
      </w:r>
      <w:r w:rsidR="00A012B4" w:rsidRPr="008B230A">
        <w:rPr>
          <w:sz w:val="24"/>
          <w:szCs w:val="24"/>
        </w:rPr>
        <w:t xml:space="preserve"> includes a bill of exchange, promissory note or unsecured note or any similar instrument or document;</w:t>
      </w:r>
      <w:r w:rsidRPr="008B230A">
        <w:rPr>
          <w:sz w:val="24"/>
          <w:szCs w:val="24"/>
        </w:rPr>
        <w:t>”</w:t>
      </w:r>
      <w:r w:rsidR="00A012B4" w:rsidRPr="008B230A">
        <w:rPr>
          <w:sz w:val="24"/>
          <w:szCs w:val="24"/>
        </w:rPr>
        <w:t>;</w:t>
      </w:r>
    </w:p>
    <w:p w14:paraId="1120CAE8" w14:textId="77777777" w:rsidR="00F25549" w:rsidRPr="008B230A" w:rsidRDefault="00A012B4" w:rsidP="00EC0D23">
      <w:pPr>
        <w:shd w:val="clear" w:color="auto" w:fill="FFFFFF"/>
        <w:spacing w:after="60"/>
        <w:ind w:left="1296" w:hanging="432"/>
        <w:jc w:val="both"/>
        <w:rPr>
          <w:sz w:val="24"/>
          <w:szCs w:val="24"/>
        </w:rPr>
      </w:pPr>
      <w:r w:rsidRPr="008B230A">
        <w:rPr>
          <w:sz w:val="24"/>
          <w:szCs w:val="24"/>
        </w:rPr>
        <w:t>and</w:t>
      </w:r>
    </w:p>
    <w:p w14:paraId="3214E30D" w14:textId="77777777" w:rsidR="00F25549" w:rsidRPr="008B230A" w:rsidRDefault="00A012B4" w:rsidP="00EC0D23">
      <w:pPr>
        <w:shd w:val="clear" w:color="auto" w:fill="FFFFFF"/>
        <w:spacing w:after="60"/>
        <w:ind w:left="864" w:hanging="432"/>
        <w:jc w:val="both"/>
        <w:rPr>
          <w:sz w:val="24"/>
          <w:szCs w:val="24"/>
        </w:rPr>
      </w:pPr>
      <w:r w:rsidRPr="008B230A">
        <w:rPr>
          <w:sz w:val="24"/>
          <w:szCs w:val="24"/>
        </w:rPr>
        <w:t>(b)</w:t>
      </w:r>
      <w:r w:rsidR="00A90DAE" w:rsidRPr="008B230A">
        <w:rPr>
          <w:sz w:val="24"/>
          <w:szCs w:val="24"/>
        </w:rPr>
        <w:t xml:space="preserve"> </w:t>
      </w:r>
      <w:r w:rsidRPr="008B230A">
        <w:rPr>
          <w:sz w:val="24"/>
          <w:szCs w:val="24"/>
        </w:rPr>
        <w:t>by adding at the end thereof the following sub-section:</w:t>
      </w:r>
    </w:p>
    <w:p w14:paraId="6657291C" w14:textId="77777777" w:rsidR="00F25549" w:rsidRPr="008B230A" w:rsidRDefault="00A90DAE" w:rsidP="00EC0D23">
      <w:pPr>
        <w:shd w:val="clear" w:color="auto" w:fill="FFFFFF"/>
        <w:spacing w:after="60"/>
        <w:ind w:left="720" w:firstLine="432"/>
        <w:jc w:val="both"/>
        <w:rPr>
          <w:sz w:val="24"/>
          <w:szCs w:val="24"/>
        </w:rPr>
      </w:pPr>
      <w:r w:rsidRPr="008B230A">
        <w:rPr>
          <w:sz w:val="24"/>
          <w:szCs w:val="24"/>
        </w:rPr>
        <w:t>“</w:t>
      </w:r>
      <w:r w:rsidR="00A012B4" w:rsidRPr="008B230A">
        <w:rPr>
          <w:sz w:val="24"/>
          <w:szCs w:val="24"/>
        </w:rPr>
        <w:t>(2) A reference in this Act to dealing with a security shall be read as a reference to anything done in relation to a security under sub-section 36 (2).</w:t>
      </w:r>
      <w:r w:rsidRPr="008B230A">
        <w:rPr>
          <w:sz w:val="24"/>
          <w:szCs w:val="24"/>
        </w:rPr>
        <w:t>”</w:t>
      </w:r>
      <w:r w:rsidR="00A012B4" w:rsidRPr="008B230A">
        <w:rPr>
          <w:sz w:val="24"/>
          <w:szCs w:val="24"/>
        </w:rPr>
        <w:t>.</w:t>
      </w:r>
    </w:p>
    <w:p w14:paraId="38D10AA3" w14:textId="77777777" w:rsidR="00F25549" w:rsidRPr="00EC0D23" w:rsidRDefault="00A012B4" w:rsidP="00EC0D23">
      <w:pPr>
        <w:shd w:val="clear" w:color="auto" w:fill="FFFFFF"/>
        <w:spacing w:before="120" w:after="60"/>
        <w:jc w:val="both"/>
        <w:rPr>
          <w:b/>
          <w:szCs w:val="24"/>
        </w:rPr>
      </w:pPr>
      <w:r w:rsidRPr="00EC0D23">
        <w:rPr>
          <w:b/>
          <w:szCs w:val="18"/>
        </w:rPr>
        <w:t>Raising of moneys by Board</w:t>
      </w:r>
    </w:p>
    <w:p w14:paraId="4691E588" w14:textId="77777777" w:rsidR="00F25549" w:rsidRPr="008B230A" w:rsidRDefault="00A012B4" w:rsidP="00EC0D23">
      <w:pPr>
        <w:shd w:val="clear" w:color="auto" w:fill="FFFFFF"/>
        <w:spacing w:after="60"/>
        <w:ind w:firstLine="432"/>
        <w:jc w:val="both"/>
        <w:rPr>
          <w:sz w:val="24"/>
          <w:szCs w:val="24"/>
        </w:rPr>
      </w:pPr>
      <w:r w:rsidRPr="008B230A">
        <w:rPr>
          <w:b/>
          <w:bCs/>
          <w:sz w:val="24"/>
          <w:szCs w:val="24"/>
        </w:rPr>
        <w:t>4.</w:t>
      </w:r>
      <w:r w:rsidRPr="008B230A">
        <w:rPr>
          <w:sz w:val="24"/>
          <w:szCs w:val="24"/>
        </w:rPr>
        <w:t xml:space="preserve"> Section 36 of the Principal Act is amended by omitting sub-section (2) and substituting the following sub-sections:</w:t>
      </w:r>
    </w:p>
    <w:p w14:paraId="661F75D6" w14:textId="77777777" w:rsidR="00F25549" w:rsidRPr="008B230A" w:rsidRDefault="00A90DAE" w:rsidP="00EC0D23">
      <w:pPr>
        <w:shd w:val="clear" w:color="auto" w:fill="FFFFFF"/>
        <w:spacing w:after="60"/>
        <w:ind w:firstLine="432"/>
        <w:jc w:val="both"/>
        <w:rPr>
          <w:sz w:val="24"/>
          <w:szCs w:val="24"/>
        </w:rPr>
      </w:pPr>
      <w:r w:rsidRPr="008B230A">
        <w:rPr>
          <w:sz w:val="24"/>
          <w:szCs w:val="24"/>
        </w:rPr>
        <w:t>“</w:t>
      </w:r>
      <w:r w:rsidR="00A012B4" w:rsidRPr="008B230A">
        <w:rPr>
          <w:sz w:val="24"/>
          <w:szCs w:val="24"/>
        </w:rPr>
        <w:t>(2) The Board may, with the approval of the Minister but not otherwise, create, execute, enter into, draw, make, accept, indorse, issue, discount and sell securities, and enter into any related agreements or other arrangements.</w:t>
      </w:r>
    </w:p>
    <w:p w14:paraId="5FF86E01" w14:textId="77777777" w:rsidR="00F25549" w:rsidRPr="008B230A" w:rsidRDefault="00A90DAE" w:rsidP="00EC0D23">
      <w:pPr>
        <w:shd w:val="clear" w:color="auto" w:fill="FFFFFF"/>
        <w:spacing w:after="60"/>
        <w:ind w:firstLine="432"/>
        <w:jc w:val="both"/>
        <w:rPr>
          <w:sz w:val="24"/>
          <w:szCs w:val="24"/>
        </w:rPr>
      </w:pPr>
      <w:r w:rsidRPr="008B230A">
        <w:rPr>
          <w:sz w:val="24"/>
          <w:szCs w:val="24"/>
        </w:rPr>
        <w:t>“</w:t>
      </w:r>
      <w:r w:rsidR="00A012B4" w:rsidRPr="008B230A">
        <w:rPr>
          <w:sz w:val="24"/>
          <w:szCs w:val="24"/>
        </w:rPr>
        <w:t>(3) The power of the Minister to give approvals for the purposes of sub-section (2) extends to the giving of approvals in respect of securities included in a specified class or specified classes of securities.</w:t>
      </w:r>
    </w:p>
    <w:p w14:paraId="58A0FF58" w14:textId="0F8B8282" w:rsidR="00F25549" w:rsidRPr="008B230A" w:rsidRDefault="00A90DAE" w:rsidP="00EC0D23">
      <w:pPr>
        <w:shd w:val="clear" w:color="auto" w:fill="FFFFFF"/>
        <w:spacing w:after="60"/>
        <w:ind w:firstLine="432"/>
        <w:jc w:val="both"/>
        <w:rPr>
          <w:sz w:val="24"/>
          <w:szCs w:val="24"/>
        </w:rPr>
      </w:pPr>
      <w:r w:rsidRPr="008B230A">
        <w:rPr>
          <w:sz w:val="24"/>
          <w:szCs w:val="24"/>
        </w:rPr>
        <w:t>“</w:t>
      </w:r>
      <w:r w:rsidR="00A012B4" w:rsidRPr="008B230A">
        <w:rPr>
          <w:sz w:val="24"/>
          <w:szCs w:val="24"/>
        </w:rPr>
        <w:t>(4) The Board may, with the approval of the Minister but not otherwise, borrow moneys otherwise than in accordance with sub</w:t>
      </w:r>
      <w:r w:rsidR="00A659E2">
        <w:rPr>
          <w:sz w:val="24"/>
          <w:szCs w:val="24"/>
        </w:rPr>
        <w:t>-</w:t>
      </w:r>
      <w:r w:rsidR="00A012B4" w:rsidRPr="008B230A">
        <w:rPr>
          <w:sz w:val="24"/>
          <w:szCs w:val="24"/>
        </w:rPr>
        <w:t>section (1) or otherwise than by dealing with securities in accordance with sub-section (2).</w:t>
      </w:r>
    </w:p>
    <w:p w14:paraId="3370AAC9" w14:textId="761A8060" w:rsidR="00F25549" w:rsidRPr="008B230A" w:rsidRDefault="00A90DAE" w:rsidP="00EC0D23">
      <w:pPr>
        <w:shd w:val="clear" w:color="auto" w:fill="FFFFFF"/>
        <w:spacing w:after="60"/>
        <w:ind w:firstLine="432"/>
        <w:jc w:val="both"/>
        <w:rPr>
          <w:sz w:val="24"/>
          <w:szCs w:val="24"/>
        </w:rPr>
      </w:pPr>
      <w:r w:rsidRPr="008B230A">
        <w:rPr>
          <w:sz w:val="24"/>
          <w:szCs w:val="22"/>
        </w:rPr>
        <w:t>“</w:t>
      </w:r>
      <w:r w:rsidR="00A012B4" w:rsidRPr="008B230A">
        <w:rPr>
          <w:sz w:val="24"/>
          <w:szCs w:val="22"/>
        </w:rPr>
        <w:t xml:space="preserve">(5) Where the Board borrows or raises moneys by dealing with securities in accordance with sub-section (2), being securities included in a class of securities specified by the Minister for the purposes of this subsection by notice published in the </w:t>
      </w:r>
      <w:r w:rsidR="00A012B4" w:rsidRPr="008B230A">
        <w:rPr>
          <w:i/>
          <w:iCs/>
          <w:sz w:val="24"/>
          <w:szCs w:val="22"/>
        </w:rPr>
        <w:t xml:space="preserve">Gazette, </w:t>
      </w:r>
      <w:r w:rsidR="00A012B4" w:rsidRPr="008B230A">
        <w:rPr>
          <w:sz w:val="24"/>
          <w:szCs w:val="22"/>
        </w:rPr>
        <w:t>the repayment by the Board of the amounts borrowed or raised or the payment of any amounts that the Board is otherwise liable to pay in respect of those securities, as the case may be, and the payment by the Board of interest (if any) on those amounts are, by force of this sub-section, guaranteed by the Commonwealth.</w:t>
      </w:r>
    </w:p>
    <w:p w14:paraId="0454B65E" w14:textId="77777777" w:rsidR="00F25549" w:rsidRPr="008B230A" w:rsidRDefault="00A90DAE" w:rsidP="00EC0D23">
      <w:pPr>
        <w:shd w:val="clear" w:color="auto" w:fill="FFFFFF"/>
        <w:spacing w:after="60"/>
        <w:ind w:firstLine="432"/>
        <w:jc w:val="both"/>
        <w:rPr>
          <w:sz w:val="24"/>
          <w:szCs w:val="24"/>
        </w:rPr>
      </w:pPr>
      <w:r w:rsidRPr="008B230A">
        <w:rPr>
          <w:sz w:val="24"/>
          <w:szCs w:val="22"/>
        </w:rPr>
        <w:t>“</w:t>
      </w:r>
      <w:r w:rsidR="00A012B4" w:rsidRPr="008B230A">
        <w:rPr>
          <w:sz w:val="24"/>
          <w:szCs w:val="22"/>
        </w:rPr>
        <w:t>(6) The Minister may, on behalf of the Commonwealth, guarantee the repayment of, and the payment of interest on, moneys borrowed under sub-section (4).</w:t>
      </w:r>
      <w:r w:rsidRPr="008B230A">
        <w:rPr>
          <w:sz w:val="24"/>
          <w:szCs w:val="22"/>
        </w:rPr>
        <w:t>”</w:t>
      </w:r>
      <w:r w:rsidR="00A012B4" w:rsidRPr="008B230A">
        <w:rPr>
          <w:sz w:val="24"/>
          <w:szCs w:val="22"/>
        </w:rPr>
        <w:t>.</w:t>
      </w:r>
    </w:p>
    <w:p w14:paraId="40E4E35B" w14:textId="77777777" w:rsidR="00F25549" w:rsidRPr="00EC0D23" w:rsidRDefault="00A012B4" w:rsidP="00EC0D23">
      <w:pPr>
        <w:shd w:val="clear" w:color="auto" w:fill="FFFFFF"/>
        <w:spacing w:before="120" w:after="60"/>
        <w:jc w:val="both"/>
        <w:rPr>
          <w:b/>
          <w:szCs w:val="24"/>
        </w:rPr>
      </w:pPr>
      <w:r w:rsidRPr="00EC0D23">
        <w:rPr>
          <w:b/>
          <w:szCs w:val="22"/>
        </w:rPr>
        <w:t>Liability to taxation</w:t>
      </w:r>
    </w:p>
    <w:p w14:paraId="27F2DE2C" w14:textId="77777777" w:rsidR="00F25549" w:rsidRPr="008B230A" w:rsidRDefault="00A012B4" w:rsidP="00EC0D23">
      <w:pPr>
        <w:shd w:val="clear" w:color="auto" w:fill="FFFFFF"/>
        <w:spacing w:after="60"/>
        <w:ind w:firstLine="432"/>
        <w:jc w:val="both"/>
        <w:rPr>
          <w:sz w:val="24"/>
          <w:szCs w:val="24"/>
        </w:rPr>
      </w:pPr>
      <w:r w:rsidRPr="008B230A">
        <w:rPr>
          <w:b/>
          <w:bCs/>
          <w:sz w:val="24"/>
          <w:szCs w:val="22"/>
        </w:rPr>
        <w:t>5.</w:t>
      </w:r>
      <w:r w:rsidRPr="008B230A">
        <w:rPr>
          <w:sz w:val="24"/>
          <w:szCs w:val="22"/>
        </w:rPr>
        <w:t xml:space="preserve"> Section 37 of the Principal Act is amended</w:t>
      </w:r>
      <w:r w:rsidRPr="008B230A">
        <w:rPr>
          <w:rFonts w:eastAsia="Times New Roman"/>
          <w:sz w:val="24"/>
          <w:szCs w:val="22"/>
        </w:rPr>
        <w:t>—</w:t>
      </w:r>
    </w:p>
    <w:p w14:paraId="2B41F5BC" w14:textId="77777777" w:rsidR="00F25549" w:rsidRPr="008B230A" w:rsidRDefault="00A012B4" w:rsidP="00EC0D23">
      <w:pPr>
        <w:shd w:val="clear" w:color="auto" w:fill="FFFFFF"/>
        <w:spacing w:after="60"/>
        <w:ind w:left="864" w:hanging="432"/>
        <w:jc w:val="both"/>
        <w:rPr>
          <w:sz w:val="24"/>
          <w:szCs w:val="24"/>
        </w:rPr>
      </w:pPr>
      <w:r w:rsidRPr="008B230A">
        <w:rPr>
          <w:sz w:val="24"/>
          <w:szCs w:val="22"/>
        </w:rPr>
        <w:t>(a)</w:t>
      </w:r>
      <w:r w:rsidR="00A90DAE" w:rsidRPr="008B230A">
        <w:rPr>
          <w:sz w:val="24"/>
          <w:szCs w:val="22"/>
        </w:rPr>
        <w:t xml:space="preserve"> </w:t>
      </w:r>
      <w:r w:rsidRPr="008B230A">
        <w:rPr>
          <w:sz w:val="24"/>
          <w:szCs w:val="22"/>
        </w:rPr>
        <w:t>by omitting from</w:t>
      </w:r>
      <w:r w:rsidR="00A90DAE" w:rsidRPr="008B230A">
        <w:rPr>
          <w:sz w:val="24"/>
          <w:szCs w:val="22"/>
        </w:rPr>
        <w:t xml:space="preserve"> </w:t>
      </w:r>
      <w:r w:rsidRPr="008B230A">
        <w:rPr>
          <w:sz w:val="24"/>
          <w:szCs w:val="22"/>
        </w:rPr>
        <w:t>sub-section (1)</w:t>
      </w:r>
      <w:r w:rsidR="00A90DAE" w:rsidRPr="008B230A">
        <w:rPr>
          <w:sz w:val="24"/>
          <w:szCs w:val="22"/>
        </w:rPr>
        <w:t xml:space="preserve"> “</w:t>
      </w:r>
      <w:r w:rsidRPr="008B230A">
        <w:rPr>
          <w:sz w:val="24"/>
          <w:szCs w:val="22"/>
        </w:rPr>
        <w:t>The</w:t>
      </w:r>
      <w:r w:rsidR="00A90DAE" w:rsidRPr="008B230A">
        <w:rPr>
          <w:sz w:val="24"/>
          <w:szCs w:val="22"/>
        </w:rPr>
        <w:t>”</w:t>
      </w:r>
      <w:r w:rsidRPr="008B230A">
        <w:rPr>
          <w:sz w:val="24"/>
          <w:szCs w:val="22"/>
        </w:rPr>
        <w:t xml:space="preserve"> and</w:t>
      </w:r>
      <w:r w:rsidR="00A90DAE" w:rsidRPr="008B230A">
        <w:rPr>
          <w:sz w:val="24"/>
          <w:szCs w:val="22"/>
        </w:rPr>
        <w:t xml:space="preserve"> </w:t>
      </w:r>
      <w:r w:rsidRPr="008B230A">
        <w:rPr>
          <w:sz w:val="24"/>
          <w:szCs w:val="22"/>
        </w:rPr>
        <w:t xml:space="preserve">substituting </w:t>
      </w:r>
      <w:r w:rsidR="00A90DAE" w:rsidRPr="008B230A">
        <w:rPr>
          <w:sz w:val="24"/>
          <w:szCs w:val="22"/>
        </w:rPr>
        <w:t>“</w:t>
      </w:r>
      <w:r w:rsidRPr="008B230A">
        <w:rPr>
          <w:sz w:val="24"/>
          <w:szCs w:val="22"/>
        </w:rPr>
        <w:t>Subject to sub-section (4), the</w:t>
      </w:r>
      <w:r w:rsidR="00A90DAE" w:rsidRPr="008B230A">
        <w:rPr>
          <w:sz w:val="24"/>
          <w:szCs w:val="22"/>
        </w:rPr>
        <w:t>”</w:t>
      </w:r>
      <w:r w:rsidRPr="008B230A">
        <w:rPr>
          <w:sz w:val="24"/>
          <w:szCs w:val="22"/>
        </w:rPr>
        <w:t>; and</w:t>
      </w:r>
    </w:p>
    <w:p w14:paraId="51145BA7" w14:textId="77777777" w:rsidR="00A659E2" w:rsidRDefault="00A659E2">
      <w:pPr>
        <w:widowControl/>
        <w:autoSpaceDE/>
        <w:autoSpaceDN/>
        <w:adjustRightInd/>
        <w:spacing w:after="200" w:line="276" w:lineRule="auto"/>
        <w:rPr>
          <w:sz w:val="24"/>
          <w:szCs w:val="22"/>
        </w:rPr>
      </w:pPr>
      <w:r>
        <w:rPr>
          <w:sz w:val="24"/>
          <w:szCs w:val="22"/>
        </w:rPr>
        <w:br w:type="page"/>
      </w:r>
    </w:p>
    <w:p w14:paraId="1C7CE62C" w14:textId="71BBEA31" w:rsidR="00F25549" w:rsidRPr="008B230A" w:rsidRDefault="00A012B4" w:rsidP="00EC0D23">
      <w:pPr>
        <w:shd w:val="clear" w:color="auto" w:fill="FFFFFF"/>
        <w:spacing w:after="60"/>
        <w:ind w:left="864" w:hanging="432"/>
        <w:jc w:val="both"/>
        <w:rPr>
          <w:sz w:val="24"/>
          <w:szCs w:val="24"/>
        </w:rPr>
      </w:pPr>
      <w:r w:rsidRPr="008B230A">
        <w:rPr>
          <w:sz w:val="24"/>
          <w:szCs w:val="22"/>
        </w:rPr>
        <w:lastRenderedPageBreak/>
        <w:t>(b)</w:t>
      </w:r>
      <w:r w:rsidR="00A90DAE" w:rsidRPr="008B230A">
        <w:rPr>
          <w:sz w:val="24"/>
          <w:szCs w:val="22"/>
        </w:rPr>
        <w:t xml:space="preserve"> </w:t>
      </w:r>
      <w:r w:rsidRPr="008B230A">
        <w:rPr>
          <w:sz w:val="24"/>
          <w:szCs w:val="22"/>
        </w:rPr>
        <w:t>by adding at the end thereof the following sub-sections:</w:t>
      </w:r>
    </w:p>
    <w:p w14:paraId="7E96D449" w14:textId="77777777" w:rsidR="00F25549" w:rsidRPr="008B230A" w:rsidRDefault="00A90DAE" w:rsidP="00431866">
      <w:pPr>
        <w:shd w:val="clear" w:color="auto" w:fill="FFFFFF"/>
        <w:spacing w:after="60"/>
        <w:ind w:left="540" w:firstLine="360"/>
        <w:jc w:val="both"/>
        <w:rPr>
          <w:sz w:val="24"/>
          <w:szCs w:val="24"/>
        </w:rPr>
      </w:pPr>
      <w:r w:rsidRPr="008B230A">
        <w:rPr>
          <w:sz w:val="24"/>
          <w:szCs w:val="22"/>
        </w:rPr>
        <w:t>“</w:t>
      </w:r>
      <w:r w:rsidR="00A012B4" w:rsidRPr="008B230A">
        <w:rPr>
          <w:sz w:val="24"/>
          <w:szCs w:val="22"/>
        </w:rPr>
        <w:t xml:space="preserve">(4) Where the Minister so determines by notice published in the </w:t>
      </w:r>
      <w:bookmarkStart w:id="0" w:name="_GoBack"/>
      <w:bookmarkEnd w:id="0"/>
      <w:r w:rsidR="00A012B4" w:rsidRPr="008B230A">
        <w:rPr>
          <w:i/>
          <w:iCs/>
          <w:sz w:val="24"/>
          <w:szCs w:val="22"/>
        </w:rPr>
        <w:t xml:space="preserve">Gazette, </w:t>
      </w:r>
      <w:r w:rsidR="00A012B4" w:rsidRPr="008B230A">
        <w:rPr>
          <w:sz w:val="24"/>
          <w:szCs w:val="22"/>
        </w:rPr>
        <w:t>stamp duty, or any similar tax, is not payable by the Board or any other person under a law of the Commonwealth or of a State or Territory in respect of</w:t>
      </w:r>
      <w:r w:rsidR="00A012B4" w:rsidRPr="008B230A">
        <w:rPr>
          <w:rFonts w:eastAsia="Times New Roman"/>
          <w:sz w:val="24"/>
          <w:szCs w:val="22"/>
        </w:rPr>
        <w:t>—</w:t>
      </w:r>
    </w:p>
    <w:p w14:paraId="7B5AFE76" w14:textId="77777777" w:rsidR="00F25549" w:rsidRPr="008B230A" w:rsidRDefault="00A012B4" w:rsidP="00431866">
      <w:pPr>
        <w:shd w:val="clear" w:color="auto" w:fill="FFFFFF"/>
        <w:spacing w:after="60"/>
        <w:ind w:left="990" w:hanging="432"/>
        <w:jc w:val="both"/>
        <w:rPr>
          <w:sz w:val="24"/>
          <w:szCs w:val="24"/>
        </w:rPr>
      </w:pPr>
      <w:r w:rsidRPr="008B230A">
        <w:rPr>
          <w:sz w:val="24"/>
          <w:szCs w:val="22"/>
        </w:rPr>
        <w:t>(a)</w:t>
      </w:r>
      <w:r w:rsidR="00A90DAE" w:rsidRPr="008B230A">
        <w:rPr>
          <w:sz w:val="24"/>
          <w:szCs w:val="22"/>
        </w:rPr>
        <w:t xml:space="preserve"> </w:t>
      </w:r>
      <w:r w:rsidRPr="008B230A">
        <w:rPr>
          <w:sz w:val="24"/>
          <w:szCs w:val="22"/>
        </w:rPr>
        <w:t>a security dealt with by the Board;</w:t>
      </w:r>
    </w:p>
    <w:p w14:paraId="6CE0DE24" w14:textId="77777777" w:rsidR="00F25549" w:rsidRPr="008B230A" w:rsidRDefault="00A012B4" w:rsidP="00431866">
      <w:pPr>
        <w:shd w:val="clear" w:color="auto" w:fill="FFFFFF"/>
        <w:spacing w:after="60"/>
        <w:ind w:left="990" w:hanging="432"/>
        <w:jc w:val="both"/>
        <w:rPr>
          <w:sz w:val="24"/>
          <w:szCs w:val="24"/>
        </w:rPr>
      </w:pPr>
      <w:r w:rsidRPr="008B230A">
        <w:rPr>
          <w:sz w:val="24"/>
          <w:szCs w:val="22"/>
        </w:rPr>
        <w:t>(b)</w:t>
      </w:r>
      <w:r w:rsidR="00A90DAE" w:rsidRPr="008B230A">
        <w:rPr>
          <w:sz w:val="24"/>
          <w:szCs w:val="22"/>
        </w:rPr>
        <w:t xml:space="preserve"> </w:t>
      </w:r>
      <w:r w:rsidRPr="008B230A">
        <w:rPr>
          <w:sz w:val="24"/>
          <w:szCs w:val="22"/>
        </w:rPr>
        <w:t>the issue, redemption, transfer, sale, purchase, acquisition or discounting of such a security by the Board or any other person, not including a transaction entered into without consideration or for an inadequate consideration; or</w:t>
      </w:r>
    </w:p>
    <w:p w14:paraId="09B6ECDD" w14:textId="77777777" w:rsidR="00F25549" w:rsidRPr="008B230A" w:rsidRDefault="00A012B4" w:rsidP="00431866">
      <w:pPr>
        <w:shd w:val="clear" w:color="auto" w:fill="FFFFFF"/>
        <w:spacing w:after="60"/>
        <w:ind w:left="990" w:hanging="432"/>
        <w:jc w:val="both"/>
        <w:rPr>
          <w:sz w:val="24"/>
          <w:szCs w:val="24"/>
        </w:rPr>
      </w:pPr>
      <w:r w:rsidRPr="008B230A">
        <w:rPr>
          <w:sz w:val="24"/>
          <w:szCs w:val="22"/>
        </w:rPr>
        <w:t>(c)</w:t>
      </w:r>
      <w:r w:rsidR="00A90DAE" w:rsidRPr="008B230A">
        <w:rPr>
          <w:sz w:val="24"/>
          <w:szCs w:val="22"/>
        </w:rPr>
        <w:t xml:space="preserve"> </w:t>
      </w:r>
      <w:r w:rsidRPr="008B230A">
        <w:rPr>
          <w:sz w:val="24"/>
          <w:szCs w:val="22"/>
        </w:rPr>
        <w:t>any document executed by or on behalf of the Board, or any transaction, in relation to the borrowing or other raising of moneys by the Board.</w:t>
      </w:r>
    </w:p>
    <w:p w14:paraId="49A98F69" w14:textId="77777777" w:rsidR="00F25549" w:rsidRPr="008B230A" w:rsidRDefault="00A90DAE" w:rsidP="00EC0D23">
      <w:pPr>
        <w:shd w:val="clear" w:color="auto" w:fill="FFFFFF"/>
        <w:spacing w:after="60"/>
        <w:ind w:firstLine="432"/>
        <w:jc w:val="both"/>
        <w:rPr>
          <w:sz w:val="24"/>
          <w:szCs w:val="24"/>
        </w:rPr>
      </w:pPr>
      <w:r w:rsidRPr="008B230A">
        <w:rPr>
          <w:sz w:val="24"/>
          <w:szCs w:val="22"/>
        </w:rPr>
        <w:t>“</w:t>
      </w:r>
      <w:r w:rsidR="00A012B4" w:rsidRPr="008B230A">
        <w:rPr>
          <w:sz w:val="24"/>
          <w:szCs w:val="22"/>
        </w:rPr>
        <w:t>(5) The power conferred on the Minister by sub-section (4) to make a determination extends to the making of a determination in respect of securities included in a specified class or specified classes of securities and in respect of documents or transactions included in a specified class or specified classes of documents or transactions.</w:t>
      </w:r>
      <w:r w:rsidRPr="008B230A">
        <w:rPr>
          <w:sz w:val="24"/>
          <w:szCs w:val="22"/>
        </w:rPr>
        <w:t>”</w:t>
      </w:r>
      <w:r w:rsidR="00A012B4" w:rsidRPr="008B230A">
        <w:rPr>
          <w:sz w:val="24"/>
          <w:szCs w:val="22"/>
        </w:rPr>
        <w:t>.</w:t>
      </w:r>
    </w:p>
    <w:p w14:paraId="01853CE0" w14:textId="59CFF163" w:rsidR="00A012B4" w:rsidRPr="008B230A" w:rsidRDefault="00EC0D23" w:rsidP="00A659E2">
      <w:pPr>
        <w:shd w:val="clear" w:color="auto" w:fill="FFFFFF"/>
        <w:spacing w:before="720" w:after="120"/>
        <w:jc w:val="center"/>
        <w:rPr>
          <w:sz w:val="24"/>
          <w:szCs w:val="24"/>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6F7D0203" wp14:editId="29C3267A">
                <wp:simplePos x="0" y="0"/>
                <wp:positionH relativeFrom="column">
                  <wp:posOffset>-8467</wp:posOffset>
                </wp:positionH>
                <wp:positionV relativeFrom="paragraph">
                  <wp:posOffset>127212</wp:posOffset>
                </wp:positionV>
                <wp:extent cx="609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F4FD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0pt" to="479.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" strokecolor="black [3040]" strokeweight="1.5pt"/>
            </w:pict>
          </mc:Fallback>
        </mc:AlternateContent>
      </w:r>
    </w:p>
    <w:sectPr w:rsidR="00A012B4" w:rsidRPr="008B230A" w:rsidSect="008D2F69">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8EF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8EF04" w16cid:durableId="1F79B1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27FBB" w14:textId="77777777" w:rsidR="00053319" w:rsidRDefault="00053319" w:rsidP="008D2F69">
      <w:r>
        <w:separator/>
      </w:r>
    </w:p>
  </w:endnote>
  <w:endnote w:type="continuationSeparator" w:id="0">
    <w:p w14:paraId="7E24EDF9" w14:textId="77777777" w:rsidR="00053319" w:rsidRDefault="00053319" w:rsidP="008D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8DACB" w14:textId="77777777" w:rsidR="00053319" w:rsidRDefault="00053319" w:rsidP="008D2F69">
      <w:r>
        <w:separator/>
      </w:r>
    </w:p>
  </w:footnote>
  <w:footnote w:type="continuationSeparator" w:id="0">
    <w:p w14:paraId="6CC3D954" w14:textId="77777777" w:rsidR="00053319" w:rsidRDefault="00053319" w:rsidP="008D2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C67C4" w14:textId="77777777" w:rsidR="008D2F69" w:rsidRPr="009E12DB" w:rsidRDefault="008D2F69">
    <w:pPr>
      <w:pStyle w:val="Header"/>
      <w:rPr>
        <w:sz w:val="22"/>
        <w:szCs w:val="22"/>
      </w:rPr>
    </w:pPr>
    <w:r w:rsidRPr="009E12DB">
      <w:rPr>
        <w:sz w:val="22"/>
        <w:szCs w:val="22"/>
      </w:rPr>
      <w:t>1979</w:t>
    </w:r>
    <w:r w:rsidRPr="009E12DB">
      <w:rPr>
        <w:sz w:val="22"/>
        <w:szCs w:val="22"/>
      </w:rPr>
      <w:tab/>
    </w:r>
    <w:r w:rsidRPr="009E12DB">
      <w:rPr>
        <w:i/>
        <w:iCs/>
        <w:sz w:val="22"/>
        <w:szCs w:val="22"/>
      </w:rPr>
      <w:t>Wheat Industry Stabilization Amendment</w:t>
    </w:r>
    <w:r w:rsidRPr="009E12DB">
      <w:rPr>
        <w:i/>
        <w:iCs/>
        <w:sz w:val="22"/>
        <w:szCs w:val="22"/>
      </w:rPr>
      <w:tab/>
    </w:r>
    <w:r w:rsidRPr="009E12DB">
      <w:rPr>
        <w:iCs/>
        <w:sz w:val="22"/>
        <w:szCs w:val="22"/>
      </w:rPr>
      <w:t>No. 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BD6835371BB42CFAB74141060DF0292"/>
      </w:placeholder>
      <w:temporary/>
      <w:showingPlcHdr/>
    </w:sdtPr>
    <w:sdtEndPr/>
    <w:sdtContent>
      <w:p w14:paraId="47CB738B" w14:textId="77777777" w:rsidR="008D2F69" w:rsidRDefault="008D2F69">
        <w:pPr>
          <w:pStyle w:val="Header"/>
        </w:pPr>
        <w:r>
          <w:t>[Type here]</w:t>
        </w:r>
      </w:p>
    </w:sdtContent>
  </w:sdt>
  <w:p w14:paraId="631C71D0" w14:textId="77777777" w:rsidR="008D2F69" w:rsidRDefault="008D2F6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AE"/>
    <w:rsid w:val="00053319"/>
    <w:rsid w:val="00187DE5"/>
    <w:rsid w:val="00431866"/>
    <w:rsid w:val="00612199"/>
    <w:rsid w:val="007C45F7"/>
    <w:rsid w:val="008B230A"/>
    <w:rsid w:val="008D2F69"/>
    <w:rsid w:val="009E12DB"/>
    <w:rsid w:val="00A012B4"/>
    <w:rsid w:val="00A46483"/>
    <w:rsid w:val="00A659E2"/>
    <w:rsid w:val="00A90DAE"/>
    <w:rsid w:val="00DE3DE3"/>
    <w:rsid w:val="00E069F5"/>
    <w:rsid w:val="00EC0D23"/>
    <w:rsid w:val="00F25549"/>
    <w:rsid w:val="00F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E299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F69"/>
    <w:pPr>
      <w:tabs>
        <w:tab w:val="center" w:pos="4680"/>
        <w:tab w:val="right" w:pos="9360"/>
      </w:tabs>
    </w:pPr>
  </w:style>
  <w:style w:type="character" w:customStyle="1" w:styleId="HeaderChar">
    <w:name w:val="Header Char"/>
    <w:basedOn w:val="DefaultParagraphFont"/>
    <w:link w:val="Header"/>
    <w:uiPriority w:val="99"/>
    <w:rsid w:val="008D2F69"/>
    <w:rPr>
      <w:rFonts w:ascii="Times New Roman" w:hAnsi="Times New Roman" w:cs="Times New Roman"/>
      <w:sz w:val="20"/>
      <w:szCs w:val="20"/>
    </w:rPr>
  </w:style>
  <w:style w:type="paragraph" w:styleId="Footer">
    <w:name w:val="footer"/>
    <w:basedOn w:val="Normal"/>
    <w:link w:val="FooterChar"/>
    <w:uiPriority w:val="99"/>
    <w:unhideWhenUsed/>
    <w:rsid w:val="008D2F69"/>
    <w:pPr>
      <w:tabs>
        <w:tab w:val="center" w:pos="4680"/>
        <w:tab w:val="right" w:pos="9360"/>
      </w:tabs>
    </w:pPr>
  </w:style>
  <w:style w:type="character" w:customStyle="1" w:styleId="FooterChar">
    <w:name w:val="Footer Char"/>
    <w:basedOn w:val="DefaultParagraphFont"/>
    <w:link w:val="Footer"/>
    <w:uiPriority w:val="99"/>
    <w:rsid w:val="008D2F69"/>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A46483"/>
    <w:rPr>
      <w:sz w:val="16"/>
      <w:szCs w:val="16"/>
    </w:rPr>
  </w:style>
  <w:style w:type="paragraph" w:styleId="CommentText">
    <w:name w:val="annotation text"/>
    <w:basedOn w:val="Normal"/>
    <w:link w:val="CommentTextChar"/>
    <w:uiPriority w:val="99"/>
    <w:semiHidden/>
    <w:unhideWhenUsed/>
    <w:rsid w:val="00A46483"/>
  </w:style>
  <w:style w:type="character" w:customStyle="1" w:styleId="CommentTextChar">
    <w:name w:val="Comment Text Char"/>
    <w:basedOn w:val="DefaultParagraphFont"/>
    <w:link w:val="CommentText"/>
    <w:uiPriority w:val="99"/>
    <w:semiHidden/>
    <w:rsid w:val="00A464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6483"/>
    <w:rPr>
      <w:b/>
      <w:bCs/>
    </w:rPr>
  </w:style>
  <w:style w:type="character" w:customStyle="1" w:styleId="CommentSubjectChar">
    <w:name w:val="Comment Subject Char"/>
    <w:basedOn w:val="CommentTextChar"/>
    <w:link w:val="CommentSubject"/>
    <w:uiPriority w:val="99"/>
    <w:semiHidden/>
    <w:rsid w:val="00A4648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46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83"/>
    <w:rPr>
      <w:rFonts w:ascii="Segoe UI" w:hAnsi="Segoe UI" w:cs="Segoe UI"/>
      <w:sz w:val="18"/>
      <w:szCs w:val="18"/>
    </w:rPr>
  </w:style>
  <w:style w:type="paragraph" w:styleId="Revision">
    <w:name w:val="Revision"/>
    <w:hidden/>
    <w:uiPriority w:val="99"/>
    <w:semiHidden/>
    <w:rsid w:val="00A659E2"/>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F69"/>
    <w:pPr>
      <w:tabs>
        <w:tab w:val="center" w:pos="4680"/>
        <w:tab w:val="right" w:pos="9360"/>
      </w:tabs>
    </w:pPr>
  </w:style>
  <w:style w:type="character" w:customStyle="1" w:styleId="HeaderChar">
    <w:name w:val="Header Char"/>
    <w:basedOn w:val="DefaultParagraphFont"/>
    <w:link w:val="Header"/>
    <w:uiPriority w:val="99"/>
    <w:rsid w:val="008D2F69"/>
    <w:rPr>
      <w:rFonts w:ascii="Times New Roman" w:hAnsi="Times New Roman" w:cs="Times New Roman"/>
      <w:sz w:val="20"/>
      <w:szCs w:val="20"/>
    </w:rPr>
  </w:style>
  <w:style w:type="paragraph" w:styleId="Footer">
    <w:name w:val="footer"/>
    <w:basedOn w:val="Normal"/>
    <w:link w:val="FooterChar"/>
    <w:uiPriority w:val="99"/>
    <w:unhideWhenUsed/>
    <w:rsid w:val="008D2F69"/>
    <w:pPr>
      <w:tabs>
        <w:tab w:val="center" w:pos="4680"/>
        <w:tab w:val="right" w:pos="9360"/>
      </w:tabs>
    </w:pPr>
  </w:style>
  <w:style w:type="character" w:customStyle="1" w:styleId="FooterChar">
    <w:name w:val="Footer Char"/>
    <w:basedOn w:val="DefaultParagraphFont"/>
    <w:link w:val="Footer"/>
    <w:uiPriority w:val="99"/>
    <w:rsid w:val="008D2F69"/>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A46483"/>
    <w:rPr>
      <w:sz w:val="16"/>
      <w:szCs w:val="16"/>
    </w:rPr>
  </w:style>
  <w:style w:type="paragraph" w:styleId="CommentText">
    <w:name w:val="annotation text"/>
    <w:basedOn w:val="Normal"/>
    <w:link w:val="CommentTextChar"/>
    <w:uiPriority w:val="99"/>
    <w:semiHidden/>
    <w:unhideWhenUsed/>
    <w:rsid w:val="00A46483"/>
  </w:style>
  <w:style w:type="character" w:customStyle="1" w:styleId="CommentTextChar">
    <w:name w:val="Comment Text Char"/>
    <w:basedOn w:val="DefaultParagraphFont"/>
    <w:link w:val="CommentText"/>
    <w:uiPriority w:val="99"/>
    <w:semiHidden/>
    <w:rsid w:val="00A464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6483"/>
    <w:rPr>
      <w:b/>
      <w:bCs/>
    </w:rPr>
  </w:style>
  <w:style w:type="character" w:customStyle="1" w:styleId="CommentSubjectChar">
    <w:name w:val="Comment Subject Char"/>
    <w:basedOn w:val="CommentTextChar"/>
    <w:link w:val="CommentSubject"/>
    <w:uiPriority w:val="99"/>
    <w:semiHidden/>
    <w:rsid w:val="00A4648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46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83"/>
    <w:rPr>
      <w:rFonts w:ascii="Segoe UI" w:hAnsi="Segoe UI" w:cs="Segoe UI"/>
      <w:sz w:val="18"/>
      <w:szCs w:val="18"/>
    </w:rPr>
  </w:style>
  <w:style w:type="paragraph" w:styleId="Revision">
    <w:name w:val="Revision"/>
    <w:hidden/>
    <w:uiPriority w:val="99"/>
    <w:semiHidden/>
    <w:rsid w:val="00A659E2"/>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D6835371BB42CFAB74141060DF0292"/>
        <w:category>
          <w:name w:val="General"/>
          <w:gallery w:val="placeholder"/>
        </w:category>
        <w:types>
          <w:type w:val="bbPlcHdr"/>
        </w:types>
        <w:behaviors>
          <w:behavior w:val="content"/>
        </w:behaviors>
        <w:guid w:val="{EB58BF11-4A79-4D37-B74E-25252E51B9BB}"/>
      </w:docPartPr>
      <w:docPartBody>
        <w:p w:rsidR="00880564" w:rsidRDefault="00840F0A" w:rsidP="00840F0A">
          <w:pPr>
            <w:pStyle w:val="FBD6835371BB42CFAB74141060DF029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0A"/>
    <w:rsid w:val="004F3D35"/>
    <w:rsid w:val="00840F0A"/>
    <w:rsid w:val="00880564"/>
    <w:rsid w:val="00994CFA"/>
    <w:rsid w:val="00CE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D6835371BB42CFAB74141060DF0292">
    <w:name w:val="FBD6835371BB42CFAB74141060DF0292"/>
    <w:rsid w:val="00840F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D6835371BB42CFAB74141060DF0292">
    <w:name w:val="FBD6835371BB42CFAB74141060DF0292"/>
    <w:rsid w:val="00840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2018-10-23T04:41:00Z</dcterms:created>
  <dcterms:modified xsi:type="dcterms:W3CDTF">2019-10-10T02:48:00Z</dcterms:modified>
</cp:coreProperties>
</file>