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FC327" w14:textId="77777777" w:rsidR="00566B66" w:rsidRPr="003A7226" w:rsidRDefault="002F126A" w:rsidP="003A7226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706B13">
        <w:rPr>
          <w:rFonts w:ascii="Times New Roman" w:hAnsi="Times New Roman"/>
          <w:b/>
          <w:smallCaps/>
          <w:sz w:val="36"/>
        </w:rPr>
        <w:t>A</w:t>
      </w:r>
      <w:r w:rsidRPr="003A7226">
        <w:rPr>
          <w:rFonts w:ascii="Times New Roman" w:hAnsi="Times New Roman"/>
          <w:b/>
          <w:sz w:val="36"/>
        </w:rPr>
        <w:t>ir Force Amendment Act 1979</w:t>
      </w:r>
    </w:p>
    <w:p w14:paraId="653E9059" w14:textId="77777777" w:rsidR="00566B66" w:rsidRPr="003A7226" w:rsidRDefault="002F126A" w:rsidP="003A7226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3A7226">
        <w:rPr>
          <w:rFonts w:ascii="Times New Roman" w:hAnsi="Times New Roman"/>
          <w:b/>
          <w:sz w:val="28"/>
        </w:rPr>
        <w:t>No. 134 of 1979</w:t>
      </w:r>
    </w:p>
    <w:p w14:paraId="2C3496BA" w14:textId="77777777" w:rsidR="00566B66" w:rsidRPr="003A7226" w:rsidRDefault="00566B66" w:rsidP="003A7226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3A7226">
        <w:rPr>
          <w:rFonts w:ascii="Times New Roman" w:hAnsi="Times New Roman"/>
          <w:sz w:val="26"/>
        </w:rPr>
        <w:t xml:space="preserve">An Act to amend the </w:t>
      </w:r>
      <w:r w:rsidR="00FB6FD2" w:rsidRPr="003A7226">
        <w:rPr>
          <w:rFonts w:ascii="Times New Roman" w:hAnsi="Times New Roman"/>
          <w:i/>
          <w:sz w:val="26"/>
        </w:rPr>
        <w:t xml:space="preserve">Air Force Act </w:t>
      </w:r>
      <w:r w:rsidRPr="003A7226">
        <w:rPr>
          <w:rFonts w:ascii="Times New Roman" w:hAnsi="Times New Roman"/>
          <w:sz w:val="26"/>
        </w:rPr>
        <w:t>1923.</w:t>
      </w:r>
    </w:p>
    <w:p w14:paraId="788722BA" w14:textId="77777777" w:rsidR="00566B66" w:rsidRPr="003A7226" w:rsidRDefault="00566B66" w:rsidP="003A7226">
      <w:pPr>
        <w:spacing w:after="0" w:line="240" w:lineRule="auto"/>
        <w:ind w:firstLine="432"/>
        <w:jc w:val="both"/>
        <w:rPr>
          <w:rFonts w:ascii="Times New Roman" w:hAnsi="Times New Roman"/>
          <w:sz w:val="24"/>
        </w:rPr>
      </w:pPr>
      <w:r w:rsidRPr="003A7226">
        <w:rPr>
          <w:rFonts w:ascii="Times New Roman" w:hAnsi="Times New Roman"/>
          <w:sz w:val="24"/>
        </w:rPr>
        <w:t>BE IT ENACTED by the Queen, and the Senate and House of Representatives of the Commonwealth of Australia, as follows:</w:t>
      </w:r>
    </w:p>
    <w:p w14:paraId="734C2C82" w14:textId="77777777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Short title, &amp;c.</w:t>
      </w:r>
    </w:p>
    <w:p w14:paraId="4C5469A4" w14:textId="453D4310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>1</w:t>
      </w:r>
      <w:r w:rsidR="00566B66" w:rsidRPr="003A7226">
        <w:rPr>
          <w:rFonts w:ascii="Times New Roman" w:hAnsi="Times New Roman"/>
        </w:rPr>
        <w:t xml:space="preserve">. (1) This Act may be cited as the </w:t>
      </w:r>
      <w:r w:rsidR="00FB6FD2" w:rsidRPr="003A7226">
        <w:rPr>
          <w:rFonts w:ascii="Times New Roman" w:hAnsi="Times New Roman"/>
          <w:i/>
        </w:rPr>
        <w:t xml:space="preserve">Air Force Amendment Act </w:t>
      </w:r>
      <w:r w:rsidR="00566B66" w:rsidRPr="003A7226">
        <w:rPr>
          <w:rFonts w:ascii="Times New Roman" w:hAnsi="Times New Roman"/>
        </w:rPr>
        <w:t>1979.</w:t>
      </w:r>
    </w:p>
    <w:p w14:paraId="5D65A081" w14:textId="5A428AA9" w:rsidR="00566B66" w:rsidRPr="003A7226" w:rsidRDefault="00566B66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</w:rPr>
        <w:t xml:space="preserve">(2) The </w:t>
      </w:r>
      <w:r w:rsidR="00FB6FD2" w:rsidRPr="003A7226">
        <w:rPr>
          <w:rFonts w:ascii="Times New Roman" w:hAnsi="Times New Roman"/>
          <w:i/>
        </w:rPr>
        <w:t xml:space="preserve">Air Force Act </w:t>
      </w:r>
      <w:r w:rsidRPr="003A7226">
        <w:rPr>
          <w:rFonts w:ascii="Times New Roman" w:hAnsi="Times New Roman"/>
        </w:rPr>
        <w:t>1923 is in this Act referred to as the Principal Act.</w:t>
      </w:r>
    </w:p>
    <w:p w14:paraId="1ECB4C3B" w14:textId="77777777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Commencement</w:t>
      </w:r>
    </w:p>
    <w:p w14:paraId="78384554" w14:textId="3B187DEA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2. </w:t>
      </w:r>
      <w:r w:rsidR="00566B66" w:rsidRPr="003A7226">
        <w:rPr>
          <w:rFonts w:ascii="Times New Roman" w:hAnsi="Times New Roman"/>
        </w:rPr>
        <w:t>(1) Subject to sub-section (2), this Act shall come into operation on the day on which it receives the Royal Assent.</w:t>
      </w:r>
    </w:p>
    <w:p w14:paraId="21C895D0" w14:textId="4727E300" w:rsidR="00566B66" w:rsidRPr="003A7226" w:rsidRDefault="000B4A9F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Sub-section 4</w:t>
      </w:r>
      <w:r w:rsidR="00566B66" w:rsidRPr="003A7226">
        <w:rPr>
          <w:rFonts w:ascii="Times New Roman" w:hAnsi="Times New Roman"/>
        </w:rPr>
        <w:t xml:space="preserve">(1) and section 6 shall come into operation on the day on which sub-section 6(1) of the </w:t>
      </w:r>
      <w:proofErr w:type="spellStart"/>
      <w:r w:rsidR="00FB6FD2" w:rsidRPr="003A7226">
        <w:rPr>
          <w:rFonts w:ascii="Times New Roman" w:hAnsi="Times New Roman"/>
          <w:i/>
        </w:rPr>
        <w:t>Defence</w:t>
      </w:r>
      <w:proofErr w:type="spellEnd"/>
      <w:r w:rsidR="00FB6FD2" w:rsidRPr="003A7226">
        <w:rPr>
          <w:rFonts w:ascii="Times New Roman" w:hAnsi="Times New Roman"/>
          <w:i/>
        </w:rPr>
        <w:t xml:space="preserve"> Amendment Act </w:t>
      </w:r>
      <w:r w:rsidR="00566B66" w:rsidRPr="003A7226">
        <w:rPr>
          <w:rFonts w:ascii="Times New Roman" w:hAnsi="Times New Roman"/>
        </w:rPr>
        <w:t>1979 comes into operation.</w:t>
      </w:r>
    </w:p>
    <w:p w14:paraId="27280E6D" w14:textId="532D3EDD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Application</w:t>
      </w:r>
      <w:r w:rsidR="000B4A9F">
        <w:rPr>
          <w:rFonts w:ascii="Times New Roman" w:hAnsi="Times New Roman" w:cs="Times New Roman"/>
          <w:b/>
          <w:sz w:val="20"/>
        </w:rPr>
        <w:t xml:space="preserve"> </w:t>
      </w:r>
      <w:r w:rsidRPr="003A7226">
        <w:rPr>
          <w:rFonts w:ascii="Times New Roman" w:hAnsi="Times New Roman" w:cs="Times New Roman"/>
          <w:b/>
          <w:sz w:val="20"/>
        </w:rPr>
        <w:t>of</w:t>
      </w:r>
      <w:r w:rsidR="000B4A9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A7226">
        <w:rPr>
          <w:rFonts w:ascii="Times New Roman" w:hAnsi="Times New Roman" w:cs="Times New Roman"/>
          <w:b/>
          <w:sz w:val="20"/>
        </w:rPr>
        <w:t>DefenceAct</w:t>
      </w:r>
      <w:proofErr w:type="spellEnd"/>
    </w:p>
    <w:p w14:paraId="46BE3879" w14:textId="77777777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3. </w:t>
      </w:r>
      <w:r w:rsidR="00566B66" w:rsidRPr="003A7226">
        <w:rPr>
          <w:rFonts w:ascii="Times New Roman" w:hAnsi="Times New Roman"/>
        </w:rPr>
        <w:t>Section 3 of the Principal Act is amended by adding at the end thereof the following sub-sections:</w:t>
      </w:r>
    </w:p>
    <w:p w14:paraId="0A8961BC" w14:textId="39E902AD" w:rsidR="00566B66" w:rsidRPr="003A7226" w:rsidRDefault="00C01E49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 xml:space="preserve">(2) Subject to this Act, Part </w:t>
      </w:r>
      <w:proofErr w:type="spellStart"/>
      <w:r w:rsidR="00566B66" w:rsidRPr="003A7226">
        <w:rPr>
          <w:rFonts w:ascii="Times New Roman" w:hAnsi="Times New Roman"/>
        </w:rPr>
        <w:t>III</w:t>
      </w:r>
      <w:r w:rsidR="000B4A9F">
        <w:rPr>
          <w:rFonts w:ascii="Times New Roman" w:hAnsi="Times New Roman"/>
          <w:smallCaps/>
        </w:rPr>
        <w:t>a</w:t>
      </w:r>
      <w:proofErr w:type="spellEnd"/>
      <w:r w:rsidR="00566B66" w:rsidRPr="003A7226">
        <w:rPr>
          <w:rFonts w:ascii="Times New Roman" w:hAnsi="Times New Roman"/>
        </w:rPr>
        <w:t xml:space="preserve"> of the </w:t>
      </w:r>
      <w:proofErr w:type="spellStart"/>
      <w:r w:rsidR="00566B66" w:rsidRPr="003A7226">
        <w:rPr>
          <w:rFonts w:ascii="Times New Roman" w:hAnsi="Times New Roman"/>
        </w:rPr>
        <w:t>Defence</w:t>
      </w:r>
      <w:proofErr w:type="spellEnd"/>
      <w:r w:rsidR="00566B66" w:rsidRPr="003A7226">
        <w:rPr>
          <w:rFonts w:ascii="Times New Roman" w:hAnsi="Times New Roman"/>
        </w:rPr>
        <w:t xml:space="preserve"> Act applies to and in relation to the Air Force and the members of that Force.</w:t>
      </w:r>
    </w:p>
    <w:p w14:paraId="537732BA" w14:textId="77777777" w:rsidR="00566B66" w:rsidRPr="003A7226" w:rsidRDefault="00C01E49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(3) In sub-section (2), a reference to this Act does not include a reference to the regulations.</w:t>
      </w:r>
      <w:r w:rsidRPr="003A7226"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>.</w:t>
      </w:r>
    </w:p>
    <w:p w14:paraId="1EE1E3B6" w14:textId="77777777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Air Training Corps</w:t>
      </w:r>
    </w:p>
    <w:p w14:paraId="5AE9844C" w14:textId="77777777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4. </w:t>
      </w:r>
      <w:r w:rsidR="00566B66" w:rsidRPr="003A7226">
        <w:rPr>
          <w:rFonts w:ascii="Times New Roman" w:hAnsi="Times New Roman"/>
        </w:rPr>
        <w:t>(1) Section 8 of the Principal Act is amended by omitting paragraphs (a) to (e) (inclusive) of sub-section (7) and substituting the following paragraphs:</w:t>
      </w:r>
    </w:p>
    <w:p w14:paraId="4B8546E1" w14:textId="77777777" w:rsidR="00FB35BF" w:rsidRPr="003A7226" w:rsidRDefault="00C01E49" w:rsidP="003A7226">
      <w:pPr>
        <w:spacing w:after="0" w:line="240" w:lineRule="auto"/>
        <w:ind w:left="864" w:hanging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(a) the periods and conditions of service of members, other than conditions of service with respect to which determinations under section 58</w:t>
      </w:r>
      <w:r w:rsidR="0077238E" w:rsidRPr="003A7226">
        <w:rPr>
          <w:rFonts w:ascii="Times New Roman" w:hAnsi="Times New Roman"/>
          <w:smallCaps/>
        </w:rPr>
        <w:t xml:space="preserve">b </w:t>
      </w:r>
      <w:r w:rsidR="00566B66" w:rsidRPr="003A7226">
        <w:rPr>
          <w:rFonts w:ascii="Times New Roman" w:hAnsi="Times New Roman"/>
        </w:rPr>
        <w:t xml:space="preserve">of the </w:t>
      </w:r>
      <w:proofErr w:type="spellStart"/>
      <w:r w:rsidR="00566B66" w:rsidRPr="003A7226">
        <w:rPr>
          <w:rFonts w:ascii="Times New Roman" w:hAnsi="Times New Roman"/>
        </w:rPr>
        <w:t>Defence</w:t>
      </w:r>
      <w:proofErr w:type="spellEnd"/>
      <w:r w:rsidR="00566B66" w:rsidRPr="003A7226">
        <w:rPr>
          <w:rFonts w:ascii="Times New Roman" w:hAnsi="Times New Roman"/>
        </w:rPr>
        <w:t xml:space="preserve"> Act may be made; and</w:t>
      </w:r>
    </w:p>
    <w:p w14:paraId="52FCF576" w14:textId="77777777" w:rsidR="00566B66" w:rsidRPr="003A7226" w:rsidRDefault="00C01E49" w:rsidP="003A7226">
      <w:pPr>
        <w:spacing w:after="0" w:line="240" w:lineRule="auto"/>
        <w:ind w:left="864" w:hanging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(b) the promotion of members.</w:t>
      </w:r>
      <w:r w:rsidRPr="003A7226"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>.</w:t>
      </w:r>
    </w:p>
    <w:p w14:paraId="4D6193E5" w14:textId="5636391B" w:rsidR="00566B66" w:rsidRPr="003A7226" w:rsidRDefault="00566B66" w:rsidP="003A7226">
      <w:pPr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</w:rPr>
        <w:t>(2) Section 8 of the Principal Act is amended by inserting in sub</w:t>
      </w:r>
      <w:r w:rsidR="000B4A9F">
        <w:rPr>
          <w:rFonts w:ascii="Times New Roman" w:hAnsi="Times New Roman"/>
        </w:rPr>
        <w:t>-</w:t>
      </w:r>
      <w:r w:rsidRPr="003A7226">
        <w:rPr>
          <w:rFonts w:ascii="Times New Roman" w:hAnsi="Times New Roman"/>
        </w:rPr>
        <w:t xml:space="preserve">section (9) </w:t>
      </w:r>
      <w:r w:rsidR="00C01E49" w:rsidRPr="003A7226">
        <w:rPr>
          <w:rFonts w:ascii="Times New Roman" w:hAnsi="Times New Roman"/>
        </w:rPr>
        <w:t>“</w:t>
      </w:r>
      <w:r w:rsidRPr="003A7226">
        <w:rPr>
          <w:rFonts w:ascii="Times New Roman" w:hAnsi="Times New Roman"/>
        </w:rPr>
        <w:t>, to any determinations in force under section 58</w:t>
      </w:r>
      <w:r w:rsidR="0077238E" w:rsidRPr="003A7226">
        <w:rPr>
          <w:rFonts w:ascii="Times New Roman" w:hAnsi="Times New Roman"/>
          <w:smallCaps/>
        </w:rPr>
        <w:t xml:space="preserve">b </w:t>
      </w:r>
      <w:r w:rsidRPr="003A7226">
        <w:rPr>
          <w:rFonts w:ascii="Times New Roman" w:hAnsi="Times New Roman"/>
        </w:rPr>
        <w:t xml:space="preserve">of the </w:t>
      </w:r>
      <w:proofErr w:type="spellStart"/>
      <w:r w:rsidRPr="003A7226">
        <w:rPr>
          <w:rFonts w:ascii="Times New Roman" w:hAnsi="Times New Roman"/>
        </w:rPr>
        <w:t>Defence</w:t>
      </w:r>
      <w:proofErr w:type="spellEnd"/>
      <w:r w:rsidRPr="003A7226">
        <w:rPr>
          <w:rFonts w:ascii="Times New Roman" w:hAnsi="Times New Roman"/>
        </w:rPr>
        <w:t xml:space="preserve"> Act</w:t>
      </w:r>
      <w:r w:rsidR="00C01E49" w:rsidRPr="003A7226">
        <w:rPr>
          <w:rFonts w:ascii="Times New Roman" w:hAnsi="Times New Roman"/>
        </w:rPr>
        <w:t>”</w:t>
      </w:r>
      <w:r w:rsidRPr="003A7226">
        <w:rPr>
          <w:rFonts w:ascii="Times New Roman" w:hAnsi="Times New Roman"/>
        </w:rPr>
        <w:t xml:space="preserve"> after </w:t>
      </w:r>
      <w:r w:rsidR="00C01E49" w:rsidRPr="003A7226">
        <w:rPr>
          <w:rFonts w:ascii="Times New Roman" w:hAnsi="Times New Roman"/>
        </w:rPr>
        <w:t>“</w:t>
      </w:r>
      <w:r w:rsidRPr="003A7226">
        <w:rPr>
          <w:rFonts w:ascii="Times New Roman" w:hAnsi="Times New Roman"/>
        </w:rPr>
        <w:t>regulations</w:t>
      </w:r>
      <w:r w:rsidR="00C01E49" w:rsidRPr="003A7226">
        <w:rPr>
          <w:rFonts w:ascii="Times New Roman" w:hAnsi="Times New Roman"/>
        </w:rPr>
        <w:t>”</w:t>
      </w:r>
      <w:r w:rsidRPr="003A7226">
        <w:rPr>
          <w:rFonts w:ascii="Times New Roman" w:hAnsi="Times New Roman"/>
        </w:rPr>
        <w:t>.</w:t>
      </w:r>
    </w:p>
    <w:p w14:paraId="3373A4D7" w14:textId="77777777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Formal amendments</w:t>
      </w:r>
    </w:p>
    <w:p w14:paraId="76878E1D" w14:textId="77777777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5. </w:t>
      </w:r>
      <w:r w:rsidR="00566B66" w:rsidRPr="003A7226">
        <w:rPr>
          <w:rFonts w:ascii="Times New Roman" w:hAnsi="Times New Roman"/>
        </w:rPr>
        <w:t>The Principal Act is amended as set out in the Schedule to this Act.</w:t>
      </w:r>
    </w:p>
    <w:p w14:paraId="326C3123" w14:textId="77777777" w:rsidR="000B4A9F" w:rsidRDefault="000B4A9F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14:paraId="4963EFB6" w14:textId="7146565D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lastRenderedPageBreak/>
        <w:t>Saving</w:t>
      </w:r>
    </w:p>
    <w:p w14:paraId="2622E8D9" w14:textId="77BEE439" w:rsidR="00566B66" w:rsidRPr="003A7226" w:rsidRDefault="002F126A" w:rsidP="000B4A9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6. </w:t>
      </w:r>
      <w:r w:rsidR="00566B66" w:rsidRPr="003A7226">
        <w:rPr>
          <w:rFonts w:ascii="Times New Roman" w:hAnsi="Times New Roman"/>
        </w:rPr>
        <w:t xml:space="preserve">Notwithstanding the amendment made by sub-section 4(1), the regulations that were in force under the </w:t>
      </w:r>
      <w:r w:rsidR="00FB6FD2" w:rsidRPr="003A7226">
        <w:rPr>
          <w:rFonts w:ascii="Times New Roman" w:hAnsi="Times New Roman"/>
          <w:i/>
        </w:rPr>
        <w:t xml:space="preserve">Air Force Act </w:t>
      </w:r>
      <w:r w:rsidR="00566B66" w:rsidRPr="003A7226">
        <w:rPr>
          <w:rFonts w:ascii="Times New Roman" w:hAnsi="Times New Roman"/>
        </w:rPr>
        <w:t xml:space="preserve">1923 immediately before the date (in this section referred to as the </w:t>
      </w:r>
      <w:r w:rsidR="00C01E49" w:rsidRPr="003A7226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relevant date</w:t>
      </w:r>
      <w:r w:rsidR="00C01E49" w:rsidRPr="003A7226"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>) of commencement of this section (including any such regulations as</w:t>
      </w:r>
      <w:r w:rsidR="000B4A9F">
        <w:rPr>
          <w:rFonts w:ascii="Times New Roman" w:hAnsi="Times New Roman"/>
        </w:rPr>
        <w:t xml:space="preserve"> </w:t>
      </w:r>
      <w:r w:rsidR="00566B66" w:rsidRPr="003A7226">
        <w:rPr>
          <w:rFonts w:ascii="Times New Roman" w:hAnsi="Times New Roman"/>
        </w:rPr>
        <w:t xml:space="preserve">amended by determinations made under section 12 of the </w:t>
      </w:r>
      <w:proofErr w:type="spellStart"/>
      <w:r w:rsidR="00FB6FD2" w:rsidRPr="003A7226">
        <w:rPr>
          <w:rFonts w:ascii="Times New Roman" w:hAnsi="Times New Roman"/>
          <w:i/>
        </w:rPr>
        <w:t>Defence</w:t>
      </w:r>
      <w:proofErr w:type="spellEnd"/>
      <w:r w:rsidR="00FB6FD2" w:rsidRPr="003A7226">
        <w:rPr>
          <w:rFonts w:ascii="Times New Roman" w:hAnsi="Times New Roman"/>
          <w:i/>
        </w:rPr>
        <w:t xml:space="preserve"> Amendment Act </w:t>
      </w:r>
      <w:r w:rsidR="00566B66" w:rsidRPr="003A7226">
        <w:rPr>
          <w:rFonts w:ascii="Times New Roman" w:hAnsi="Times New Roman"/>
        </w:rPr>
        <w:t xml:space="preserve">1979) and any determinations, directions or approvals that were in force under those regulations immediately before the relevant date shall, to the extent that they are not inconsistent with the </w:t>
      </w:r>
      <w:r w:rsidR="00FB6FD2" w:rsidRPr="003A7226">
        <w:rPr>
          <w:rFonts w:ascii="Times New Roman" w:hAnsi="Times New Roman"/>
          <w:i/>
        </w:rPr>
        <w:t xml:space="preserve">Air Force Act </w:t>
      </w:r>
      <w:r w:rsidR="00566B66" w:rsidRPr="003A7226">
        <w:rPr>
          <w:rFonts w:ascii="Times New Roman" w:hAnsi="Times New Roman"/>
        </w:rPr>
        <w:t>1923 as in force on the relevant date, continue in force on and after the relevant date as if those regulations had been made under the last-mentioned Act as so in force.</w:t>
      </w:r>
    </w:p>
    <w:p w14:paraId="244B9FEE" w14:textId="77777777" w:rsidR="008B3E49" w:rsidRPr="005C5E18" w:rsidRDefault="008B3E49" w:rsidP="003A7226">
      <w:pPr>
        <w:spacing w:before="60" w:after="60" w:line="240" w:lineRule="auto"/>
        <w:jc w:val="center"/>
        <w:rPr>
          <w:rFonts w:ascii="Times New Roman" w:hAnsi="Times New Roman"/>
          <w:b/>
        </w:rPr>
      </w:pPr>
      <w:r w:rsidRPr="005C5E18">
        <w:rPr>
          <w:rFonts w:ascii="Times New Roman" w:hAnsi="Times New Roman"/>
          <w:b/>
        </w:rPr>
        <w:t>—————</w:t>
      </w:r>
    </w:p>
    <w:p w14:paraId="044331CD" w14:textId="58318484" w:rsidR="00566B66" w:rsidRPr="003A7226" w:rsidRDefault="00566B66" w:rsidP="00B036A3">
      <w:pPr>
        <w:tabs>
          <w:tab w:val="left" w:pos="6210"/>
        </w:tabs>
        <w:spacing w:before="60" w:after="60" w:line="240" w:lineRule="auto"/>
        <w:ind w:firstLine="2880"/>
        <w:jc w:val="center"/>
        <w:rPr>
          <w:rFonts w:ascii="Times New Roman" w:hAnsi="Times New Roman"/>
        </w:rPr>
      </w:pPr>
      <w:r w:rsidRPr="003A7226">
        <w:rPr>
          <w:rFonts w:ascii="Times New Roman" w:hAnsi="Times New Roman"/>
        </w:rPr>
        <w:t>SCHEDULE</w:t>
      </w:r>
      <w:r w:rsidR="008B3E49" w:rsidRPr="003A7226">
        <w:rPr>
          <w:rFonts w:ascii="Times New Roman" w:hAnsi="Times New Roman"/>
        </w:rPr>
        <w:tab/>
      </w:r>
      <w:r w:rsidR="000B4A9F">
        <w:rPr>
          <w:rFonts w:ascii="Times New Roman" w:hAnsi="Times New Roman"/>
        </w:rPr>
        <w:t>Section 5</w:t>
      </w:r>
    </w:p>
    <w:p w14:paraId="20DA2BC3" w14:textId="77777777" w:rsidR="00566B66" w:rsidRPr="003A7226" w:rsidRDefault="00566B66" w:rsidP="003A7226">
      <w:pPr>
        <w:spacing w:before="60" w:after="60" w:line="240" w:lineRule="auto"/>
        <w:jc w:val="center"/>
        <w:rPr>
          <w:rFonts w:ascii="Times New Roman" w:hAnsi="Times New Roman"/>
        </w:rPr>
      </w:pPr>
      <w:r w:rsidRPr="003A7226">
        <w:rPr>
          <w:rFonts w:ascii="Times New Roman" w:hAnsi="Times New Roman"/>
        </w:rPr>
        <w:t>FORMAL AMENDMENTS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9"/>
        <w:gridCol w:w="2976"/>
        <w:gridCol w:w="1975"/>
      </w:tblGrid>
      <w:tr w:rsidR="00566B66" w:rsidRPr="003A7226" w14:paraId="10B56104" w14:textId="77777777" w:rsidTr="00AD0A8E">
        <w:trPr>
          <w:trHeight w:val="20"/>
        </w:trPr>
        <w:tc>
          <w:tcPr>
            <w:tcW w:w="1649" w:type="pct"/>
            <w:tcBorders>
              <w:top w:val="single" w:sz="6" w:space="0" w:color="auto"/>
              <w:bottom w:val="single" w:sz="6" w:space="0" w:color="auto"/>
            </w:tcBorders>
          </w:tcPr>
          <w:p w14:paraId="6CCDAAB5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Provision Amended</w:t>
            </w:r>
          </w:p>
        </w:tc>
        <w:tc>
          <w:tcPr>
            <w:tcW w:w="1945" w:type="pct"/>
            <w:tcBorders>
              <w:top w:val="single" w:sz="6" w:space="0" w:color="auto"/>
              <w:bottom w:val="single" w:sz="6" w:space="0" w:color="auto"/>
            </w:tcBorders>
          </w:tcPr>
          <w:p w14:paraId="291ADDE9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Omit—</w:t>
            </w:r>
          </w:p>
        </w:tc>
        <w:tc>
          <w:tcPr>
            <w:tcW w:w="1407" w:type="pct"/>
            <w:tcBorders>
              <w:top w:val="single" w:sz="6" w:space="0" w:color="auto"/>
              <w:bottom w:val="single" w:sz="6" w:space="0" w:color="auto"/>
            </w:tcBorders>
          </w:tcPr>
          <w:p w14:paraId="06C00CBD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Substitute—</w:t>
            </w:r>
          </w:p>
        </w:tc>
      </w:tr>
      <w:tr w:rsidR="00566B66" w:rsidRPr="003A7226" w14:paraId="7958E3BC" w14:textId="77777777" w:rsidTr="00AD0A8E">
        <w:trPr>
          <w:trHeight w:val="253"/>
        </w:trPr>
        <w:tc>
          <w:tcPr>
            <w:tcW w:w="1649" w:type="pct"/>
            <w:vMerge w:val="restart"/>
            <w:tcBorders>
              <w:top w:val="single" w:sz="6" w:space="0" w:color="auto"/>
            </w:tcBorders>
          </w:tcPr>
          <w:p w14:paraId="19578C54" w14:textId="77777777" w:rsidR="00566B66" w:rsidRPr="003A7226" w:rsidRDefault="00566B66" w:rsidP="000B4A9F">
            <w:pPr>
              <w:spacing w:after="0" w:line="240" w:lineRule="auto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 xml:space="preserve">Section 2 (definition of </w:t>
            </w:r>
            <w:r w:rsidR="00C01E49" w:rsidRPr="003A7226">
              <w:rPr>
                <w:rFonts w:ascii="Times New Roman" w:hAnsi="Times New Roman"/>
              </w:rPr>
              <w:t>“</w:t>
            </w:r>
            <w:r w:rsidRPr="003A7226">
              <w:rPr>
                <w:rFonts w:ascii="Times New Roman" w:hAnsi="Times New Roman"/>
              </w:rPr>
              <w:t xml:space="preserve">the </w:t>
            </w:r>
            <w:proofErr w:type="spellStart"/>
            <w:r w:rsidRPr="003A7226">
              <w:rPr>
                <w:rFonts w:ascii="Times New Roman" w:hAnsi="Times New Roman"/>
              </w:rPr>
              <w:t>Defence</w:t>
            </w:r>
            <w:proofErr w:type="spellEnd"/>
            <w:r w:rsidRPr="003A7226">
              <w:rPr>
                <w:rFonts w:ascii="Times New Roman" w:hAnsi="Times New Roman"/>
              </w:rPr>
              <w:t xml:space="preserve"> Act</w:t>
            </w:r>
            <w:r w:rsidR="00C01E49" w:rsidRPr="003A7226">
              <w:rPr>
                <w:rFonts w:ascii="Times New Roman" w:hAnsi="Times New Roman"/>
              </w:rPr>
              <w:t>”</w:t>
            </w:r>
            <w:r w:rsidRPr="003A7226">
              <w:rPr>
                <w:rFonts w:ascii="Times New Roman" w:hAnsi="Times New Roman"/>
              </w:rPr>
              <w:t>)</w:t>
            </w:r>
          </w:p>
        </w:tc>
        <w:tc>
          <w:tcPr>
            <w:tcW w:w="1945" w:type="pct"/>
            <w:vMerge w:val="restart"/>
            <w:tcBorders>
              <w:top w:val="single" w:sz="6" w:space="0" w:color="auto"/>
            </w:tcBorders>
          </w:tcPr>
          <w:p w14:paraId="4EAF3CFE" w14:textId="0898B6A1" w:rsidR="00566B66" w:rsidRPr="003A7226" w:rsidRDefault="00566B66" w:rsidP="000B4A9F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1903-1964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407" w:type="pct"/>
            <w:vMerge w:val="restart"/>
            <w:tcBorders>
              <w:top w:val="single" w:sz="6" w:space="0" w:color="auto"/>
            </w:tcBorders>
          </w:tcPr>
          <w:p w14:paraId="33C3CB3E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1903</w:t>
            </w:r>
          </w:p>
        </w:tc>
      </w:tr>
      <w:tr w:rsidR="00566B66" w:rsidRPr="003A7226" w14:paraId="56EAF75C" w14:textId="77777777" w:rsidTr="00AD0A8E">
        <w:trPr>
          <w:trHeight w:val="253"/>
        </w:trPr>
        <w:tc>
          <w:tcPr>
            <w:tcW w:w="1649" w:type="pct"/>
            <w:vMerge/>
            <w:tcBorders>
              <w:top w:val="single" w:sz="6" w:space="0" w:color="auto"/>
            </w:tcBorders>
          </w:tcPr>
          <w:p w14:paraId="622597CF" w14:textId="77777777" w:rsidR="00566B66" w:rsidRPr="003A7226" w:rsidRDefault="00566B66" w:rsidP="000B4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5" w:type="pct"/>
            <w:vMerge/>
            <w:tcBorders>
              <w:top w:val="single" w:sz="6" w:space="0" w:color="auto"/>
            </w:tcBorders>
          </w:tcPr>
          <w:p w14:paraId="573DCB6C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pct"/>
            <w:vMerge/>
            <w:tcBorders>
              <w:top w:val="single" w:sz="6" w:space="0" w:color="auto"/>
            </w:tcBorders>
          </w:tcPr>
          <w:p w14:paraId="78B1C54C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6B66" w:rsidRPr="003A7226" w14:paraId="054EC743" w14:textId="77777777" w:rsidTr="00AD0A8E">
        <w:trPr>
          <w:trHeight w:val="253"/>
        </w:trPr>
        <w:tc>
          <w:tcPr>
            <w:tcW w:w="1649" w:type="pct"/>
            <w:vMerge w:val="restart"/>
          </w:tcPr>
          <w:p w14:paraId="0F205CEA" w14:textId="77777777" w:rsidR="00566B66" w:rsidRPr="003A7226" w:rsidRDefault="00566B66" w:rsidP="000B4A9F">
            <w:pPr>
              <w:spacing w:after="0" w:line="240" w:lineRule="auto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 xml:space="preserve">Section 2 (definition of </w:t>
            </w:r>
            <w:r w:rsidR="00C01E49" w:rsidRPr="003A7226">
              <w:rPr>
                <w:rFonts w:ascii="Times New Roman" w:hAnsi="Times New Roman"/>
              </w:rPr>
              <w:t>“</w:t>
            </w:r>
            <w:r w:rsidRPr="003A7226">
              <w:rPr>
                <w:rFonts w:ascii="Times New Roman" w:hAnsi="Times New Roman"/>
              </w:rPr>
              <w:t xml:space="preserve">the Naval </w:t>
            </w:r>
            <w:proofErr w:type="spellStart"/>
            <w:r w:rsidRPr="003A7226">
              <w:rPr>
                <w:rFonts w:ascii="Times New Roman" w:hAnsi="Times New Roman"/>
              </w:rPr>
              <w:t>Defence</w:t>
            </w:r>
            <w:proofErr w:type="spellEnd"/>
            <w:r w:rsidRPr="003A7226">
              <w:rPr>
                <w:rFonts w:ascii="Times New Roman" w:hAnsi="Times New Roman"/>
              </w:rPr>
              <w:t xml:space="preserve"> Act</w:t>
            </w:r>
            <w:r w:rsidR="00C01E49" w:rsidRPr="003A7226">
              <w:rPr>
                <w:rFonts w:ascii="Times New Roman" w:hAnsi="Times New Roman"/>
              </w:rPr>
              <w:t>”</w:t>
            </w:r>
            <w:r w:rsidRPr="003A7226">
              <w:rPr>
                <w:rFonts w:ascii="Times New Roman" w:hAnsi="Times New Roman"/>
              </w:rPr>
              <w:t>)</w:t>
            </w:r>
          </w:p>
        </w:tc>
        <w:tc>
          <w:tcPr>
            <w:tcW w:w="1945" w:type="pct"/>
            <w:vMerge w:val="restart"/>
          </w:tcPr>
          <w:p w14:paraId="67994456" w14:textId="77777777" w:rsidR="00566B66" w:rsidRPr="003A7226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1910-1964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407" w:type="pct"/>
            <w:vMerge w:val="restart"/>
          </w:tcPr>
          <w:p w14:paraId="7DDF9472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1910</w:t>
            </w:r>
          </w:p>
        </w:tc>
      </w:tr>
      <w:tr w:rsidR="00566B66" w:rsidRPr="003A7226" w14:paraId="30AD0DB1" w14:textId="77777777" w:rsidTr="00AD0A8E">
        <w:trPr>
          <w:trHeight w:val="253"/>
        </w:trPr>
        <w:tc>
          <w:tcPr>
            <w:tcW w:w="1649" w:type="pct"/>
            <w:vMerge/>
          </w:tcPr>
          <w:p w14:paraId="3A3F13E8" w14:textId="77777777" w:rsidR="00566B66" w:rsidRPr="003A7226" w:rsidRDefault="00566B66" w:rsidP="000B4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5" w:type="pct"/>
            <w:vMerge/>
          </w:tcPr>
          <w:p w14:paraId="20EB7876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pct"/>
            <w:vMerge/>
          </w:tcPr>
          <w:p w14:paraId="0478FDCB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6B66" w:rsidRPr="003A7226" w14:paraId="5B6A1DFC" w14:textId="77777777" w:rsidTr="00AD0A8E">
        <w:trPr>
          <w:trHeight w:val="253"/>
        </w:trPr>
        <w:tc>
          <w:tcPr>
            <w:tcW w:w="1649" w:type="pct"/>
            <w:vMerge w:val="restart"/>
          </w:tcPr>
          <w:p w14:paraId="79F31AEF" w14:textId="6258ED69" w:rsidR="00566B66" w:rsidRPr="003A7226" w:rsidRDefault="00566B66" w:rsidP="000B4A9F">
            <w:pPr>
              <w:spacing w:after="0" w:line="240" w:lineRule="auto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 xml:space="preserve">Section 2 (definition of </w:t>
            </w:r>
            <w:r w:rsidR="00C01E49" w:rsidRPr="003A7226">
              <w:rPr>
                <w:rFonts w:ascii="Times New Roman" w:hAnsi="Times New Roman"/>
              </w:rPr>
              <w:t>“</w:t>
            </w:r>
            <w:r w:rsidRPr="003A7226">
              <w:rPr>
                <w:rFonts w:ascii="Times New Roman" w:hAnsi="Times New Roman"/>
              </w:rPr>
              <w:t>this Act</w:t>
            </w:r>
            <w:r w:rsidR="00C01E49" w:rsidRPr="003A7226">
              <w:rPr>
                <w:rFonts w:ascii="Times New Roman" w:hAnsi="Times New Roman"/>
              </w:rPr>
              <w:t>”</w:t>
            </w:r>
            <w:r w:rsidRPr="003A7226">
              <w:rPr>
                <w:rFonts w:ascii="Times New Roman" w:hAnsi="Times New Roman"/>
              </w:rPr>
              <w:t>)</w:t>
            </w:r>
          </w:p>
        </w:tc>
        <w:tc>
          <w:tcPr>
            <w:tcW w:w="1945" w:type="pct"/>
            <w:vMerge w:val="restart"/>
          </w:tcPr>
          <w:p w14:paraId="7E5D48A5" w14:textId="77777777" w:rsidR="00566B66" w:rsidRPr="003A7226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 xml:space="preserve">the </w:t>
            </w:r>
            <w:r w:rsidR="00FB6FD2" w:rsidRPr="003A7226">
              <w:rPr>
                <w:rFonts w:ascii="Times New Roman" w:hAnsi="Times New Roman"/>
                <w:i/>
              </w:rPr>
              <w:t>Air Force Act 1</w:t>
            </w:r>
            <w:r w:rsidRPr="003A7226">
              <w:rPr>
                <w:rFonts w:ascii="Times New Roman" w:hAnsi="Times New Roman"/>
              </w:rPr>
              <w:t>923-1964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407" w:type="pct"/>
            <w:vMerge w:val="restart"/>
          </w:tcPr>
          <w:p w14:paraId="5BB8CBAA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this Act</w:t>
            </w:r>
          </w:p>
        </w:tc>
      </w:tr>
      <w:tr w:rsidR="00566B66" w:rsidRPr="003A7226" w14:paraId="5688ECB2" w14:textId="77777777" w:rsidTr="000B4A9F">
        <w:trPr>
          <w:trHeight w:val="253"/>
        </w:trPr>
        <w:tc>
          <w:tcPr>
            <w:tcW w:w="1649" w:type="pct"/>
            <w:vMerge/>
          </w:tcPr>
          <w:p w14:paraId="110D3599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5" w:type="pct"/>
            <w:vMerge/>
          </w:tcPr>
          <w:p w14:paraId="42CDFB62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pct"/>
            <w:vMerge/>
          </w:tcPr>
          <w:p w14:paraId="7331BF68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6B66" w:rsidRPr="003A7226" w14:paraId="64175031" w14:textId="77777777" w:rsidTr="000B4A9F">
        <w:trPr>
          <w:trHeight w:val="20"/>
        </w:trPr>
        <w:tc>
          <w:tcPr>
            <w:tcW w:w="1649" w:type="pct"/>
          </w:tcPr>
          <w:p w14:paraId="5DED4280" w14:textId="77777777" w:rsidR="00566B66" w:rsidRPr="003A7226" w:rsidRDefault="00566B66" w:rsidP="003A7226">
            <w:pPr>
              <w:tabs>
                <w:tab w:val="left" w:leader="dot" w:pos="27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Section 4</w:t>
            </w:r>
            <w:r w:rsidR="0077238E" w:rsidRPr="003A7226">
              <w:rPr>
                <w:rFonts w:ascii="Times New Roman" w:hAnsi="Times New Roman"/>
                <w:smallCaps/>
              </w:rPr>
              <w:t>a</w:t>
            </w:r>
            <w:r w:rsidR="009475F1" w:rsidRPr="003A7226">
              <w:rPr>
                <w:rFonts w:ascii="Times New Roman" w:hAnsi="Times New Roman"/>
                <w:smallCaps/>
              </w:rPr>
              <w:tab/>
            </w:r>
          </w:p>
        </w:tc>
        <w:tc>
          <w:tcPr>
            <w:tcW w:w="1945" w:type="pct"/>
          </w:tcPr>
          <w:p w14:paraId="721D2088" w14:textId="77777777" w:rsidR="00566B66" w:rsidRPr="003A7226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three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407" w:type="pct"/>
          </w:tcPr>
          <w:p w14:paraId="62760128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3</w:t>
            </w:r>
          </w:p>
        </w:tc>
      </w:tr>
      <w:tr w:rsidR="00566B66" w:rsidRPr="003A7226" w14:paraId="3610284E" w14:textId="77777777" w:rsidTr="000B4A9F">
        <w:trPr>
          <w:trHeight w:val="20"/>
        </w:trPr>
        <w:tc>
          <w:tcPr>
            <w:tcW w:w="1649" w:type="pct"/>
          </w:tcPr>
          <w:p w14:paraId="6D6C60E2" w14:textId="77777777" w:rsidR="00566B66" w:rsidRPr="003A7226" w:rsidRDefault="00566B66" w:rsidP="003A7226">
            <w:pPr>
              <w:tabs>
                <w:tab w:val="left" w:leader="dot" w:pos="27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Section 4</w:t>
            </w:r>
            <w:r w:rsidR="0077238E" w:rsidRPr="003A7226">
              <w:rPr>
                <w:rFonts w:ascii="Times New Roman" w:hAnsi="Times New Roman"/>
                <w:smallCaps/>
              </w:rPr>
              <w:t>e</w:t>
            </w:r>
            <w:r w:rsidR="009475F1" w:rsidRPr="003A7226">
              <w:rPr>
                <w:rFonts w:ascii="Times New Roman" w:hAnsi="Times New Roman"/>
                <w:smallCaps/>
              </w:rPr>
              <w:tab/>
            </w:r>
          </w:p>
        </w:tc>
        <w:tc>
          <w:tcPr>
            <w:tcW w:w="1945" w:type="pct"/>
          </w:tcPr>
          <w:p w14:paraId="71CDAC52" w14:textId="54196E9C" w:rsidR="00566B66" w:rsidRPr="003A7226" w:rsidRDefault="00FB6FD2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7226">
              <w:rPr>
                <w:rFonts w:ascii="Times New Roman" w:hAnsi="Times New Roman"/>
                <w:i/>
              </w:rPr>
              <w:t>Defence</w:t>
            </w:r>
            <w:proofErr w:type="spellEnd"/>
            <w:r w:rsidRPr="003A7226">
              <w:rPr>
                <w:rFonts w:ascii="Times New Roman" w:hAnsi="Times New Roman"/>
                <w:i/>
              </w:rPr>
              <w:t xml:space="preserve"> Act</w:t>
            </w:r>
            <w:r w:rsidR="000B4A9F">
              <w:rPr>
                <w:rFonts w:ascii="Times New Roman" w:hAnsi="Times New Roman"/>
                <w:i/>
              </w:rPr>
              <w:t xml:space="preserve"> </w:t>
            </w:r>
            <w:r w:rsidRPr="000B4A9F">
              <w:rPr>
                <w:rFonts w:ascii="Times New Roman" w:hAnsi="Times New Roman"/>
              </w:rPr>
              <w:t>1</w:t>
            </w:r>
            <w:r w:rsidR="00566B66" w:rsidRPr="003A7226">
              <w:rPr>
                <w:rFonts w:ascii="Times New Roman" w:hAnsi="Times New Roman"/>
              </w:rPr>
              <w:t>903-1965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407" w:type="pct"/>
          </w:tcPr>
          <w:p w14:paraId="7A58A71E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7226">
              <w:rPr>
                <w:rFonts w:ascii="Times New Roman" w:hAnsi="Times New Roman"/>
              </w:rPr>
              <w:t>Defence</w:t>
            </w:r>
            <w:proofErr w:type="spellEnd"/>
            <w:r w:rsidRPr="003A7226">
              <w:rPr>
                <w:rFonts w:ascii="Times New Roman" w:hAnsi="Times New Roman"/>
              </w:rPr>
              <w:t xml:space="preserve"> Act</w:t>
            </w:r>
          </w:p>
        </w:tc>
      </w:tr>
      <w:tr w:rsidR="00566B66" w:rsidRPr="003A7226" w14:paraId="68EF4345" w14:textId="77777777" w:rsidTr="000B4A9F">
        <w:trPr>
          <w:trHeight w:val="20"/>
        </w:trPr>
        <w:tc>
          <w:tcPr>
            <w:tcW w:w="1649" w:type="pct"/>
          </w:tcPr>
          <w:p w14:paraId="24E6FC4C" w14:textId="3855004A" w:rsidR="00566B66" w:rsidRPr="003A7226" w:rsidRDefault="00566B66" w:rsidP="003A7226">
            <w:pPr>
              <w:tabs>
                <w:tab w:val="left" w:leader="dot" w:pos="27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Sub-section 4</w:t>
            </w:r>
            <w:r w:rsidR="000B4A9F">
              <w:rPr>
                <w:rFonts w:ascii="Times New Roman" w:hAnsi="Times New Roman"/>
                <w:smallCaps/>
              </w:rPr>
              <w:t>h</w:t>
            </w:r>
            <w:r w:rsidRPr="003A7226">
              <w:rPr>
                <w:rFonts w:ascii="Times New Roman" w:hAnsi="Times New Roman"/>
              </w:rPr>
              <w:t>(3)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945" w:type="pct"/>
          </w:tcPr>
          <w:p w14:paraId="4C69BFC8" w14:textId="77777777" w:rsidR="00566B66" w:rsidRPr="003A7226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the last preceding sub-section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407" w:type="pct"/>
          </w:tcPr>
          <w:p w14:paraId="0FEF4323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sub-section (2)</w:t>
            </w:r>
          </w:p>
        </w:tc>
      </w:tr>
      <w:tr w:rsidR="00566B66" w:rsidRPr="003A7226" w14:paraId="5D1F50A0" w14:textId="77777777" w:rsidTr="000B4A9F">
        <w:trPr>
          <w:trHeight w:val="20"/>
        </w:trPr>
        <w:tc>
          <w:tcPr>
            <w:tcW w:w="1649" w:type="pct"/>
          </w:tcPr>
          <w:p w14:paraId="3DF498B1" w14:textId="2FF8DE4A" w:rsidR="00566B66" w:rsidRPr="003A7226" w:rsidRDefault="00566B66" w:rsidP="000B4A9F">
            <w:pPr>
              <w:tabs>
                <w:tab w:val="left" w:leader="dot" w:pos="27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Sub-section 4</w:t>
            </w:r>
            <w:r w:rsidR="0077238E" w:rsidRPr="003A7226">
              <w:rPr>
                <w:rFonts w:ascii="Times New Roman" w:hAnsi="Times New Roman"/>
                <w:smallCaps/>
              </w:rPr>
              <w:t>h</w:t>
            </w:r>
            <w:r w:rsidRPr="003A7226">
              <w:rPr>
                <w:rFonts w:ascii="Times New Roman" w:hAnsi="Times New Roman"/>
              </w:rPr>
              <w:t>(4)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945" w:type="pct"/>
          </w:tcPr>
          <w:p w14:paraId="6B9283FB" w14:textId="77777777" w:rsidR="00566B66" w:rsidRPr="003A7226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twelve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407" w:type="pct"/>
          </w:tcPr>
          <w:p w14:paraId="6EDE3189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12</w:t>
            </w:r>
          </w:p>
        </w:tc>
      </w:tr>
      <w:tr w:rsidR="00566B66" w:rsidRPr="003A7226" w14:paraId="389461C9" w14:textId="77777777" w:rsidTr="000B4A9F">
        <w:trPr>
          <w:trHeight w:val="20"/>
        </w:trPr>
        <w:tc>
          <w:tcPr>
            <w:tcW w:w="1649" w:type="pct"/>
          </w:tcPr>
          <w:p w14:paraId="1564EDB5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5" w:type="pct"/>
          </w:tcPr>
          <w:p w14:paraId="5BFFFB97" w14:textId="77777777" w:rsidR="00566B66" w:rsidRPr="003A7226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the last preceding sub-section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407" w:type="pct"/>
          </w:tcPr>
          <w:p w14:paraId="0663AA99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sub-section (3)</w:t>
            </w:r>
          </w:p>
        </w:tc>
      </w:tr>
      <w:tr w:rsidR="00566B66" w:rsidRPr="003A7226" w14:paraId="6605E9AB" w14:textId="77777777" w:rsidTr="00AD0A8E">
        <w:trPr>
          <w:trHeight w:val="20"/>
        </w:trPr>
        <w:tc>
          <w:tcPr>
            <w:tcW w:w="1649" w:type="pct"/>
            <w:tcBorders>
              <w:bottom w:val="single" w:sz="6" w:space="0" w:color="auto"/>
            </w:tcBorders>
          </w:tcPr>
          <w:p w14:paraId="2F782A52" w14:textId="79749AB1" w:rsidR="00566B66" w:rsidRPr="003A7226" w:rsidRDefault="00566B66" w:rsidP="000B4A9F">
            <w:pPr>
              <w:tabs>
                <w:tab w:val="left" w:leader="dot" w:pos="279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Sub-section 4</w:t>
            </w:r>
            <w:r w:rsidR="0077238E" w:rsidRPr="003A7226">
              <w:rPr>
                <w:rFonts w:ascii="Times New Roman" w:hAnsi="Times New Roman"/>
                <w:smallCaps/>
              </w:rPr>
              <w:t>h</w:t>
            </w:r>
            <w:r w:rsidRPr="003A7226">
              <w:rPr>
                <w:rFonts w:ascii="Times New Roman" w:hAnsi="Times New Roman"/>
              </w:rPr>
              <w:t>(5)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945" w:type="pct"/>
            <w:tcBorders>
              <w:bottom w:val="single" w:sz="6" w:space="0" w:color="auto"/>
            </w:tcBorders>
          </w:tcPr>
          <w:p w14:paraId="2FFC5E83" w14:textId="77777777" w:rsidR="00566B66" w:rsidRPr="003A7226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the last preceding sub-section</w:t>
            </w:r>
            <w:r w:rsidR="009475F1" w:rsidRPr="003A7226">
              <w:rPr>
                <w:rFonts w:ascii="Times New Roman" w:hAnsi="Times New Roman"/>
              </w:rPr>
              <w:tab/>
            </w:r>
          </w:p>
        </w:tc>
        <w:tc>
          <w:tcPr>
            <w:tcW w:w="1407" w:type="pct"/>
            <w:tcBorders>
              <w:bottom w:val="single" w:sz="6" w:space="0" w:color="auto"/>
            </w:tcBorders>
          </w:tcPr>
          <w:p w14:paraId="7FC28F71" w14:textId="77777777" w:rsidR="00566B66" w:rsidRPr="003A7226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7226">
              <w:rPr>
                <w:rFonts w:ascii="Times New Roman" w:hAnsi="Times New Roman"/>
              </w:rPr>
              <w:t>sub-section (4)</w:t>
            </w:r>
          </w:p>
        </w:tc>
      </w:tr>
    </w:tbl>
    <w:p w14:paraId="0BE23CA3" w14:textId="77777777" w:rsidR="00627EED" w:rsidRPr="00627EED" w:rsidRDefault="00627EED" w:rsidP="00627EED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sz w:val="8"/>
        </w:rPr>
      </w:pPr>
    </w:p>
    <w:p w14:paraId="609616B3" w14:textId="095F6207" w:rsidR="00C57EBA" w:rsidRPr="007613CD" w:rsidRDefault="00C57EBA" w:rsidP="003A7226">
      <w:pPr>
        <w:autoSpaceDE w:val="0"/>
        <w:autoSpaceDN w:val="0"/>
        <w:adjustRightInd w:val="0"/>
        <w:spacing w:before="120" w:after="120" w:line="240" w:lineRule="auto"/>
        <w:ind w:left="432" w:hanging="432"/>
        <w:jc w:val="both"/>
        <w:rPr>
          <w:rFonts w:ascii="Times New Roman" w:hAnsi="Times New Roman"/>
          <w:sz w:val="20"/>
        </w:rPr>
      </w:pPr>
    </w:p>
    <w:sectPr w:rsidR="00C57EBA" w:rsidRPr="007613CD" w:rsidSect="00AB16D3">
      <w:headerReference w:type="even" r:id="rId6"/>
      <w:headerReference w:type="default" r:id="rId7"/>
      <w:pgSz w:w="10080" w:h="1440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BCDDE" w14:textId="77777777" w:rsidR="00CD46A0" w:rsidRDefault="00CD46A0" w:rsidP="00E07633">
      <w:pPr>
        <w:spacing w:after="0" w:line="240" w:lineRule="auto"/>
      </w:pPr>
      <w:r>
        <w:separator/>
      </w:r>
    </w:p>
  </w:endnote>
  <w:endnote w:type="continuationSeparator" w:id="0">
    <w:p w14:paraId="3B16D521" w14:textId="77777777" w:rsidR="00CD46A0" w:rsidRDefault="00CD46A0" w:rsidP="00E0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FCDE0" w14:textId="77777777" w:rsidR="00CD46A0" w:rsidRDefault="00CD46A0" w:rsidP="00E07633">
      <w:pPr>
        <w:spacing w:after="0" w:line="240" w:lineRule="auto"/>
      </w:pPr>
      <w:r>
        <w:separator/>
      </w:r>
    </w:p>
  </w:footnote>
  <w:footnote w:type="continuationSeparator" w:id="0">
    <w:p w14:paraId="18B34929" w14:textId="77777777" w:rsidR="00CD46A0" w:rsidRDefault="00CD46A0" w:rsidP="00E0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3093" w14:textId="77777777" w:rsidR="00DB2D58" w:rsidRPr="005B0422" w:rsidRDefault="005B0422" w:rsidP="00910FFA">
    <w:pPr>
      <w:pStyle w:val="Header"/>
      <w:tabs>
        <w:tab w:val="clear" w:pos="4680"/>
        <w:tab w:val="clear" w:pos="9360"/>
        <w:tab w:val="center" w:pos="3600"/>
        <w:tab w:val="left" w:pos="6750"/>
        <w:tab w:val="right" w:pos="9000"/>
      </w:tabs>
      <w:rPr>
        <w:rFonts w:ascii="Times New Roman" w:hAnsi="Times New Roman"/>
        <w:sz w:val="20"/>
      </w:rPr>
    </w:pPr>
    <w:r w:rsidRPr="005B0422">
      <w:rPr>
        <w:rFonts w:ascii="Times New Roman" w:hAnsi="Times New Roman"/>
        <w:sz w:val="20"/>
      </w:rPr>
      <w:t>No. 134</w:t>
    </w:r>
    <w:r w:rsidRPr="005B0422">
      <w:rPr>
        <w:rFonts w:ascii="Times New Roman" w:hAnsi="Times New Roman"/>
        <w:sz w:val="20"/>
      </w:rPr>
      <w:tab/>
    </w:r>
    <w:r w:rsidRPr="005B0422">
      <w:rPr>
        <w:rFonts w:ascii="Times New Roman" w:hAnsi="Times New Roman"/>
        <w:i/>
        <w:sz w:val="20"/>
      </w:rPr>
      <w:t>Air Force Amendment</w:t>
    </w:r>
    <w:r w:rsidRPr="005B0422">
      <w:rPr>
        <w:rFonts w:ascii="Times New Roman" w:hAnsi="Times New Roman"/>
        <w:i/>
        <w:sz w:val="20"/>
      </w:rPr>
      <w:tab/>
    </w:r>
    <w:r w:rsidRPr="005B0422">
      <w:rPr>
        <w:rFonts w:ascii="Times New Roman" w:hAnsi="Times New Roman"/>
        <w:sz w:val="20"/>
      </w:rPr>
      <w:t>1979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667F9" w14:textId="77777777" w:rsidR="00DB2D58" w:rsidRPr="00E07633" w:rsidRDefault="00DB2D58" w:rsidP="00E07633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E07633">
      <w:rPr>
        <w:rFonts w:ascii="Times New Roman" w:hAnsi="Times New Roman"/>
        <w:sz w:val="20"/>
      </w:rPr>
      <w:t>No. 133</w:t>
    </w:r>
    <w:r w:rsidRPr="00E07633">
      <w:rPr>
        <w:rFonts w:ascii="Times New Roman" w:hAnsi="Times New Roman"/>
        <w:sz w:val="20"/>
      </w:rPr>
      <w:tab/>
    </w:r>
    <w:r w:rsidRPr="00E07633">
      <w:rPr>
        <w:rFonts w:ascii="Times New Roman" w:hAnsi="Times New Roman"/>
        <w:i/>
        <w:sz w:val="20"/>
      </w:rPr>
      <w:t xml:space="preserve">Naval </w:t>
    </w:r>
    <w:proofErr w:type="spellStart"/>
    <w:r w:rsidRPr="00E07633">
      <w:rPr>
        <w:rFonts w:ascii="Times New Roman" w:hAnsi="Times New Roman"/>
        <w:i/>
        <w:sz w:val="20"/>
      </w:rPr>
      <w:t>Defence</w:t>
    </w:r>
    <w:proofErr w:type="spellEnd"/>
    <w:r w:rsidRPr="00E07633">
      <w:rPr>
        <w:rFonts w:ascii="Times New Roman" w:hAnsi="Times New Roman"/>
        <w:i/>
        <w:sz w:val="20"/>
      </w:rPr>
      <w:t xml:space="preserve"> Amendment</w:t>
    </w:r>
    <w:r w:rsidRPr="00E07633">
      <w:rPr>
        <w:rFonts w:ascii="Times New Roman" w:hAnsi="Times New Roman"/>
        <w:i/>
        <w:sz w:val="20"/>
      </w:rPr>
      <w:tab/>
    </w:r>
    <w:r w:rsidRPr="00E07633">
      <w:rPr>
        <w:rFonts w:ascii="Times New Roman" w:hAnsi="Times New Roman"/>
        <w:sz w:val="20"/>
      </w:rPr>
      <w:t>1979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B66"/>
    <w:rsid w:val="00034C24"/>
    <w:rsid w:val="00037E51"/>
    <w:rsid w:val="00043D46"/>
    <w:rsid w:val="00067DCF"/>
    <w:rsid w:val="00084E3D"/>
    <w:rsid w:val="000A3A3D"/>
    <w:rsid w:val="000B4A9F"/>
    <w:rsid w:val="000B58F1"/>
    <w:rsid w:val="000D283E"/>
    <w:rsid w:val="000D30B8"/>
    <w:rsid w:val="000D3610"/>
    <w:rsid w:val="000F03D5"/>
    <w:rsid w:val="000F49FE"/>
    <w:rsid w:val="000F793F"/>
    <w:rsid w:val="00104ADE"/>
    <w:rsid w:val="00114092"/>
    <w:rsid w:val="00125084"/>
    <w:rsid w:val="001310F7"/>
    <w:rsid w:val="00163B78"/>
    <w:rsid w:val="00172331"/>
    <w:rsid w:val="001869C2"/>
    <w:rsid w:val="001B6754"/>
    <w:rsid w:val="001D6350"/>
    <w:rsid w:val="001E5EEC"/>
    <w:rsid w:val="001F7D6B"/>
    <w:rsid w:val="00204D85"/>
    <w:rsid w:val="00204E1F"/>
    <w:rsid w:val="00207945"/>
    <w:rsid w:val="00233256"/>
    <w:rsid w:val="002648F6"/>
    <w:rsid w:val="00277DF5"/>
    <w:rsid w:val="002B48F4"/>
    <w:rsid w:val="002B5ADB"/>
    <w:rsid w:val="002C520B"/>
    <w:rsid w:val="002E0938"/>
    <w:rsid w:val="002E2BAD"/>
    <w:rsid w:val="002F126A"/>
    <w:rsid w:val="00301E35"/>
    <w:rsid w:val="0030440D"/>
    <w:rsid w:val="00304F71"/>
    <w:rsid w:val="00361A89"/>
    <w:rsid w:val="003624C2"/>
    <w:rsid w:val="0037340E"/>
    <w:rsid w:val="00381568"/>
    <w:rsid w:val="003A7226"/>
    <w:rsid w:val="003B7E5D"/>
    <w:rsid w:val="003F3070"/>
    <w:rsid w:val="003F51C5"/>
    <w:rsid w:val="00410D55"/>
    <w:rsid w:val="00443E70"/>
    <w:rsid w:val="00454B06"/>
    <w:rsid w:val="00471B12"/>
    <w:rsid w:val="00485A0B"/>
    <w:rsid w:val="004968F7"/>
    <w:rsid w:val="004C2A4B"/>
    <w:rsid w:val="004C5B20"/>
    <w:rsid w:val="004C5FC1"/>
    <w:rsid w:val="004F5F69"/>
    <w:rsid w:val="00502458"/>
    <w:rsid w:val="00504906"/>
    <w:rsid w:val="005078D0"/>
    <w:rsid w:val="005332AD"/>
    <w:rsid w:val="00566B66"/>
    <w:rsid w:val="0058000F"/>
    <w:rsid w:val="005856B2"/>
    <w:rsid w:val="005953D6"/>
    <w:rsid w:val="005A134B"/>
    <w:rsid w:val="005A1D7A"/>
    <w:rsid w:val="005B0422"/>
    <w:rsid w:val="005B380C"/>
    <w:rsid w:val="005C5E18"/>
    <w:rsid w:val="005C750F"/>
    <w:rsid w:val="005D4195"/>
    <w:rsid w:val="005E6CF5"/>
    <w:rsid w:val="005F24E6"/>
    <w:rsid w:val="006266E5"/>
    <w:rsid w:val="00627EED"/>
    <w:rsid w:val="0063022E"/>
    <w:rsid w:val="00677517"/>
    <w:rsid w:val="00683731"/>
    <w:rsid w:val="00694F88"/>
    <w:rsid w:val="006952E9"/>
    <w:rsid w:val="006D5FC5"/>
    <w:rsid w:val="006E3F59"/>
    <w:rsid w:val="006E78FE"/>
    <w:rsid w:val="0070265F"/>
    <w:rsid w:val="00706002"/>
    <w:rsid w:val="00706B13"/>
    <w:rsid w:val="00735914"/>
    <w:rsid w:val="00737AD6"/>
    <w:rsid w:val="007411D6"/>
    <w:rsid w:val="00752B94"/>
    <w:rsid w:val="00756278"/>
    <w:rsid w:val="007575A0"/>
    <w:rsid w:val="007601BC"/>
    <w:rsid w:val="007613CD"/>
    <w:rsid w:val="0076190D"/>
    <w:rsid w:val="0077238E"/>
    <w:rsid w:val="00785057"/>
    <w:rsid w:val="007C3A0A"/>
    <w:rsid w:val="00815DAA"/>
    <w:rsid w:val="0083511E"/>
    <w:rsid w:val="00841BE0"/>
    <w:rsid w:val="0085554A"/>
    <w:rsid w:val="00860355"/>
    <w:rsid w:val="00863F40"/>
    <w:rsid w:val="008974B2"/>
    <w:rsid w:val="008A46DE"/>
    <w:rsid w:val="008B3E49"/>
    <w:rsid w:val="008C6517"/>
    <w:rsid w:val="008C7365"/>
    <w:rsid w:val="008C745D"/>
    <w:rsid w:val="00910FFA"/>
    <w:rsid w:val="00920265"/>
    <w:rsid w:val="009277BE"/>
    <w:rsid w:val="009475F1"/>
    <w:rsid w:val="00960115"/>
    <w:rsid w:val="009724A5"/>
    <w:rsid w:val="009A7055"/>
    <w:rsid w:val="009D2920"/>
    <w:rsid w:val="00A0169D"/>
    <w:rsid w:val="00A05D53"/>
    <w:rsid w:val="00A652FC"/>
    <w:rsid w:val="00A66232"/>
    <w:rsid w:val="00A723C5"/>
    <w:rsid w:val="00A9366E"/>
    <w:rsid w:val="00A93F48"/>
    <w:rsid w:val="00AB16D3"/>
    <w:rsid w:val="00AD04D2"/>
    <w:rsid w:val="00AD0A8E"/>
    <w:rsid w:val="00AF2582"/>
    <w:rsid w:val="00AF62DA"/>
    <w:rsid w:val="00B017D1"/>
    <w:rsid w:val="00B036A3"/>
    <w:rsid w:val="00B04A1E"/>
    <w:rsid w:val="00B07298"/>
    <w:rsid w:val="00B748BC"/>
    <w:rsid w:val="00B94DCD"/>
    <w:rsid w:val="00B95FEA"/>
    <w:rsid w:val="00BB26D8"/>
    <w:rsid w:val="00BB7393"/>
    <w:rsid w:val="00BC55F6"/>
    <w:rsid w:val="00BE750F"/>
    <w:rsid w:val="00C01E49"/>
    <w:rsid w:val="00C211A2"/>
    <w:rsid w:val="00C43727"/>
    <w:rsid w:val="00C46335"/>
    <w:rsid w:val="00C5093B"/>
    <w:rsid w:val="00C57EBA"/>
    <w:rsid w:val="00C67186"/>
    <w:rsid w:val="00C7085E"/>
    <w:rsid w:val="00C7628E"/>
    <w:rsid w:val="00CD46A0"/>
    <w:rsid w:val="00CD4ABA"/>
    <w:rsid w:val="00CE148B"/>
    <w:rsid w:val="00D03594"/>
    <w:rsid w:val="00D40D28"/>
    <w:rsid w:val="00D53589"/>
    <w:rsid w:val="00D9593D"/>
    <w:rsid w:val="00DB2D58"/>
    <w:rsid w:val="00DC2CCD"/>
    <w:rsid w:val="00DE6793"/>
    <w:rsid w:val="00E04A62"/>
    <w:rsid w:val="00E06524"/>
    <w:rsid w:val="00E07633"/>
    <w:rsid w:val="00E07E28"/>
    <w:rsid w:val="00E53EAC"/>
    <w:rsid w:val="00E84CA5"/>
    <w:rsid w:val="00EB1D39"/>
    <w:rsid w:val="00EB5991"/>
    <w:rsid w:val="00F424E1"/>
    <w:rsid w:val="00F667B2"/>
    <w:rsid w:val="00F93D44"/>
    <w:rsid w:val="00F94B8E"/>
    <w:rsid w:val="00FB35BF"/>
    <w:rsid w:val="00FB3CAF"/>
    <w:rsid w:val="00FB6FD2"/>
    <w:rsid w:val="00FD2EC4"/>
    <w:rsid w:val="00FE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DCB7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">
    <w:name w:val="Style22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2">
    <w:name w:val="Style116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">
    <w:name w:val="Style11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">
    <w:name w:val="Style32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">
    <w:name w:val="Style42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">
    <w:name w:val="Style13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2">
    <w:name w:val="Style97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1">
    <w:name w:val="Style141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8">
    <w:name w:val="Style41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9">
    <w:name w:val="Style43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2">
    <w:name w:val="Style105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3">
    <w:name w:val="Style45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">
    <w:name w:val="Style15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7">
    <w:name w:val="Style1527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1">
    <w:name w:val="Style149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8">
    <w:name w:val="Style94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">
    <w:name w:val="Style19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5">
    <w:name w:val="Style94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5">
    <w:name w:val="Style151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0">
    <w:name w:val="Style95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">
    <w:name w:val="Style21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">
    <w:name w:val="Style19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9">
    <w:name w:val="Style145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">
    <w:name w:val="Style20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9">
    <w:name w:val="Style141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1">
    <w:name w:val="Style30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0">
    <w:name w:val="Style109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1">
    <w:name w:val="Style94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3">
    <w:name w:val="Style142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7">
    <w:name w:val="Style227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9">
    <w:name w:val="CharStyle19"/>
    <w:basedOn w:val="DefaultParagraphFont"/>
    <w:rsid w:val="00566B66"/>
    <w:rPr>
      <w:rFonts w:ascii="Sylfaen" w:eastAsia="Sylfaen" w:hAnsi="Sylfaen" w:cs="Sylfaen"/>
      <w:b/>
      <w:bCs/>
      <w:i w:val="0"/>
      <w:iCs w:val="0"/>
      <w:smallCaps/>
      <w:sz w:val="16"/>
      <w:szCs w:val="16"/>
    </w:rPr>
  </w:style>
  <w:style w:type="character" w:customStyle="1" w:styleId="CharStyle22">
    <w:name w:val="CharStyle22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23">
    <w:name w:val="CharStyle23"/>
    <w:basedOn w:val="DefaultParagraphFont"/>
    <w:rsid w:val="00566B66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45">
    <w:name w:val="CharStyle45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49">
    <w:name w:val="CharStyle49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07">
    <w:name w:val="CharStyle107"/>
    <w:basedOn w:val="DefaultParagraphFont"/>
    <w:rsid w:val="00566B66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11">
    <w:name w:val="CharStyle11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22"/>
      <w:szCs w:val="22"/>
    </w:rPr>
  </w:style>
  <w:style w:type="character" w:customStyle="1" w:styleId="CharStyle133">
    <w:name w:val="CharStyle13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141">
    <w:name w:val="CharStyle14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146">
    <w:name w:val="CharStyle146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29">
    <w:name w:val="CharStyle329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33">
    <w:name w:val="CharStyle33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41">
    <w:name w:val="CharStyle34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57">
    <w:name w:val="CharStyle357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62">
    <w:name w:val="CharStyle362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64">
    <w:name w:val="CharStyle364"/>
    <w:basedOn w:val="DefaultParagraphFont"/>
    <w:rsid w:val="00566B6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81">
    <w:name w:val="CharStyle38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03">
    <w:name w:val="CharStyle40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426">
    <w:name w:val="CharStyle426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450">
    <w:name w:val="CharStyle450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493">
    <w:name w:val="CharStyle49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96">
    <w:name w:val="CharStyle496"/>
    <w:basedOn w:val="DefaultParagraphFont"/>
    <w:rsid w:val="00566B6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500">
    <w:name w:val="CharStyle500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01">
    <w:name w:val="CharStyle50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22">
    <w:name w:val="CharStyle522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26">
    <w:name w:val="CharStyle526"/>
    <w:basedOn w:val="DefaultParagraphFont"/>
    <w:rsid w:val="00566B6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0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33"/>
  </w:style>
  <w:style w:type="paragraph" w:styleId="Footer">
    <w:name w:val="footer"/>
    <w:basedOn w:val="Normal"/>
    <w:link w:val="FooterChar"/>
    <w:uiPriority w:val="99"/>
    <w:unhideWhenUsed/>
    <w:rsid w:val="00E0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33"/>
  </w:style>
  <w:style w:type="paragraph" w:styleId="ListParagraph">
    <w:name w:val="List Paragraph"/>
    <w:basedOn w:val="Normal"/>
    <w:uiPriority w:val="34"/>
    <w:qFormat/>
    <w:rsid w:val="00485A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5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4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2018-10-29T20:17:00Z</dcterms:created>
  <dcterms:modified xsi:type="dcterms:W3CDTF">2019-10-22T19:29:00Z</dcterms:modified>
</cp:coreProperties>
</file>