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1A17C" w14:textId="77777777" w:rsidR="00514D9A" w:rsidRPr="00A51008" w:rsidRDefault="00AE6CF3" w:rsidP="00A51008">
      <w:pPr>
        <w:spacing w:after="0" w:line="240" w:lineRule="auto"/>
        <w:jc w:val="center"/>
        <w:rPr>
          <w:rFonts w:ascii="Times New Roman" w:hAnsi="Times New Roman"/>
          <w:sz w:val="36"/>
        </w:rPr>
      </w:pPr>
      <w:r w:rsidRPr="00A51008">
        <w:rPr>
          <w:rFonts w:ascii="Times New Roman" w:hAnsi="Times New Roman"/>
          <w:b/>
          <w:sz w:val="36"/>
        </w:rPr>
        <w:t>Atomic Energy Amendment Act (No. 2)</w:t>
      </w:r>
      <w:r w:rsidR="00A51008" w:rsidRPr="00A51008">
        <w:rPr>
          <w:rFonts w:ascii="Times New Roman" w:hAnsi="Times New Roman"/>
          <w:b/>
          <w:sz w:val="36"/>
        </w:rPr>
        <w:t xml:space="preserve"> </w:t>
      </w:r>
      <w:r w:rsidRPr="00A51008">
        <w:rPr>
          <w:rFonts w:ascii="Times New Roman" w:hAnsi="Times New Roman"/>
          <w:b/>
          <w:sz w:val="36"/>
        </w:rPr>
        <w:t>1980</w:t>
      </w:r>
    </w:p>
    <w:p w14:paraId="7DECEA62" w14:textId="77777777" w:rsidR="00514D9A" w:rsidRDefault="00AE6CF3" w:rsidP="00A51008">
      <w:pPr>
        <w:spacing w:after="0" w:line="240" w:lineRule="auto"/>
        <w:jc w:val="center"/>
        <w:rPr>
          <w:rFonts w:ascii="Times New Roman" w:hAnsi="Times New Roman"/>
          <w:b/>
          <w:sz w:val="28"/>
        </w:rPr>
      </w:pPr>
      <w:r w:rsidRPr="00A51008">
        <w:rPr>
          <w:rFonts w:ascii="Times New Roman" w:hAnsi="Times New Roman"/>
          <w:b/>
          <w:sz w:val="28"/>
        </w:rPr>
        <w:t>No. 119 of 1980</w:t>
      </w:r>
    </w:p>
    <w:p w14:paraId="04E8B7BA" w14:textId="77777777" w:rsidR="00DD6D40" w:rsidRPr="00DD6D40" w:rsidRDefault="00DD6D40" w:rsidP="00DD6D40">
      <w:pPr>
        <w:pBdr>
          <w:bottom w:val="thickThinSmallGap" w:sz="12" w:space="1" w:color="auto"/>
        </w:pBdr>
        <w:spacing w:before="200" w:after="200" w:line="240" w:lineRule="auto"/>
        <w:jc w:val="center"/>
        <w:rPr>
          <w:rFonts w:ascii="Times New Roman" w:hAnsi="Times New Roman"/>
          <w:b/>
          <w:sz w:val="2"/>
        </w:rPr>
      </w:pPr>
    </w:p>
    <w:p w14:paraId="6EDD1370" w14:textId="77777777" w:rsidR="00514D9A" w:rsidRPr="00993F13" w:rsidRDefault="00AE6CF3" w:rsidP="00DD6D40">
      <w:pPr>
        <w:spacing w:after="0" w:line="240" w:lineRule="auto"/>
        <w:jc w:val="center"/>
        <w:rPr>
          <w:rFonts w:ascii="Times New Roman" w:hAnsi="Times New Roman"/>
          <w:b/>
          <w:sz w:val="26"/>
        </w:rPr>
      </w:pPr>
      <w:r w:rsidRPr="00993F13">
        <w:rPr>
          <w:rFonts w:ascii="Times New Roman" w:hAnsi="Times New Roman"/>
          <w:b/>
          <w:sz w:val="26"/>
        </w:rPr>
        <w:t xml:space="preserve">An Act to amend the </w:t>
      </w:r>
      <w:r w:rsidRPr="00993F13">
        <w:rPr>
          <w:rFonts w:ascii="Times New Roman" w:hAnsi="Times New Roman"/>
          <w:b/>
          <w:i/>
          <w:sz w:val="26"/>
        </w:rPr>
        <w:t xml:space="preserve">Atomic Energy Act </w:t>
      </w:r>
      <w:r w:rsidRPr="00993F13">
        <w:rPr>
          <w:rFonts w:ascii="Times New Roman" w:hAnsi="Times New Roman"/>
          <w:b/>
          <w:sz w:val="26"/>
        </w:rPr>
        <w:t>1953</w:t>
      </w:r>
    </w:p>
    <w:p w14:paraId="323FAAB9" w14:textId="77777777" w:rsidR="00514D9A" w:rsidRPr="00993F13" w:rsidRDefault="00AE6CF3" w:rsidP="00DD6D40">
      <w:pPr>
        <w:spacing w:before="120" w:after="0" w:line="240" w:lineRule="auto"/>
        <w:jc w:val="right"/>
        <w:rPr>
          <w:rFonts w:ascii="Times New Roman" w:hAnsi="Times New Roman"/>
          <w:sz w:val="24"/>
        </w:rPr>
      </w:pPr>
      <w:r w:rsidRPr="002670D3">
        <w:rPr>
          <w:rFonts w:ascii="Times New Roman" w:hAnsi="Times New Roman"/>
          <w:sz w:val="24"/>
        </w:rPr>
        <w:t>[</w:t>
      </w:r>
      <w:r w:rsidRPr="00993F13">
        <w:rPr>
          <w:rFonts w:ascii="Times New Roman" w:hAnsi="Times New Roman"/>
          <w:i/>
          <w:sz w:val="24"/>
        </w:rPr>
        <w:t>Assented to 11 September 1980</w:t>
      </w:r>
      <w:r w:rsidRPr="002670D3">
        <w:rPr>
          <w:rFonts w:ascii="Times New Roman" w:hAnsi="Times New Roman"/>
          <w:sz w:val="24"/>
        </w:rPr>
        <w:t>]</w:t>
      </w:r>
    </w:p>
    <w:p w14:paraId="4F853893" w14:textId="77777777" w:rsidR="00514D9A" w:rsidRPr="00DD6D40" w:rsidRDefault="00AE6CF3" w:rsidP="00DD6D40">
      <w:pPr>
        <w:spacing w:before="120" w:after="0" w:line="240" w:lineRule="auto"/>
        <w:ind w:firstLine="432"/>
        <w:jc w:val="both"/>
        <w:rPr>
          <w:rFonts w:ascii="Times New Roman" w:hAnsi="Times New Roman"/>
          <w:sz w:val="24"/>
        </w:rPr>
      </w:pPr>
      <w:r w:rsidRPr="00DD6D40">
        <w:rPr>
          <w:rFonts w:ascii="Times New Roman" w:hAnsi="Times New Roman"/>
          <w:sz w:val="24"/>
        </w:rPr>
        <w:t>BE IT ENACTED by the Queen, and the Senate and the House of Representatives of the Commonwealth of Australia, as follows:</w:t>
      </w:r>
    </w:p>
    <w:p w14:paraId="44D8302D" w14:textId="77777777" w:rsidR="00514D9A" w:rsidRPr="00DD6D40" w:rsidRDefault="00AE6CF3" w:rsidP="00DD6D40">
      <w:pPr>
        <w:spacing w:before="120" w:after="60" w:line="240" w:lineRule="auto"/>
        <w:jc w:val="both"/>
        <w:rPr>
          <w:rFonts w:ascii="Times New Roman" w:hAnsi="Times New Roman" w:cs="Times New Roman"/>
          <w:b/>
          <w:sz w:val="20"/>
        </w:rPr>
      </w:pPr>
      <w:r w:rsidRPr="00DD6D40">
        <w:rPr>
          <w:rFonts w:ascii="Times New Roman" w:hAnsi="Times New Roman" w:cs="Times New Roman"/>
          <w:b/>
          <w:sz w:val="20"/>
        </w:rPr>
        <w:t>Short title</w:t>
      </w:r>
    </w:p>
    <w:p w14:paraId="34BD00D8" w14:textId="10DCE6C4" w:rsidR="00514D9A" w:rsidRPr="00AE6CF3" w:rsidRDefault="00AE6CF3" w:rsidP="001C2FFF">
      <w:pPr>
        <w:spacing w:after="0" w:line="240" w:lineRule="auto"/>
        <w:ind w:firstLine="432"/>
        <w:jc w:val="both"/>
        <w:rPr>
          <w:rFonts w:ascii="Times New Roman" w:hAnsi="Times New Roman"/>
        </w:rPr>
      </w:pPr>
      <w:r w:rsidRPr="00AE6CF3">
        <w:rPr>
          <w:rFonts w:ascii="Times New Roman" w:hAnsi="Times New Roman"/>
          <w:b/>
        </w:rPr>
        <w:t>1.</w:t>
      </w:r>
      <w:r w:rsidRPr="00AE6CF3">
        <w:rPr>
          <w:rFonts w:ascii="Times New Roman" w:hAnsi="Times New Roman"/>
        </w:rPr>
        <w:t xml:space="preserve"> </w:t>
      </w:r>
      <w:r w:rsidRPr="00AE6CF3">
        <w:rPr>
          <w:rFonts w:ascii="Times New Roman" w:hAnsi="Times New Roman"/>
          <w:b/>
        </w:rPr>
        <w:t xml:space="preserve">(1) </w:t>
      </w:r>
      <w:r w:rsidRPr="00AE6CF3">
        <w:rPr>
          <w:rFonts w:ascii="Times New Roman" w:hAnsi="Times New Roman"/>
        </w:rPr>
        <w:t xml:space="preserve">This Act may be cited as the </w:t>
      </w:r>
      <w:r w:rsidRPr="00AE6CF3">
        <w:rPr>
          <w:rFonts w:ascii="Times New Roman" w:hAnsi="Times New Roman"/>
          <w:i/>
        </w:rPr>
        <w:t>Atomic Energy Amendment Act</w:t>
      </w:r>
      <w:r w:rsidRPr="00794E96">
        <w:rPr>
          <w:rFonts w:ascii="Times New Roman" w:hAnsi="Times New Roman"/>
        </w:rPr>
        <w:t xml:space="preserve"> (</w:t>
      </w:r>
      <w:r w:rsidRPr="00AE6CF3">
        <w:rPr>
          <w:rFonts w:ascii="Times New Roman" w:hAnsi="Times New Roman"/>
          <w:i/>
        </w:rPr>
        <w:t xml:space="preserve">No. </w:t>
      </w:r>
      <w:r w:rsidRPr="00AE6CF3">
        <w:rPr>
          <w:rFonts w:ascii="Times New Roman" w:hAnsi="Times New Roman"/>
        </w:rPr>
        <w:t>2) 1980.</w:t>
      </w:r>
    </w:p>
    <w:p w14:paraId="51D637C8" w14:textId="2DD9A007" w:rsidR="00514D9A" w:rsidRPr="00AE6CF3" w:rsidRDefault="00AE6CF3" w:rsidP="007955C7">
      <w:pPr>
        <w:spacing w:before="120" w:after="0" w:line="240" w:lineRule="auto"/>
        <w:ind w:firstLine="432"/>
        <w:jc w:val="both"/>
        <w:rPr>
          <w:rFonts w:ascii="Times New Roman" w:hAnsi="Times New Roman"/>
        </w:rPr>
      </w:pPr>
      <w:r w:rsidRPr="00AE6CF3">
        <w:rPr>
          <w:rFonts w:ascii="Times New Roman" w:hAnsi="Times New Roman"/>
          <w:b/>
        </w:rPr>
        <w:t xml:space="preserve">(2) </w:t>
      </w:r>
      <w:r w:rsidRPr="00AE6CF3">
        <w:rPr>
          <w:rFonts w:ascii="Times New Roman" w:hAnsi="Times New Roman"/>
        </w:rPr>
        <w:t xml:space="preserve">The </w:t>
      </w:r>
      <w:r w:rsidRPr="00AE6CF3">
        <w:rPr>
          <w:rFonts w:ascii="Times New Roman" w:hAnsi="Times New Roman"/>
          <w:i/>
        </w:rPr>
        <w:t xml:space="preserve">Atomic Energy Act </w:t>
      </w:r>
      <w:r w:rsidR="00794E96">
        <w:rPr>
          <w:rFonts w:ascii="Times New Roman" w:hAnsi="Times New Roman"/>
        </w:rPr>
        <w:t>1953</w:t>
      </w:r>
      <w:r w:rsidRPr="00AE6CF3">
        <w:rPr>
          <w:rFonts w:ascii="Times New Roman" w:hAnsi="Times New Roman"/>
        </w:rPr>
        <w:t xml:space="preserve"> is in this Act referred to as the Principal Act.</w:t>
      </w:r>
    </w:p>
    <w:p w14:paraId="2226E147" w14:textId="77777777" w:rsidR="00514D9A" w:rsidRPr="001C2FFF" w:rsidRDefault="00AE6CF3" w:rsidP="001C2FFF">
      <w:pPr>
        <w:spacing w:before="120" w:after="60" w:line="240" w:lineRule="auto"/>
        <w:jc w:val="both"/>
        <w:rPr>
          <w:rFonts w:ascii="Times New Roman" w:hAnsi="Times New Roman" w:cs="Times New Roman"/>
          <w:b/>
          <w:sz w:val="20"/>
        </w:rPr>
      </w:pPr>
      <w:r w:rsidRPr="001C2FFF">
        <w:rPr>
          <w:rFonts w:ascii="Times New Roman" w:hAnsi="Times New Roman" w:cs="Times New Roman"/>
          <w:b/>
          <w:sz w:val="20"/>
        </w:rPr>
        <w:t>Commencement</w:t>
      </w:r>
    </w:p>
    <w:p w14:paraId="489D30AB" w14:textId="77777777" w:rsidR="00514D9A" w:rsidRPr="00AE6CF3" w:rsidRDefault="00AE6CF3" w:rsidP="001C2FFF">
      <w:pPr>
        <w:spacing w:after="0" w:line="240" w:lineRule="auto"/>
        <w:ind w:firstLine="432"/>
        <w:jc w:val="both"/>
        <w:rPr>
          <w:rFonts w:ascii="Times New Roman" w:hAnsi="Times New Roman"/>
        </w:rPr>
      </w:pPr>
      <w:r w:rsidRPr="00AE6CF3">
        <w:rPr>
          <w:rFonts w:ascii="Times New Roman" w:hAnsi="Times New Roman"/>
          <w:b/>
        </w:rPr>
        <w:t>2.</w:t>
      </w:r>
      <w:r w:rsidRPr="00AE6CF3">
        <w:rPr>
          <w:rFonts w:ascii="Times New Roman" w:hAnsi="Times New Roman"/>
        </w:rPr>
        <w:t xml:space="preserve"> This Act shall come into operation on the day on which it receives the Royal Assent.</w:t>
      </w:r>
    </w:p>
    <w:p w14:paraId="5160DBB9" w14:textId="77777777" w:rsidR="00514D9A" w:rsidRPr="001C2FFF" w:rsidRDefault="00AE6CF3" w:rsidP="001C2FFF">
      <w:pPr>
        <w:spacing w:before="120" w:after="60" w:line="240" w:lineRule="auto"/>
        <w:jc w:val="both"/>
        <w:rPr>
          <w:rFonts w:ascii="Times New Roman" w:hAnsi="Times New Roman" w:cs="Times New Roman"/>
          <w:b/>
          <w:sz w:val="20"/>
        </w:rPr>
      </w:pPr>
      <w:r w:rsidRPr="001C2FFF">
        <w:rPr>
          <w:rFonts w:ascii="Times New Roman" w:hAnsi="Times New Roman" w:cs="Times New Roman"/>
          <w:b/>
          <w:sz w:val="20"/>
        </w:rPr>
        <w:t>Interpretation</w:t>
      </w:r>
    </w:p>
    <w:p w14:paraId="0BDA2C9D" w14:textId="77777777" w:rsidR="00514D9A" w:rsidRPr="00AE6CF3" w:rsidRDefault="00AE6CF3" w:rsidP="001C2FFF">
      <w:pPr>
        <w:spacing w:after="0" w:line="240" w:lineRule="auto"/>
        <w:ind w:firstLine="432"/>
        <w:jc w:val="both"/>
        <w:rPr>
          <w:rFonts w:ascii="Times New Roman" w:hAnsi="Times New Roman"/>
        </w:rPr>
      </w:pPr>
      <w:r w:rsidRPr="006849F5">
        <w:rPr>
          <w:rFonts w:ascii="Times New Roman" w:hAnsi="Times New Roman"/>
          <w:b/>
        </w:rPr>
        <w:t>3.</w:t>
      </w:r>
      <w:r w:rsidRPr="00AE6CF3">
        <w:rPr>
          <w:rFonts w:ascii="Times New Roman" w:hAnsi="Times New Roman"/>
        </w:rPr>
        <w:t xml:space="preserve"> Section 5 of the Principal Act is amended—</w:t>
      </w:r>
    </w:p>
    <w:p w14:paraId="4BEE45CC" w14:textId="77777777" w:rsidR="00514D9A" w:rsidRPr="00AE6CF3" w:rsidRDefault="00AE6CF3" w:rsidP="001C2FFF">
      <w:pPr>
        <w:spacing w:after="0"/>
        <w:ind w:left="864" w:hanging="288"/>
        <w:jc w:val="both"/>
        <w:rPr>
          <w:rFonts w:ascii="Times New Roman" w:hAnsi="Times New Roman"/>
        </w:rPr>
      </w:pPr>
      <w:r w:rsidRPr="00AE6CF3">
        <w:rPr>
          <w:rFonts w:ascii="Times New Roman" w:hAnsi="Times New Roman"/>
        </w:rPr>
        <w:t xml:space="preserve">(a) by inserting after the definition of </w:t>
      </w:r>
      <w:r w:rsidR="002158E6">
        <w:rPr>
          <w:rFonts w:ascii="Times New Roman" w:hAnsi="Times New Roman"/>
        </w:rPr>
        <w:t>“</w:t>
      </w:r>
      <w:r w:rsidRPr="00AE6CF3">
        <w:rPr>
          <w:rFonts w:ascii="Times New Roman" w:hAnsi="Times New Roman"/>
        </w:rPr>
        <w:t>restricted information</w:t>
      </w:r>
      <w:r w:rsidR="002158E6">
        <w:rPr>
          <w:rFonts w:ascii="Times New Roman" w:hAnsi="Times New Roman"/>
        </w:rPr>
        <w:t>”</w:t>
      </w:r>
      <w:r w:rsidRPr="00AE6CF3">
        <w:rPr>
          <w:rFonts w:ascii="Times New Roman" w:hAnsi="Times New Roman"/>
        </w:rPr>
        <w:t xml:space="preserve"> in sub-section (1) the following definition:</w:t>
      </w:r>
    </w:p>
    <w:p w14:paraId="0EF876E2" w14:textId="058DA5DA" w:rsidR="00514D9A" w:rsidRPr="00AE6CF3" w:rsidRDefault="002158E6" w:rsidP="001C2FFF">
      <w:pPr>
        <w:spacing w:after="0"/>
        <w:ind w:left="1728" w:hanging="576"/>
        <w:jc w:val="both"/>
        <w:rPr>
          <w:rFonts w:ascii="Times New Roman" w:hAnsi="Times New Roman"/>
        </w:rPr>
      </w:pPr>
      <w:r>
        <w:rPr>
          <w:rFonts w:ascii="Times New Roman" w:hAnsi="Times New Roman"/>
        </w:rPr>
        <w:t>“‘</w:t>
      </w:r>
      <w:r w:rsidR="00AE6CF3" w:rsidRPr="00AE6CF3">
        <w:rPr>
          <w:rFonts w:ascii="Times New Roman" w:hAnsi="Times New Roman"/>
        </w:rPr>
        <w:t>securities</w:t>
      </w:r>
      <w:r>
        <w:rPr>
          <w:rFonts w:ascii="Times New Roman" w:hAnsi="Times New Roman"/>
        </w:rPr>
        <w:t>’</w:t>
      </w:r>
      <w:r w:rsidR="00AE6CF3" w:rsidRPr="00AE6CF3">
        <w:rPr>
          <w:rFonts w:ascii="Times New Roman" w:hAnsi="Times New Roman"/>
        </w:rPr>
        <w:t xml:space="preserve"> includes stocks, debentures, debenture stocks, notes, bonds, promissory notes, bills of exchange and similar instruments or documents;</w:t>
      </w:r>
      <w:r>
        <w:rPr>
          <w:rFonts w:ascii="Times New Roman" w:hAnsi="Times New Roman"/>
        </w:rPr>
        <w:t>”</w:t>
      </w:r>
      <w:r w:rsidR="00AE6CF3" w:rsidRPr="00AE6CF3">
        <w:rPr>
          <w:rFonts w:ascii="Times New Roman" w:hAnsi="Times New Roman"/>
        </w:rPr>
        <w:t>; and</w:t>
      </w:r>
    </w:p>
    <w:p w14:paraId="6CF5726C" w14:textId="77777777" w:rsidR="00514D9A" w:rsidRPr="00AE6CF3" w:rsidRDefault="00AE6CF3" w:rsidP="001C2FFF">
      <w:pPr>
        <w:spacing w:after="0"/>
        <w:ind w:left="864" w:hanging="288"/>
        <w:jc w:val="both"/>
        <w:rPr>
          <w:rFonts w:ascii="Times New Roman" w:hAnsi="Times New Roman"/>
        </w:rPr>
      </w:pPr>
      <w:r w:rsidRPr="00AE6CF3">
        <w:rPr>
          <w:rFonts w:ascii="Times New Roman" w:hAnsi="Times New Roman"/>
        </w:rPr>
        <w:t>(b) by adding at the end thereof the following sub-section:</w:t>
      </w:r>
    </w:p>
    <w:p w14:paraId="1F338D87" w14:textId="77777777" w:rsidR="00514D9A" w:rsidRPr="00AE6CF3" w:rsidRDefault="002158E6" w:rsidP="006849F5">
      <w:pPr>
        <w:spacing w:after="0" w:line="240" w:lineRule="auto"/>
        <w:ind w:left="720" w:firstLine="432"/>
        <w:jc w:val="both"/>
        <w:rPr>
          <w:rFonts w:ascii="Times New Roman" w:hAnsi="Times New Roman"/>
        </w:rPr>
      </w:pPr>
      <w:r>
        <w:rPr>
          <w:rFonts w:ascii="Times New Roman" w:hAnsi="Times New Roman"/>
        </w:rPr>
        <w:t>“</w:t>
      </w:r>
      <w:r w:rsidR="00AE6CF3" w:rsidRPr="00AE6CF3">
        <w:rPr>
          <w:rFonts w:ascii="Times New Roman" w:hAnsi="Times New Roman"/>
        </w:rPr>
        <w:t>(6) In this Act, a reference to dealing with securities shall be read as including a reference to—</w:t>
      </w:r>
    </w:p>
    <w:p w14:paraId="17C923ED" w14:textId="77777777" w:rsidR="00514D9A" w:rsidRPr="00AE6CF3" w:rsidRDefault="00AE6CF3" w:rsidP="006849F5">
      <w:pPr>
        <w:spacing w:after="0" w:line="240" w:lineRule="auto"/>
        <w:ind w:left="1584" w:hanging="432"/>
        <w:jc w:val="both"/>
        <w:rPr>
          <w:rFonts w:ascii="Times New Roman" w:hAnsi="Times New Roman"/>
        </w:rPr>
      </w:pPr>
      <w:r w:rsidRPr="00AE6CF3">
        <w:rPr>
          <w:rFonts w:ascii="Times New Roman" w:hAnsi="Times New Roman"/>
        </w:rPr>
        <w:t>(a) creating, executing, entering into, drawing, making, accepting, indorsing, issuing, discounting, selling, purchasing or re-selling securities;</w:t>
      </w:r>
    </w:p>
    <w:p w14:paraId="1A73F133" w14:textId="77777777" w:rsidR="00514D9A" w:rsidRPr="00AE6CF3" w:rsidRDefault="00AE6CF3" w:rsidP="006849F5">
      <w:pPr>
        <w:spacing w:after="0" w:line="240" w:lineRule="auto"/>
        <w:ind w:left="1584" w:hanging="432"/>
        <w:jc w:val="both"/>
        <w:rPr>
          <w:rFonts w:ascii="Times New Roman" w:hAnsi="Times New Roman"/>
        </w:rPr>
      </w:pPr>
      <w:r w:rsidRPr="00AE6CF3">
        <w:rPr>
          <w:rFonts w:ascii="Times New Roman" w:hAnsi="Times New Roman"/>
        </w:rPr>
        <w:t>(b) creating, selling, purchasing or re-selling rights or options in respect of securities; and</w:t>
      </w:r>
    </w:p>
    <w:p w14:paraId="6CF8EA8C" w14:textId="77777777" w:rsidR="00514D9A" w:rsidRDefault="00AE6CF3" w:rsidP="006849F5">
      <w:pPr>
        <w:spacing w:after="0" w:line="240" w:lineRule="auto"/>
        <w:ind w:left="1584" w:hanging="432"/>
        <w:jc w:val="both"/>
        <w:rPr>
          <w:rFonts w:ascii="Times New Roman" w:hAnsi="Times New Roman"/>
        </w:rPr>
      </w:pPr>
      <w:r w:rsidRPr="00AE6CF3">
        <w:rPr>
          <w:rFonts w:ascii="Times New Roman" w:hAnsi="Times New Roman"/>
        </w:rPr>
        <w:t>(c) entering into agreements or other arrangements relating to securities.</w:t>
      </w:r>
      <w:r w:rsidR="002158E6">
        <w:rPr>
          <w:rFonts w:ascii="Times New Roman" w:hAnsi="Times New Roman"/>
        </w:rPr>
        <w:t>”</w:t>
      </w:r>
      <w:r w:rsidRPr="00AE6CF3">
        <w:rPr>
          <w:rFonts w:ascii="Times New Roman" w:hAnsi="Times New Roman"/>
        </w:rPr>
        <w:t>.</w:t>
      </w:r>
    </w:p>
    <w:p w14:paraId="676BB391" w14:textId="77777777" w:rsidR="00514D9A" w:rsidRPr="00AE6CF3" w:rsidRDefault="00AE6CF3" w:rsidP="00613F90">
      <w:pPr>
        <w:spacing w:after="0" w:line="240" w:lineRule="auto"/>
        <w:ind w:firstLine="432"/>
        <w:jc w:val="both"/>
        <w:rPr>
          <w:rFonts w:ascii="Times New Roman" w:hAnsi="Times New Roman"/>
        </w:rPr>
      </w:pPr>
      <w:r w:rsidRPr="00AE6CF3">
        <w:rPr>
          <w:rFonts w:ascii="Times New Roman" w:hAnsi="Times New Roman"/>
          <w:b/>
        </w:rPr>
        <w:t xml:space="preserve">4. </w:t>
      </w:r>
      <w:r w:rsidRPr="00AE6CF3">
        <w:rPr>
          <w:rFonts w:ascii="Times New Roman" w:hAnsi="Times New Roman"/>
        </w:rPr>
        <w:t>Section 30 of the Principal Act is repealed and the following sections are substituted:</w:t>
      </w:r>
    </w:p>
    <w:p w14:paraId="29D4ABA0" w14:textId="77777777" w:rsidR="00514D9A" w:rsidRPr="00613F90" w:rsidRDefault="00AE6CF3" w:rsidP="00613F90">
      <w:pPr>
        <w:spacing w:before="120" w:after="60" w:line="240" w:lineRule="auto"/>
        <w:jc w:val="both"/>
        <w:rPr>
          <w:rFonts w:ascii="Times New Roman" w:hAnsi="Times New Roman" w:cs="Times New Roman"/>
          <w:b/>
          <w:sz w:val="20"/>
        </w:rPr>
      </w:pPr>
      <w:r w:rsidRPr="00613F90">
        <w:rPr>
          <w:rFonts w:ascii="Times New Roman" w:hAnsi="Times New Roman" w:cs="Times New Roman"/>
          <w:b/>
          <w:sz w:val="20"/>
        </w:rPr>
        <w:t>Borrowing otherwise than from the Commonwealth</w:t>
      </w:r>
    </w:p>
    <w:p w14:paraId="5EC8ECD1" w14:textId="77777777" w:rsidR="00514D9A" w:rsidRPr="00AE6CF3" w:rsidRDefault="002158E6" w:rsidP="00613F90">
      <w:pPr>
        <w:spacing w:before="60" w:after="0" w:line="240" w:lineRule="auto"/>
        <w:ind w:firstLine="432"/>
        <w:jc w:val="both"/>
        <w:rPr>
          <w:rFonts w:ascii="Times New Roman" w:hAnsi="Times New Roman"/>
        </w:rPr>
      </w:pPr>
      <w:r>
        <w:rPr>
          <w:rFonts w:ascii="Times New Roman" w:hAnsi="Times New Roman"/>
        </w:rPr>
        <w:t>“</w:t>
      </w:r>
      <w:r w:rsidR="00AE6CF3" w:rsidRPr="00AE6CF3">
        <w:rPr>
          <w:rFonts w:ascii="Times New Roman" w:hAnsi="Times New Roman"/>
        </w:rPr>
        <w:t>30. (1) The Commission may, with the approval of the Treasurer but not otherwise, from time to time, borrow moneys (otherwise than from the Commonwealth) on such terms and conditions as the Treasurer approves.</w:t>
      </w:r>
    </w:p>
    <w:p w14:paraId="5D320A01" w14:textId="77777777" w:rsidR="00514D9A" w:rsidRPr="00AE6CF3" w:rsidRDefault="002158E6" w:rsidP="00613F90">
      <w:pPr>
        <w:spacing w:before="60" w:after="0" w:line="240" w:lineRule="auto"/>
        <w:ind w:firstLine="432"/>
        <w:jc w:val="both"/>
        <w:rPr>
          <w:rFonts w:ascii="Times New Roman" w:hAnsi="Times New Roman"/>
        </w:rPr>
      </w:pPr>
      <w:r>
        <w:rPr>
          <w:rFonts w:ascii="Times New Roman" w:hAnsi="Times New Roman"/>
        </w:rPr>
        <w:lastRenderedPageBreak/>
        <w:t>“</w:t>
      </w:r>
      <w:r w:rsidR="00AE6CF3" w:rsidRPr="00AE6CF3">
        <w:rPr>
          <w:rFonts w:ascii="Times New Roman" w:hAnsi="Times New Roman"/>
        </w:rPr>
        <w:t>(2) Approvals for the purposes of sub-section (1) may be in respect of particular borrowings or in respect of borrowings included within a specified class, or specified classes, of borrowings.</w:t>
      </w:r>
    </w:p>
    <w:p w14:paraId="63B6C0C5" w14:textId="77777777" w:rsidR="00514D9A" w:rsidRPr="00AE6CF3" w:rsidRDefault="002158E6" w:rsidP="00613F90">
      <w:pPr>
        <w:spacing w:before="60" w:after="0" w:line="240" w:lineRule="auto"/>
        <w:ind w:firstLine="432"/>
        <w:jc w:val="both"/>
        <w:rPr>
          <w:rFonts w:ascii="Times New Roman" w:hAnsi="Times New Roman"/>
        </w:rPr>
      </w:pPr>
      <w:r>
        <w:rPr>
          <w:rFonts w:ascii="Times New Roman" w:hAnsi="Times New Roman"/>
        </w:rPr>
        <w:t>“</w:t>
      </w:r>
      <w:r w:rsidR="00AE6CF3" w:rsidRPr="00AE6CF3">
        <w:rPr>
          <w:rFonts w:ascii="Times New Roman" w:hAnsi="Times New Roman"/>
        </w:rPr>
        <w:t>(3) The Treasurer may, on behalf of the Commonwealth, guarantee the repayment by the Commission of amounts borrowed under this section and the payment of interest on amounts so borrowed.</w:t>
      </w:r>
    </w:p>
    <w:p w14:paraId="750E41CB" w14:textId="77777777" w:rsidR="00514D9A" w:rsidRPr="00613F90" w:rsidRDefault="00AE6CF3" w:rsidP="00613F90">
      <w:pPr>
        <w:spacing w:before="120" w:after="60" w:line="240" w:lineRule="auto"/>
        <w:jc w:val="both"/>
        <w:rPr>
          <w:rFonts w:ascii="Times New Roman" w:hAnsi="Times New Roman" w:cs="Times New Roman"/>
          <w:b/>
          <w:sz w:val="20"/>
        </w:rPr>
      </w:pPr>
      <w:r w:rsidRPr="00613F90">
        <w:rPr>
          <w:rFonts w:ascii="Times New Roman" w:hAnsi="Times New Roman" w:cs="Times New Roman"/>
          <w:b/>
          <w:sz w:val="20"/>
        </w:rPr>
        <w:t>Dealings with securities</w:t>
      </w:r>
    </w:p>
    <w:p w14:paraId="3EFF0F18" w14:textId="77777777" w:rsidR="00514D9A" w:rsidRPr="00AE6CF3" w:rsidRDefault="002158E6" w:rsidP="0077195E">
      <w:pPr>
        <w:spacing w:after="0" w:line="240" w:lineRule="auto"/>
        <w:ind w:firstLine="432"/>
        <w:jc w:val="both"/>
        <w:rPr>
          <w:rFonts w:ascii="Times New Roman" w:hAnsi="Times New Roman"/>
        </w:rPr>
      </w:pPr>
      <w:r>
        <w:rPr>
          <w:rFonts w:ascii="Times New Roman" w:hAnsi="Times New Roman"/>
        </w:rPr>
        <w:t>“</w:t>
      </w:r>
      <w:r w:rsidR="00AE6CF3" w:rsidRPr="00AE6CF3">
        <w:rPr>
          <w:rFonts w:ascii="Times New Roman" w:hAnsi="Times New Roman"/>
        </w:rPr>
        <w:t>30</w:t>
      </w:r>
      <w:r w:rsidR="0077195E" w:rsidRPr="006849F5">
        <w:rPr>
          <w:rFonts w:ascii="Times New Roman" w:hAnsi="Times New Roman"/>
          <w:smallCaps/>
        </w:rPr>
        <w:t>aa</w:t>
      </w:r>
      <w:r w:rsidR="00AE6CF3" w:rsidRPr="006849F5">
        <w:rPr>
          <w:rFonts w:ascii="Times New Roman" w:hAnsi="Times New Roman"/>
        </w:rPr>
        <w:t>.</w:t>
      </w:r>
      <w:r w:rsidR="00AE6CF3" w:rsidRPr="00AE6CF3">
        <w:rPr>
          <w:rFonts w:ascii="Times New Roman" w:hAnsi="Times New Roman"/>
        </w:rPr>
        <w:t xml:space="preserve"> (1) The Commission may, with the approval of the Treasurer but not otherwise, deal with securities.</w:t>
      </w:r>
    </w:p>
    <w:p w14:paraId="59F2D96B" w14:textId="77777777" w:rsidR="00514D9A" w:rsidRPr="00AE6CF3" w:rsidRDefault="002158E6" w:rsidP="0077195E">
      <w:pPr>
        <w:spacing w:before="60" w:after="0" w:line="240" w:lineRule="auto"/>
        <w:ind w:firstLine="432"/>
        <w:jc w:val="both"/>
        <w:rPr>
          <w:rFonts w:ascii="Times New Roman" w:hAnsi="Times New Roman"/>
        </w:rPr>
      </w:pPr>
      <w:r>
        <w:rPr>
          <w:rFonts w:ascii="Times New Roman" w:hAnsi="Times New Roman"/>
        </w:rPr>
        <w:t>“</w:t>
      </w:r>
      <w:r w:rsidR="00AE6CF3" w:rsidRPr="00AE6CF3">
        <w:rPr>
          <w:rFonts w:ascii="Times New Roman" w:hAnsi="Times New Roman"/>
        </w:rPr>
        <w:t>(2) Where the Commission borrows or otherwise raises moneys by dealing with securities, the Treasurer may determine that the repayment by the Commission of the amounts borrowed or raised, and the payment by the Commission of interest (if any) on those amounts, are, by force of this sub-section, guaranteed by the Commonwealth.</w:t>
      </w:r>
    </w:p>
    <w:p w14:paraId="548BC592" w14:textId="77777777" w:rsidR="00514D9A" w:rsidRPr="00AE6CF3" w:rsidRDefault="002158E6" w:rsidP="0077195E">
      <w:pPr>
        <w:spacing w:before="60" w:after="0" w:line="240" w:lineRule="auto"/>
        <w:ind w:firstLine="432"/>
        <w:jc w:val="both"/>
        <w:rPr>
          <w:rFonts w:ascii="Times New Roman" w:hAnsi="Times New Roman"/>
        </w:rPr>
      </w:pPr>
      <w:r>
        <w:rPr>
          <w:rFonts w:ascii="Times New Roman" w:hAnsi="Times New Roman"/>
        </w:rPr>
        <w:t>“</w:t>
      </w:r>
      <w:r w:rsidR="00AE6CF3" w:rsidRPr="00AE6CF3">
        <w:rPr>
          <w:rFonts w:ascii="Times New Roman" w:hAnsi="Times New Roman"/>
        </w:rPr>
        <w:t>(3) The power of the Treasurer to make a determination for the purposes of sub-section (2) extends to the making of a determination in respect of—</w:t>
      </w:r>
    </w:p>
    <w:p w14:paraId="11275ADE" w14:textId="77777777" w:rsidR="00514D9A" w:rsidRPr="00AE6CF3" w:rsidRDefault="00AE6CF3" w:rsidP="00634728">
      <w:pPr>
        <w:spacing w:after="0"/>
        <w:ind w:left="1008" w:hanging="432"/>
        <w:jc w:val="both"/>
        <w:rPr>
          <w:rFonts w:ascii="Times New Roman" w:hAnsi="Times New Roman"/>
        </w:rPr>
      </w:pPr>
      <w:r w:rsidRPr="00AE6CF3">
        <w:rPr>
          <w:rFonts w:ascii="Times New Roman" w:hAnsi="Times New Roman"/>
        </w:rPr>
        <w:t>(a) securities included in a specified class, or specified classes, of securities; and</w:t>
      </w:r>
    </w:p>
    <w:p w14:paraId="2DD5AE8C" w14:textId="77777777" w:rsidR="00514D9A" w:rsidRPr="00AE6CF3" w:rsidRDefault="00AE6CF3" w:rsidP="00634728">
      <w:pPr>
        <w:spacing w:after="0"/>
        <w:ind w:left="1008" w:hanging="432"/>
        <w:jc w:val="both"/>
        <w:rPr>
          <w:rFonts w:ascii="Times New Roman" w:hAnsi="Times New Roman"/>
        </w:rPr>
      </w:pPr>
      <w:r w:rsidRPr="00AE6CF3">
        <w:rPr>
          <w:rFonts w:ascii="Times New Roman" w:hAnsi="Times New Roman"/>
        </w:rPr>
        <w:t>(b) transactions included in a specified class, or specified classes, of transactions.</w:t>
      </w:r>
    </w:p>
    <w:p w14:paraId="7995F7AA" w14:textId="77777777" w:rsidR="00514D9A" w:rsidRPr="0056568C" w:rsidRDefault="00AE6CF3" w:rsidP="0056568C">
      <w:pPr>
        <w:spacing w:before="120" w:after="60" w:line="240" w:lineRule="auto"/>
        <w:jc w:val="both"/>
        <w:rPr>
          <w:rFonts w:ascii="Times New Roman" w:hAnsi="Times New Roman" w:cs="Times New Roman"/>
          <w:b/>
          <w:sz w:val="20"/>
        </w:rPr>
      </w:pPr>
      <w:r w:rsidRPr="0056568C">
        <w:rPr>
          <w:rFonts w:ascii="Times New Roman" w:hAnsi="Times New Roman" w:cs="Times New Roman"/>
          <w:b/>
          <w:sz w:val="20"/>
        </w:rPr>
        <w:t>Commission may give security</w:t>
      </w:r>
    </w:p>
    <w:p w14:paraId="094B278D" w14:textId="77777777" w:rsidR="00514D9A" w:rsidRPr="00AE6CF3" w:rsidRDefault="002158E6" w:rsidP="0056568C">
      <w:pPr>
        <w:spacing w:after="0" w:line="240" w:lineRule="auto"/>
        <w:ind w:firstLine="432"/>
        <w:jc w:val="both"/>
        <w:rPr>
          <w:rFonts w:ascii="Times New Roman" w:hAnsi="Times New Roman"/>
        </w:rPr>
      </w:pPr>
      <w:r w:rsidRPr="006849F5">
        <w:rPr>
          <w:rFonts w:ascii="Times New Roman" w:hAnsi="Times New Roman"/>
        </w:rPr>
        <w:t>“</w:t>
      </w:r>
      <w:r w:rsidR="00AE6CF3" w:rsidRPr="006849F5">
        <w:rPr>
          <w:rFonts w:ascii="Times New Roman" w:hAnsi="Times New Roman"/>
        </w:rPr>
        <w:t>30</w:t>
      </w:r>
      <w:r w:rsidR="0056568C" w:rsidRPr="006849F5">
        <w:rPr>
          <w:rFonts w:ascii="Times New Roman" w:hAnsi="Times New Roman"/>
          <w:smallCaps/>
        </w:rPr>
        <w:t>ab</w:t>
      </w:r>
      <w:r w:rsidR="00AE6CF3" w:rsidRPr="006849F5">
        <w:rPr>
          <w:rFonts w:ascii="Times New Roman" w:hAnsi="Times New Roman"/>
        </w:rPr>
        <w:t xml:space="preserve">. </w:t>
      </w:r>
      <w:r w:rsidR="00AE6CF3" w:rsidRPr="00AE6CF3">
        <w:rPr>
          <w:rFonts w:ascii="Times New Roman" w:hAnsi="Times New Roman"/>
        </w:rPr>
        <w:t>The Commission may give security over the whole or any part of its assets—</w:t>
      </w:r>
    </w:p>
    <w:p w14:paraId="23390A31" w14:textId="77777777" w:rsidR="00514D9A" w:rsidRPr="00AE6CF3" w:rsidRDefault="00AE6CF3" w:rsidP="0056568C">
      <w:pPr>
        <w:spacing w:after="0"/>
        <w:ind w:left="1008" w:hanging="432"/>
        <w:jc w:val="both"/>
        <w:rPr>
          <w:rFonts w:ascii="Times New Roman" w:hAnsi="Times New Roman"/>
        </w:rPr>
      </w:pPr>
      <w:r w:rsidRPr="00AE6CF3">
        <w:rPr>
          <w:rFonts w:ascii="Times New Roman" w:hAnsi="Times New Roman"/>
        </w:rPr>
        <w:t>(a) for the repayment of moneys borrowed under section 30 and the payment of any moneys that the Commission is otherwise liable to pay in respect of those borrowings; and</w:t>
      </w:r>
    </w:p>
    <w:p w14:paraId="5E48B598" w14:textId="77777777" w:rsidR="00514D9A" w:rsidRPr="00AE6CF3" w:rsidRDefault="00AE6CF3" w:rsidP="0056568C">
      <w:pPr>
        <w:spacing w:after="0"/>
        <w:ind w:left="1008" w:hanging="432"/>
        <w:jc w:val="both"/>
        <w:rPr>
          <w:rFonts w:ascii="Times New Roman" w:hAnsi="Times New Roman"/>
        </w:rPr>
      </w:pPr>
      <w:r w:rsidRPr="00AE6CF3">
        <w:rPr>
          <w:rFonts w:ascii="Times New Roman" w:hAnsi="Times New Roman"/>
        </w:rPr>
        <w:t>(b) for the payment of any moneys that the Commission is liable to pay in respect of dealings with securities in accordance with section 30</w:t>
      </w:r>
      <w:r w:rsidR="006849F5" w:rsidRPr="006849F5">
        <w:rPr>
          <w:rFonts w:ascii="Times New Roman" w:hAnsi="Times New Roman"/>
          <w:smallCaps/>
        </w:rPr>
        <w:t>aa</w:t>
      </w:r>
      <w:r w:rsidRPr="00AE6CF3">
        <w:rPr>
          <w:rFonts w:ascii="Times New Roman" w:hAnsi="Times New Roman"/>
        </w:rPr>
        <w:t>,</w:t>
      </w:r>
    </w:p>
    <w:p w14:paraId="266B601D" w14:textId="77777777" w:rsidR="00514D9A" w:rsidRPr="00AE6CF3" w:rsidRDefault="00AE6CF3" w:rsidP="0056568C">
      <w:pPr>
        <w:spacing w:before="60" w:after="0" w:line="240" w:lineRule="auto"/>
        <w:jc w:val="both"/>
        <w:rPr>
          <w:rFonts w:ascii="Times New Roman" w:hAnsi="Times New Roman"/>
        </w:rPr>
      </w:pPr>
      <w:r w:rsidRPr="00AE6CF3">
        <w:rPr>
          <w:rFonts w:ascii="Times New Roman" w:hAnsi="Times New Roman"/>
        </w:rPr>
        <w:t>including, but without limiting the generality of the foregoing, security for the payment of interest (if any) on moneys borrowed or otherwise raised by the Commission.</w:t>
      </w:r>
    </w:p>
    <w:p w14:paraId="0052EE7D" w14:textId="77777777" w:rsidR="00514D9A" w:rsidRPr="0056568C" w:rsidRDefault="00AE6CF3" w:rsidP="0056568C">
      <w:pPr>
        <w:spacing w:before="120" w:after="60" w:line="240" w:lineRule="auto"/>
        <w:jc w:val="both"/>
        <w:rPr>
          <w:rFonts w:ascii="Times New Roman" w:hAnsi="Times New Roman" w:cs="Times New Roman"/>
          <w:b/>
          <w:sz w:val="20"/>
        </w:rPr>
      </w:pPr>
      <w:r w:rsidRPr="0056568C">
        <w:rPr>
          <w:rFonts w:ascii="Times New Roman" w:hAnsi="Times New Roman" w:cs="Times New Roman"/>
          <w:b/>
          <w:sz w:val="20"/>
        </w:rPr>
        <w:t>Borrowings not otherwise permitted</w:t>
      </w:r>
    </w:p>
    <w:p w14:paraId="0893DC7F" w14:textId="77777777" w:rsidR="00101DBD" w:rsidRDefault="002158E6" w:rsidP="00E60DAB">
      <w:pPr>
        <w:spacing w:after="0" w:line="240" w:lineRule="auto"/>
        <w:ind w:firstLine="432"/>
        <w:jc w:val="both"/>
        <w:rPr>
          <w:rFonts w:ascii="Times New Roman" w:hAnsi="Times New Roman"/>
        </w:rPr>
      </w:pPr>
      <w:r>
        <w:rPr>
          <w:rFonts w:ascii="Times New Roman" w:hAnsi="Times New Roman"/>
        </w:rPr>
        <w:t>“</w:t>
      </w:r>
      <w:r w:rsidR="00AE6CF3" w:rsidRPr="00AE6CF3">
        <w:rPr>
          <w:rFonts w:ascii="Times New Roman" w:hAnsi="Times New Roman"/>
        </w:rPr>
        <w:t>30</w:t>
      </w:r>
      <w:r w:rsidR="0056568C" w:rsidRPr="0056568C">
        <w:rPr>
          <w:rFonts w:ascii="Times New Roman" w:hAnsi="Times New Roman"/>
          <w:smallCaps/>
        </w:rPr>
        <w:t>ac</w:t>
      </w:r>
      <w:r w:rsidR="00AE6CF3" w:rsidRPr="00AE6CF3">
        <w:rPr>
          <w:rFonts w:ascii="Times New Roman" w:hAnsi="Times New Roman"/>
        </w:rPr>
        <w:t>. The Commission shall not borrow, or otherwise raise, moneys except in accordance with sections 29, 30 and 30</w:t>
      </w:r>
      <w:r w:rsidR="005903C2" w:rsidRPr="005903C2">
        <w:rPr>
          <w:rFonts w:ascii="Times New Roman" w:hAnsi="Times New Roman"/>
          <w:smallCaps/>
        </w:rPr>
        <w:t>aa</w:t>
      </w:r>
      <w:r w:rsidR="00AE6CF3" w:rsidRPr="00AE6CF3">
        <w:rPr>
          <w:rFonts w:ascii="Times New Roman" w:hAnsi="Times New Roman"/>
        </w:rPr>
        <w:t>.</w:t>
      </w:r>
      <w:r>
        <w:rPr>
          <w:rFonts w:ascii="Times New Roman" w:hAnsi="Times New Roman"/>
        </w:rPr>
        <w:t>”</w:t>
      </w:r>
      <w:r w:rsidR="00AE6CF3" w:rsidRPr="00AE6CF3">
        <w:rPr>
          <w:rFonts w:ascii="Times New Roman" w:hAnsi="Times New Roman"/>
        </w:rPr>
        <w:t>.</w:t>
      </w:r>
    </w:p>
    <w:p w14:paraId="2AB48B37" w14:textId="77777777" w:rsidR="00794E96" w:rsidRDefault="00794E96">
      <w:pPr>
        <w:rPr>
          <w:rFonts w:ascii="Times New Roman" w:hAnsi="Times New Roman" w:cs="Times New Roman"/>
          <w:b/>
          <w:sz w:val="20"/>
        </w:rPr>
      </w:pPr>
      <w:r>
        <w:rPr>
          <w:rFonts w:ascii="Times New Roman" w:hAnsi="Times New Roman" w:cs="Times New Roman"/>
          <w:b/>
          <w:sz w:val="20"/>
        </w:rPr>
        <w:br w:type="page"/>
      </w:r>
    </w:p>
    <w:p w14:paraId="377D94BA" w14:textId="1274ECFE" w:rsidR="00514D9A" w:rsidRPr="00E60DAB" w:rsidRDefault="00AE6CF3" w:rsidP="00E60DAB">
      <w:pPr>
        <w:spacing w:before="120" w:after="60" w:line="240" w:lineRule="auto"/>
        <w:jc w:val="both"/>
        <w:rPr>
          <w:rFonts w:ascii="Times New Roman" w:hAnsi="Times New Roman" w:cs="Times New Roman"/>
          <w:b/>
          <w:sz w:val="20"/>
        </w:rPr>
      </w:pPr>
      <w:r w:rsidRPr="00E60DAB">
        <w:rPr>
          <w:rFonts w:ascii="Times New Roman" w:hAnsi="Times New Roman" w:cs="Times New Roman"/>
          <w:b/>
          <w:sz w:val="20"/>
        </w:rPr>
        <w:lastRenderedPageBreak/>
        <w:t>Authority to mine prescribed substances on behalf of or in association with the Commonwealth</w:t>
      </w:r>
    </w:p>
    <w:p w14:paraId="67BF8084" w14:textId="77777777" w:rsidR="00514D9A" w:rsidRPr="00AE6CF3" w:rsidRDefault="00AE6CF3" w:rsidP="0055018D">
      <w:pPr>
        <w:spacing w:after="0" w:line="240" w:lineRule="auto"/>
        <w:ind w:firstLine="432"/>
        <w:jc w:val="both"/>
        <w:rPr>
          <w:rFonts w:ascii="Times New Roman" w:hAnsi="Times New Roman"/>
        </w:rPr>
      </w:pPr>
      <w:r w:rsidRPr="0055018D">
        <w:rPr>
          <w:rFonts w:ascii="Times New Roman" w:hAnsi="Times New Roman" w:cs="Times New Roman"/>
          <w:b/>
        </w:rPr>
        <w:t xml:space="preserve">5. </w:t>
      </w:r>
      <w:r w:rsidRPr="00E60DAB">
        <w:rPr>
          <w:rFonts w:ascii="Times New Roman" w:hAnsi="Times New Roman" w:cs="Times New Roman"/>
        </w:rPr>
        <w:t>Section 41 of the Principal Act is amended by inserting after sub-section (2) the</w:t>
      </w:r>
      <w:r w:rsidRPr="00E60DAB">
        <w:rPr>
          <w:rFonts w:ascii="Times New Roman" w:hAnsi="Times New Roman" w:cs="Times New Roman"/>
          <w:b/>
        </w:rPr>
        <w:t xml:space="preserve"> </w:t>
      </w:r>
      <w:r w:rsidRPr="00AE6CF3">
        <w:rPr>
          <w:rFonts w:ascii="Times New Roman" w:hAnsi="Times New Roman"/>
        </w:rPr>
        <w:t>following sub-sections:</w:t>
      </w:r>
    </w:p>
    <w:p w14:paraId="38B2417D" w14:textId="77777777" w:rsidR="00514D9A" w:rsidRPr="00AE6CF3" w:rsidRDefault="002158E6" w:rsidP="0055018D">
      <w:pPr>
        <w:spacing w:before="60" w:after="0" w:line="240" w:lineRule="auto"/>
        <w:ind w:firstLine="432"/>
        <w:jc w:val="both"/>
        <w:rPr>
          <w:rFonts w:ascii="Times New Roman" w:hAnsi="Times New Roman"/>
        </w:rPr>
      </w:pPr>
      <w:r>
        <w:rPr>
          <w:rFonts w:ascii="Times New Roman" w:hAnsi="Times New Roman"/>
        </w:rPr>
        <w:t>“</w:t>
      </w:r>
      <w:r w:rsidR="00AE6CF3" w:rsidRPr="00AE6CF3">
        <w:rPr>
          <w:rFonts w:ascii="Times New Roman" w:hAnsi="Times New Roman"/>
        </w:rPr>
        <w:t>(2</w:t>
      </w:r>
      <w:r w:rsidR="00EE2DCD" w:rsidRPr="00EE2DCD">
        <w:rPr>
          <w:rFonts w:ascii="Times New Roman" w:hAnsi="Times New Roman"/>
          <w:smallCaps/>
        </w:rPr>
        <w:t>aa</w:t>
      </w:r>
      <w:r w:rsidR="00AE6CF3" w:rsidRPr="00AE6CF3">
        <w:rPr>
          <w:rFonts w:ascii="Times New Roman" w:hAnsi="Times New Roman"/>
        </w:rPr>
        <w:t xml:space="preserve">) Operations carried on </w:t>
      </w:r>
      <w:proofErr w:type="spellStart"/>
      <w:r w:rsidR="00AE6CF3" w:rsidRPr="00AE6CF3">
        <w:rPr>
          <w:rFonts w:ascii="Times New Roman" w:hAnsi="Times New Roman"/>
        </w:rPr>
        <w:t>on</w:t>
      </w:r>
      <w:proofErr w:type="spellEnd"/>
      <w:r w:rsidR="00AE6CF3" w:rsidRPr="00AE6CF3">
        <w:rPr>
          <w:rFonts w:ascii="Times New Roman" w:hAnsi="Times New Roman"/>
        </w:rPr>
        <w:t xml:space="preserve"> the Ranger Project Area by the person or persons specified in an authority under this section (being an authority, whether granted before or after the commencement of this sub-section, that authorizes, or purports to authorize, that person, or those persons as joint </w:t>
      </w:r>
      <w:proofErr w:type="spellStart"/>
      <w:r w:rsidR="00AE6CF3" w:rsidRPr="00AE6CF3">
        <w:rPr>
          <w:rFonts w:ascii="Times New Roman" w:hAnsi="Times New Roman"/>
        </w:rPr>
        <w:t>venturers</w:t>
      </w:r>
      <w:proofErr w:type="spellEnd"/>
      <w:r w:rsidR="00AE6CF3" w:rsidRPr="00AE6CF3">
        <w:rPr>
          <w:rFonts w:ascii="Times New Roman" w:hAnsi="Times New Roman"/>
        </w:rPr>
        <w:t xml:space="preserve">, to carry on, on behalf of the Commonwealth, operations in accordance with this section on the Ranger Project Area subject to conditions and restrictions specified in the authority) shall, if carried on as provided by the authority and in accordance with the Ranger Project agreement, be deemed, for the purposes of this Act, to be carried on </w:t>
      </w:r>
      <w:proofErr w:type="spellStart"/>
      <w:r w:rsidR="00AE6CF3" w:rsidRPr="00AE6CF3">
        <w:rPr>
          <w:rFonts w:ascii="Times New Roman" w:hAnsi="Times New Roman"/>
        </w:rPr>
        <w:t>on</w:t>
      </w:r>
      <w:proofErr w:type="spellEnd"/>
      <w:r w:rsidR="00AE6CF3" w:rsidRPr="00AE6CF3">
        <w:rPr>
          <w:rFonts w:ascii="Times New Roman" w:hAnsi="Times New Roman"/>
        </w:rPr>
        <w:t xml:space="preserve"> behalf of the Commonwealth and to be authorized by the authority.</w:t>
      </w:r>
    </w:p>
    <w:p w14:paraId="298723B7" w14:textId="77777777" w:rsidR="00514D9A" w:rsidRPr="00AE6CF3" w:rsidRDefault="002158E6" w:rsidP="0055018D">
      <w:pPr>
        <w:spacing w:before="60" w:after="0" w:line="240" w:lineRule="auto"/>
        <w:ind w:firstLine="432"/>
        <w:jc w:val="both"/>
        <w:rPr>
          <w:rFonts w:ascii="Times New Roman" w:hAnsi="Times New Roman"/>
        </w:rPr>
      </w:pPr>
      <w:r>
        <w:rPr>
          <w:rFonts w:ascii="Times New Roman" w:hAnsi="Times New Roman"/>
        </w:rPr>
        <w:t>“</w:t>
      </w:r>
      <w:r w:rsidR="00AE6CF3" w:rsidRPr="00AE6CF3">
        <w:rPr>
          <w:rFonts w:ascii="Times New Roman" w:hAnsi="Times New Roman"/>
        </w:rPr>
        <w:t>(2</w:t>
      </w:r>
      <w:r w:rsidR="00EE2DCD" w:rsidRPr="00EE2DCD">
        <w:rPr>
          <w:rFonts w:ascii="Times New Roman" w:hAnsi="Times New Roman"/>
          <w:smallCaps/>
        </w:rPr>
        <w:t>ab</w:t>
      </w:r>
      <w:r w:rsidR="00AE6CF3" w:rsidRPr="00AE6CF3">
        <w:rPr>
          <w:rFonts w:ascii="Times New Roman" w:hAnsi="Times New Roman"/>
        </w:rPr>
        <w:t>) The reference in sub-section (2</w:t>
      </w:r>
      <w:r w:rsidR="006849F5" w:rsidRPr="006849F5">
        <w:rPr>
          <w:rFonts w:ascii="Times New Roman" w:hAnsi="Times New Roman"/>
          <w:smallCaps/>
        </w:rPr>
        <w:t>aa</w:t>
      </w:r>
      <w:r w:rsidR="00AE6CF3" w:rsidRPr="00AE6CF3">
        <w:rPr>
          <w:rFonts w:ascii="Times New Roman" w:hAnsi="Times New Roman"/>
        </w:rPr>
        <w:t>) to the Ranger Project agreement shall be construed as a reference to the agreement known as the Ranger Uranium Project Government Agreement that was made on 9 Januar</w:t>
      </w:r>
      <w:bookmarkStart w:id="0" w:name="_GoBack"/>
      <w:bookmarkEnd w:id="0"/>
      <w:r w:rsidR="00AE6CF3" w:rsidRPr="00AE6CF3">
        <w:rPr>
          <w:rFonts w:ascii="Times New Roman" w:hAnsi="Times New Roman"/>
        </w:rPr>
        <w:t>y 1979 between the Commonwealth, Peko-Wallsend Operations Ltd., Electrolytic Zinc Company of Australasia Limited and the Commission or, if that agreement is amended, that agreement as amended.</w:t>
      </w:r>
      <w:r>
        <w:rPr>
          <w:rFonts w:ascii="Times New Roman" w:hAnsi="Times New Roman"/>
        </w:rPr>
        <w:t>”</w:t>
      </w:r>
      <w:r w:rsidR="00AE6CF3" w:rsidRPr="00AE6CF3">
        <w:rPr>
          <w:rFonts w:ascii="Times New Roman" w:hAnsi="Times New Roman"/>
        </w:rPr>
        <w:t>.</w:t>
      </w:r>
    </w:p>
    <w:p w14:paraId="4071EC03" w14:textId="77777777" w:rsidR="00651A08" w:rsidRPr="00651A08" w:rsidRDefault="00651A08" w:rsidP="00651A08">
      <w:pPr>
        <w:pBdr>
          <w:top w:val="single" w:sz="4" w:space="1" w:color="auto"/>
        </w:pBdr>
        <w:spacing w:before="200" w:after="200" w:line="240" w:lineRule="auto"/>
        <w:jc w:val="center"/>
        <w:rPr>
          <w:rFonts w:ascii="Times New Roman" w:hAnsi="Times New Roman"/>
          <w:b/>
          <w:sz w:val="2"/>
        </w:rPr>
      </w:pPr>
    </w:p>
    <w:p w14:paraId="2FFE6F84" w14:textId="33043A5E" w:rsidR="00514D9A" w:rsidRPr="00794E96" w:rsidRDefault="00CB2C07" w:rsidP="00794E96">
      <w:pPr>
        <w:spacing w:after="0" w:line="240" w:lineRule="auto"/>
        <w:jc w:val="center"/>
        <w:rPr>
          <w:rFonts w:ascii="Times New Roman" w:hAnsi="Times New Roman"/>
          <w:b/>
        </w:rPr>
      </w:pPr>
    </w:p>
    <w:sectPr w:rsidR="00514D9A" w:rsidRPr="00794E96" w:rsidSect="0040433C">
      <w:headerReference w:type="default" r:id="rId7"/>
      <w:pgSz w:w="10080" w:h="14400" w:code="9"/>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C89A47" w15:done="0"/>
  <w15:commentEx w15:paraId="0E15B1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89A47" w16cid:durableId="1F94E926"/>
  <w16cid:commentId w16cid:paraId="0E15B1A5" w16cid:durableId="1F94E9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E7029" w14:textId="77777777" w:rsidR="00ED3DC6" w:rsidRDefault="00ED3DC6" w:rsidP="002158E6">
      <w:pPr>
        <w:spacing w:after="0" w:line="240" w:lineRule="auto"/>
      </w:pPr>
      <w:r>
        <w:separator/>
      </w:r>
    </w:p>
  </w:endnote>
  <w:endnote w:type="continuationSeparator" w:id="0">
    <w:p w14:paraId="5E3F7A7D" w14:textId="77777777" w:rsidR="00ED3DC6" w:rsidRDefault="00ED3DC6" w:rsidP="00215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A372A" w14:textId="77777777" w:rsidR="00ED3DC6" w:rsidRDefault="00ED3DC6" w:rsidP="002158E6">
      <w:pPr>
        <w:spacing w:after="0" w:line="240" w:lineRule="auto"/>
      </w:pPr>
      <w:r>
        <w:separator/>
      </w:r>
    </w:p>
  </w:footnote>
  <w:footnote w:type="continuationSeparator" w:id="0">
    <w:p w14:paraId="41703C14" w14:textId="77777777" w:rsidR="00ED3DC6" w:rsidRDefault="00ED3DC6" w:rsidP="00215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ECB9A" w14:textId="4E4B5E09" w:rsidR="002158E6" w:rsidRPr="00506442" w:rsidRDefault="002158E6" w:rsidP="00506442">
    <w:pPr>
      <w:spacing w:after="0" w:line="240" w:lineRule="auto"/>
      <w:jc w:val="center"/>
      <w:rPr>
        <w:rFonts w:ascii="Times New Roman" w:hAnsi="Times New Roman"/>
        <w:sz w:val="20"/>
      </w:rPr>
    </w:pPr>
    <w:r w:rsidRPr="00506442">
      <w:rPr>
        <w:rFonts w:ascii="Times New Roman" w:hAnsi="Times New Roman"/>
        <w:i/>
        <w:sz w:val="20"/>
      </w:rPr>
      <w:t>Atomic Energy Amendment</w:t>
    </w:r>
    <w:r w:rsidR="00794E96">
      <w:rPr>
        <w:rFonts w:ascii="Times New Roman" w:hAnsi="Times New Roman"/>
        <w:i/>
        <w:sz w:val="20"/>
      </w:rPr>
      <w:t xml:space="preserve"> </w:t>
    </w:r>
    <w:r w:rsidRPr="00506442">
      <w:rPr>
        <w:rFonts w:ascii="Times New Roman" w:hAnsi="Times New Roman"/>
        <w:i/>
        <w:sz w:val="20"/>
      </w:rPr>
      <w:t>(No. 2)</w:t>
    </w:r>
    <w:r w:rsidR="00794E96">
      <w:rPr>
        <w:rFonts w:ascii="Times New Roman" w:hAnsi="Times New Roman"/>
        <w:i/>
        <w:sz w:val="20"/>
      </w:rPr>
      <w:tab/>
    </w:r>
    <w:r w:rsidR="00794E96">
      <w:rPr>
        <w:rFonts w:ascii="Times New Roman" w:hAnsi="Times New Roman"/>
        <w:i/>
        <w:sz w:val="20"/>
      </w:rPr>
      <w:tab/>
    </w:r>
    <w:r w:rsidRPr="00506442">
      <w:rPr>
        <w:rFonts w:ascii="Times New Roman" w:hAnsi="Times New Roman"/>
        <w:i/>
        <w:sz w:val="20"/>
      </w:rPr>
      <w:t xml:space="preserve"> No. 119, 1980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514884"/>
    <w:rsid w:val="000C0809"/>
    <w:rsid w:val="000C3DCF"/>
    <w:rsid w:val="00101DBD"/>
    <w:rsid w:val="00106FBA"/>
    <w:rsid w:val="00180F7B"/>
    <w:rsid w:val="00197D2A"/>
    <w:rsid w:val="001C2FFF"/>
    <w:rsid w:val="002158E6"/>
    <w:rsid w:val="002670D3"/>
    <w:rsid w:val="0027774C"/>
    <w:rsid w:val="002B4951"/>
    <w:rsid w:val="003D4E6C"/>
    <w:rsid w:val="0040433C"/>
    <w:rsid w:val="00416F6D"/>
    <w:rsid w:val="004F63CF"/>
    <w:rsid w:val="00506442"/>
    <w:rsid w:val="00514884"/>
    <w:rsid w:val="0055018D"/>
    <w:rsid w:val="0056568C"/>
    <w:rsid w:val="005903C2"/>
    <w:rsid w:val="00613F90"/>
    <w:rsid w:val="00634728"/>
    <w:rsid w:val="00651A08"/>
    <w:rsid w:val="00660607"/>
    <w:rsid w:val="00671E15"/>
    <w:rsid w:val="006849F5"/>
    <w:rsid w:val="006863EC"/>
    <w:rsid w:val="0077195E"/>
    <w:rsid w:val="00794E96"/>
    <w:rsid w:val="007955C7"/>
    <w:rsid w:val="007B1BAC"/>
    <w:rsid w:val="007D1967"/>
    <w:rsid w:val="00972EBC"/>
    <w:rsid w:val="00993F13"/>
    <w:rsid w:val="00A01F0C"/>
    <w:rsid w:val="00A068E9"/>
    <w:rsid w:val="00A51008"/>
    <w:rsid w:val="00A873B4"/>
    <w:rsid w:val="00AE6CF3"/>
    <w:rsid w:val="00B45793"/>
    <w:rsid w:val="00B60906"/>
    <w:rsid w:val="00BF288D"/>
    <w:rsid w:val="00C55687"/>
    <w:rsid w:val="00CB2C07"/>
    <w:rsid w:val="00D01536"/>
    <w:rsid w:val="00DA67B1"/>
    <w:rsid w:val="00DB404E"/>
    <w:rsid w:val="00DD6D40"/>
    <w:rsid w:val="00E251B3"/>
    <w:rsid w:val="00E60DAB"/>
    <w:rsid w:val="00E90055"/>
    <w:rsid w:val="00ED3DC6"/>
    <w:rsid w:val="00ED6FFE"/>
    <w:rsid w:val="00EE2DCD"/>
    <w:rsid w:val="00EF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D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D1967"/>
    <w:pPr>
      <w:spacing w:after="0" w:line="240" w:lineRule="auto"/>
    </w:pPr>
    <w:rPr>
      <w:rFonts w:ascii="Bookman Old Style" w:eastAsia="Bookman Old Style" w:hAnsi="Bookman Old Style" w:cs="Bookman Old Style"/>
      <w:sz w:val="20"/>
      <w:szCs w:val="20"/>
    </w:rPr>
  </w:style>
  <w:style w:type="paragraph" w:customStyle="1" w:styleId="Style5">
    <w:name w:val="Style5"/>
    <w:basedOn w:val="Normal"/>
    <w:rsid w:val="007D1967"/>
    <w:pPr>
      <w:spacing w:after="0" w:line="240" w:lineRule="auto"/>
    </w:pPr>
    <w:rPr>
      <w:rFonts w:ascii="Bookman Old Style" w:eastAsia="Bookman Old Style" w:hAnsi="Bookman Old Style" w:cs="Bookman Old Style"/>
      <w:sz w:val="20"/>
      <w:szCs w:val="20"/>
    </w:rPr>
  </w:style>
  <w:style w:type="paragraph" w:customStyle="1" w:styleId="Style17">
    <w:name w:val="Style17"/>
    <w:basedOn w:val="Normal"/>
    <w:rsid w:val="007D1967"/>
    <w:pPr>
      <w:spacing w:after="0" w:line="240" w:lineRule="auto"/>
    </w:pPr>
    <w:rPr>
      <w:rFonts w:ascii="Bookman Old Style" w:eastAsia="Bookman Old Style" w:hAnsi="Bookman Old Style" w:cs="Bookman Old Style"/>
      <w:sz w:val="20"/>
      <w:szCs w:val="20"/>
    </w:rPr>
  </w:style>
  <w:style w:type="paragraph" w:customStyle="1" w:styleId="Style15">
    <w:name w:val="Style15"/>
    <w:basedOn w:val="Normal"/>
    <w:rsid w:val="007D1967"/>
    <w:pPr>
      <w:spacing w:after="0" w:line="240" w:lineRule="auto"/>
    </w:pPr>
    <w:rPr>
      <w:rFonts w:ascii="Bookman Old Style" w:eastAsia="Bookman Old Style" w:hAnsi="Bookman Old Style" w:cs="Bookman Old Style"/>
      <w:sz w:val="20"/>
      <w:szCs w:val="20"/>
    </w:rPr>
  </w:style>
  <w:style w:type="paragraph" w:customStyle="1" w:styleId="Style10">
    <w:name w:val="Style10"/>
    <w:basedOn w:val="Normal"/>
    <w:rsid w:val="007D1967"/>
    <w:pPr>
      <w:spacing w:after="0" w:line="240" w:lineRule="auto"/>
    </w:pPr>
    <w:rPr>
      <w:rFonts w:ascii="Bookman Old Style" w:eastAsia="Bookman Old Style" w:hAnsi="Bookman Old Style" w:cs="Bookman Old Style"/>
      <w:sz w:val="20"/>
      <w:szCs w:val="20"/>
    </w:rPr>
  </w:style>
  <w:style w:type="paragraph" w:customStyle="1" w:styleId="Style13">
    <w:name w:val="Style13"/>
    <w:basedOn w:val="Normal"/>
    <w:rsid w:val="007D1967"/>
    <w:pPr>
      <w:spacing w:after="0" w:line="240" w:lineRule="auto"/>
    </w:pPr>
    <w:rPr>
      <w:rFonts w:ascii="Bookman Old Style" w:eastAsia="Bookman Old Style" w:hAnsi="Bookman Old Style" w:cs="Bookman Old Style"/>
      <w:sz w:val="20"/>
      <w:szCs w:val="20"/>
    </w:rPr>
  </w:style>
  <w:style w:type="paragraph" w:customStyle="1" w:styleId="Style18">
    <w:name w:val="Style18"/>
    <w:basedOn w:val="Normal"/>
    <w:rsid w:val="007D1967"/>
    <w:pPr>
      <w:spacing w:after="0" w:line="240" w:lineRule="auto"/>
    </w:pPr>
    <w:rPr>
      <w:rFonts w:ascii="Bookman Old Style" w:eastAsia="Bookman Old Style" w:hAnsi="Bookman Old Style" w:cs="Bookman Old Style"/>
      <w:sz w:val="20"/>
      <w:szCs w:val="20"/>
    </w:rPr>
  </w:style>
  <w:style w:type="paragraph" w:customStyle="1" w:styleId="Style21">
    <w:name w:val="Style21"/>
    <w:basedOn w:val="Normal"/>
    <w:rsid w:val="007D1967"/>
    <w:pPr>
      <w:spacing w:after="0" w:line="240" w:lineRule="auto"/>
    </w:pPr>
    <w:rPr>
      <w:rFonts w:ascii="Bookman Old Style" w:eastAsia="Bookman Old Style" w:hAnsi="Bookman Old Style" w:cs="Bookman Old Style"/>
      <w:sz w:val="20"/>
      <w:szCs w:val="20"/>
    </w:rPr>
  </w:style>
  <w:style w:type="paragraph" w:customStyle="1" w:styleId="Style22">
    <w:name w:val="Style22"/>
    <w:basedOn w:val="Normal"/>
    <w:rsid w:val="007D1967"/>
    <w:pPr>
      <w:spacing w:after="0" w:line="240" w:lineRule="auto"/>
    </w:pPr>
    <w:rPr>
      <w:rFonts w:ascii="Bookman Old Style" w:eastAsia="Bookman Old Style" w:hAnsi="Bookman Old Style" w:cs="Bookman Old Style"/>
      <w:sz w:val="20"/>
      <w:szCs w:val="20"/>
    </w:rPr>
  </w:style>
  <w:style w:type="paragraph" w:customStyle="1" w:styleId="Style51">
    <w:name w:val="Style51"/>
    <w:basedOn w:val="Normal"/>
    <w:rsid w:val="007D1967"/>
    <w:pPr>
      <w:spacing w:after="0" w:line="240" w:lineRule="auto"/>
    </w:pPr>
    <w:rPr>
      <w:rFonts w:ascii="Bookman Old Style" w:eastAsia="Bookman Old Style" w:hAnsi="Bookman Old Style" w:cs="Bookman Old Style"/>
      <w:sz w:val="20"/>
      <w:szCs w:val="20"/>
    </w:rPr>
  </w:style>
  <w:style w:type="paragraph" w:customStyle="1" w:styleId="Style48">
    <w:name w:val="Style48"/>
    <w:basedOn w:val="Normal"/>
    <w:rsid w:val="007D1967"/>
    <w:pPr>
      <w:spacing w:after="0" w:line="240" w:lineRule="auto"/>
    </w:pPr>
    <w:rPr>
      <w:rFonts w:ascii="Bookman Old Style" w:eastAsia="Bookman Old Style" w:hAnsi="Bookman Old Style" w:cs="Bookman Old Style"/>
      <w:sz w:val="20"/>
      <w:szCs w:val="20"/>
    </w:rPr>
  </w:style>
  <w:style w:type="paragraph" w:customStyle="1" w:styleId="Style163">
    <w:name w:val="Style163"/>
    <w:basedOn w:val="Normal"/>
    <w:rsid w:val="007D1967"/>
    <w:pPr>
      <w:spacing w:after="0" w:line="240" w:lineRule="auto"/>
    </w:pPr>
    <w:rPr>
      <w:rFonts w:ascii="Bookman Old Style" w:eastAsia="Bookman Old Style" w:hAnsi="Bookman Old Style" w:cs="Bookman Old Style"/>
      <w:sz w:val="20"/>
      <w:szCs w:val="20"/>
    </w:rPr>
  </w:style>
  <w:style w:type="character" w:customStyle="1" w:styleId="CharStyle0">
    <w:name w:val="CharStyle0"/>
    <w:basedOn w:val="DefaultParagraphFont"/>
    <w:rsid w:val="007D1967"/>
    <w:rPr>
      <w:rFonts w:ascii="Bookman Old Style" w:eastAsia="Bookman Old Style" w:hAnsi="Bookman Old Style" w:cs="Bookman Old Style"/>
      <w:b/>
      <w:bCs/>
      <w:i w:val="0"/>
      <w:iCs w:val="0"/>
      <w:smallCaps w:val="0"/>
      <w:sz w:val="28"/>
      <w:szCs w:val="28"/>
    </w:rPr>
  </w:style>
  <w:style w:type="character" w:customStyle="1" w:styleId="CharStyle2">
    <w:name w:val="CharStyle2"/>
    <w:basedOn w:val="DefaultParagraphFont"/>
    <w:rsid w:val="007D1967"/>
    <w:rPr>
      <w:rFonts w:ascii="Bookman Old Style" w:eastAsia="Bookman Old Style" w:hAnsi="Bookman Old Style" w:cs="Bookman Old Style"/>
      <w:b w:val="0"/>
      <w:bCs w:val="0"/>
      <w:i/>
      <w:iCs/>
      <w:smallCaps w:val="0"/>
      <w:sz w:val="24"/>
      <w:szCs w:val="24"/>
    </w:rPr>
  </w:style>
  <w:style w:type="character" w:customStyle="1" w:styleId="CharStyle3">
    <w:name w:val="CharStyle3"/>
    <w:basedOn w:val="DefaultParagraphFont"/>
    <w:rsid w:val="007D1967"/>
    <w:rPr>
      <w:rFonts w:ascii="Bookman Old Style" w:eastAsia="Bookman Old Style" w:hAnsi="Bookman Old Style" w:cs="Bookman Old Style"/>
      <w:b w:val="0"/>
      <w:bCs w:val="0"/>
      <w:i w:val="0"/>
      <w:iCs w:val="0"/>
      <w:smallCaps w:val="0"/>
      <w:sz w:val="24"/>
      <w:szCs w:val="24"/>
    </w:rPr>
  </w:style>
  <w:style w:type="character" w:customStyle="1" w:styleId="CharStyle4">
    <w:name w:val="CharStyle4"/>
    <w:basedOn w:val="DefaultParagraphFont"/>
    <w:rsid w:val="007D1967"/>
    <w:rPr>
      <w:rFonts w:ascii="Bookman Old Style" w:eastAsia="Bookman Old Style" w:hAnsi="Bookman Old Style" w:cs="Bookman Old Style"/>
      <w:b w:val="0"/>
      <w:bCs w:val="0"/>
      <w:i/>
      <w:iCs/>
      <w:smallCaps w:val="0"/>
      <w:sz w:val="18"/>
      <w:szCs w:val="18"/>
    </w:rPr>
  </w:style>
  <w:style w:type="character" w:customStyle="1" w:styleId="CharStyle5">
    <w:name w:val="CharStyle5"/>
    <w:basedOn w:val="DefaultParagraphFont"/>
    <w:rsid w:val="007D1967"/>
    <w:rPr>
      <w:rFonts w:ascii="Bookman Old Style" w:eastAsia="Bookman Old Style" w:hAnsi="Bookman Old Style" w:cs="Bookman Old Style"/>
      <w:b w:val="0"/>
      <w:bCs w:val="0"/>
      <w:i w:val="0"/>
      <w:iCs w:val="0"/>
      <w:smallCaps w:val="0"/>
      <w:sz w:val="18"/>
      <w:szCs w:val="18"/>
    </w:rPr>
  </w:style>
  <w:style w:type="character" w:customStyle="1" w:styleId="CharStyle13">
    <w:name w:val="CharStyle13"/>
    <w:basedOn w:val="DefaultParagraphFont"/>
    <w:rsid w:val="007D1967"/>
    <w:rPr>
      <w:rFonts w:ascii="Bookman Old Style" w:eastAsia="Bookman Old Style" w:hAnsi="Bookman Old Style" w:cs="Bookman Old Style"/>
      <w:b w:val="0"/>
      <w:bCs w:val="0"/>
      <w:i w:val="0"/>
      <w:iCs w:val="0"/>
      <w:smallCaps w:val="0"/>
      <w:sz w:val="16"/>
      <w:szCs w:val="16"/>
    </w:rPr>
  </w:style>
  <w:style w:type="character" w:customStyle="1" w:styleId="CharStyle26">
    <w:name w:val="CharStyle26"/>
    <w:basedOn w:val="DefaultParagraphFont"/>
    <w:rsid w:val="007D1967"/>
    <w:rPr>
      <w:rFonts w:ascii="Bookman Old Style" w:eastAsia="Bookman Old Style" w:hAnsi="Bookman Old Style" w:cs="Bookman Old Style"/>
      <w:b/>
      <w:bCs/>
      <w:i w:val="0"/>
      <w:iCs w:val="0"/>
      <w:smallCaps w:val="0"/>
      <w:sz w:val="18"/>
      <w:szCs w:val="18"/>
    </w:rPr>
  </w:style>
  <w:style w:type="character" w:customStyle="1" w:styleId="CharStyle125">
    <w:name w:val="CharStyle125"/>
    <w:basedOn w:val="DefaultParagraphFont"/>
    <w:rsid w:val="007D1967"/>
    <w:rPr>
      <w:rFonts w:ascii="Bookman Old Style" w:eastAsia="Bookman Old Style" w:hAnsi="Bookman Old Style" w:cs="Bookman Old Style"/>
      <w:b w:val="0"/>
      <w:bCs w:val="0"/>
      <w:i w:val="0"/>
      <w:iCs w:val="0"/>
      <w:smallCaps w:val="0"/>
      <w:sz w:val="18"/>
      <w:szCs w:val="18"/>
    </w:rPr>
  </w:style>
  <w:style w:type="character" w:customStyle="1" w:styleId="CharStyle127">
    <w:name w:val="CharStyle127"/>
    <w:basedOn w:val="DefaultParagraphFont"/>
    <w:rsid w:val="007D1967"/>
    <w:rPr>
      <w:rFonts w:ascii="Bookman Old Style" w:eastAsia="Bookman Old Style" w:hAnsi="Bookman Old Style" w:cs="Bookman Old Style"/>
      <w:b/>
      <w:bCs/>
      <w:i w:val="0"/>
      <w:iCs w:val="0"/>
      <w:smallCaps w:val="0"/>
      <w:spacing w:val="10"/>
      <w:sz w:val="16"/>
      <w:szCs w:val="16"/>
    </w:rPr>
  </w:style>
  <w:style w:type="character" w:customStyle="1" w:styleId="CharStyle130">
    <w:name w:val="CharStyle130"/>
    <w:basedOn w:val="DefaultParagraphFont"/>
    <w:rsid w:val="007D1967"/>
    <w:rPr>
      <w:rFonts w:ascii="Bookman Old Style" w:eastAsia="Bookman Old Style" w:hAnsi="Bookman Old Style" w:cs="Bookman Old Style"/>
      <w:b/>
      <w:bCs/>
      <w:i w:val="0"/>
      <w:iCs w:val="0"/>
      <w:smallCaps w:val="0"/>
      <w:sz w:val="16"/>
      <w:szCs w:val="16"/>
    </w:rPr>
  </w:style>
  <w:style w:type="character" w:customStyle="1" w:styleId="CharStyle436">
    <w:name w:val="CharStyle436"/>
    <w:basedOn w:val="DefaultParagraphFont"/>
    <w:rsid w:val="007D1967"/>
    <w:rPr>
      <w:rFonts w:ascii="Bookman Old Style" w:eastAsia="Bookman Old Style" w:hAnsi="Bookman Old Style" w:cs="Bookman Old Style"/>
      <w:b w:val="0"/>
      <w:bCs w:val="0"/>
      <w:i w:val="0"/>
      <w:iCs w:val="0"/>
      <w:smallCaps w:val="0"/>
      <w:spacing w:val="10"/>
      <w:sz w:val="18"/>
      <w:szCs w:val="18"/>
    </w:rPr>
  </w:style>
  <w:style w:type="paragraph" w:styleId="Header">
    <w:name w:val="header"/>
    <w:basedOn w:val="Normal"/>
    <w:link w:val="HeaderChar"/>
    <w:uiPriority w:val="99"/>
    <w:unhideWhenUsed/>
    <w:rsid w:val="00215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8E6"/>
  </w:style>
  <w:style w:type="paragraph" w:styleId="Footer">
    <w:name w:val="footer"/>
    <w:basedOn w:val="Normal"/>
    <w:link w:val="FooterChar"/>
    <w:uiPriority w:val="99"/>
    <w:unhideWhenUsed/>
    <w:rsid w:val="00215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8E6"/>
  </w:style>
  <w:style w:type="character" w:styleId="CommentReference">
    <w:name w:val="annotation reference"/>
    <w:basedOn w:val="DefaultParagraphFont"/>
    <w:uiPriority w:val="99"/>
    <w:semiHidden/>
    <w:unhideWhenUsed/>
    <w:rsid w:val="00B60906"/>
    <w:rPr>
      <w:sz w:val="16"/>
      <w:szCs w:val="16"/>
    </w:rPr>
  </w:style>
  <w:style w:type="paragraph" w:styleId="CommentText">
    <w:name w:val="annotation text"/>
    <w:basedOn w:val="Normal"/>
    <w:link w:val="CommentTextChar"/>
    <w:uiPriority w:val="99"/>
    <w:semiHidden/>
    <w:unhideWhenUsed/>
    <w:rsid w:val="00B60906"/>
    <w:pPr>
      <w:spacing w:line="240" w:lineRule="auto"/>
    </w:pPr>
    <w:rPr>
      <w:sz w:val="20"/>
      <w:szCs w:val="20"/>
    </w:rPr>
  </w:style>
  <w:style w:type="character" w:customStyle="1" w:styleId="CommentTextChar">
    <w:name w:val="Comment Text Char"/>
    <w:basedOn w:val="DefaultParagraphFont"/>
    <w:link w:val="CommentText"/>
    <w:uiPriority w:val="99"/>
    <w:semiHidden/>
    <w:rsid w:val="00B60906"/>
    <w:rPr>
      <w:sz w:val="20"/>
      <w:szCs w:val="20"/>
    </w:rPr>
  </w:style>
  <w:style w:type="paragraph" w:styleId="CommentSubject">
    <w:name w:val="annotation subject"/>
    <w:basedOn w:val="CommentText"/>
    <w:next w:val="CommentText"/>
    <w:link w:val="CommentSubjectChar"/>
    <w:uiPriority w:val="99"/>
    <w:semiHidden/>
    <w:unhideWhenUsed/>
    <w:rsid w:val="00B60906"/>
    <w:rPr>
      <w:b/>
      <w:bCs/>
    </w:rPr>
  </w:style>
  <w:style w:type="character" w:customStyle="1" w:styleId="CommentSubjectChar">
    <w:name w:val="Comment Subject Char"/>
    <w:basedOn w:val="CommentTextChar"/>
    <w:link w:val="CommentSubject"/>
    <w:uiPriority w:val="99"/>
    <w:semiHidden/>
    <w:rsid w:val="00B60906"/>
    <w:rPr>
      <w:b/>
      <w:bCs/>
      <w:sz w:val="20"/>
      <w:szCs w:val="20"/>
    </w:rPr>
  </w:style>
  <w:style w:type="paragraph" w:styleId="BalloonText">
    <w:name w:val="Balloon Text"/>
    <w:basedOn w:val="Normal"/>
    <w:link w:val="BalloonTextChar"/>
    <w:uiPriority w:val="99"/>
    <w:semiHidden/>
    <w:unhideWhenUsed/>
    <w:rsid w:val="00B60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9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2018-11-12T20:11:00Z</dcterms:created>
  <dcterms:modified xsi:type="dcterms:W3CDTF">2019-11-08T03:40:00Z</dcterms:modified>
</cp:coreProperties>
</file>