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15E79" w14:textId="77777777" w:rsidR="00A150B3" w:rsidRDefault="00A150B3" w:rsidP="00505EB5">
      <w:pPr>
        <w:spacing w:after="120" w:line="240" w:lineRule="auto"/>
        <w:jc w:val="center"/>
        <w:rPr>
          <w:rFonts w:ascii="Times New Roman" w:hAnsi="Times New Roman" w:cs="Times New Roman"/>
          <w:b/>
          <w:sz w:val="36"/>
          <w:lang w:val="en-US"/>
        </w:rPr>
      </w:pPr>
      <w:r>
        <w:rPr>
          <w:rFonts w:ascii="Times New Roman" w:hAnsi="Times New Roman" w:cs="Times New Roman"/>
          <w:b/>
          <w:noProof/>
          <w:sz w:val="36"/>
          <w:lang w:val="en-AU" w:eastAsia="en-AU"/>
        </w:rPr>
        <w:drawing>
          <wp:inline distT="0" distB="0" distL="0" distR="0" wp14:anchorId="51BC5B9A" wp14:editId="421300D5">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7F2429E" w14:textId="77777777" w:rsidR="00505EB5" w:rsidRPr="00AF4D3E" w:rsidRDefault="00505EB5" w:rsidP="00A150B3">
      <w:pPr>
        <w:spacing w:before="480" w:after="480" w:line="240" w:lineRule="auto"/>
        <w:jc w:val="center"/>
        <w:rPr>
          <w:rFonts w:ascii="Times New Roman" w:hAnsi="Times New Roman" w:cs="Times New Roman"/>
          <w:b/>
          <w:sz w:val="36"/>
        </w:rPr>
      </w:pPr>
      <w:r w:rsidRPr="00AF4D3E">
        <w:rPr>
          <w:rFonts w:ascii="Times New Roman" w:hAnsi="Times New Roman" w:cs="Times New Roman"/>
          <w:b/>
          <w:sz w:val="36"/>
        </w:rPr>
        <w:t>Currency A</w:t>
      </w:r>
      <w:bookmarkStart w:id="0" w:name="_GoBack"/>
      <w:bookmarkEnd w:id="0"/>
      <w:r w:rsidRPr="00AF4D3E">
        <w:rPr>
          <w:rFonts w:ascii="Times New Roman" w:hAnsi="Times New Roman" w:cs="Times New Roman"/>
          <w:b/>
          <w:sz w:val="36"/>
        </w:rPr>
        <w:t>mendment Act 1981</w:t>
      </w:r>
    </w:p>
    <w:p w14:paraId="13F26837" w14:textId="77777777" w:rsidR="00505EB5" w:rsidRPr="00CC7E6A" w:rsidRDefault="00505EB5" w:rsidP="00505EB5">
      <w:pPr>
        <w:spacing w:after="120" w:line="240" w:lineRule="auto"/>
        <w:jc w:val="center"/>
        <w:rPr>
          <w:rFonts w:ascii="Times New Roman" w:hAnsi="Times New Roman" w:cs="Times New Roman"/>
          <w:b/>
          <w:sz w:val="28"/>
        </w:rPr>
      </w:pPr>
      <w:r w:rsidRPr="00CC7E6A">
        <w:rPr>
          <w:rFonts w:ascii="Times New Roman" w:hAnsi="Times New Roman" w:cs="Times New Roman"/>
          <w:b/>
          <w:sz w:val="28"/>
        </w:rPr>
        <w:t>No. 11 of 1981</w:t>
      </w:r>
    </w:p>
    <w:p w14:paraId="5594BE07" w14:textId="77777777" w:rsidR="00CC7E6A" w:rsidRDefault="00CC7E6A" w:rsidP="00CC7E6A">
      <w:pPr>
        <w:spacing w:after="0" w:line="240" w:lineRule="auto"/>
        <w:jc w:val="center"/>
        <w:rPr>
          <w:rFonts w:ascii="Times New Roman" w:hAnsi="Times New Roman"/>
          <w:lang w:val="en-US"/>
        </w:rPr>
      </w:pPr>
    </w:p>
    <w:p w14:paraId="464AE749" w14:textId="77777777" w:rsidR="00CC7E6A" w:rsidRDefault="00CC7E6A" w:rsidP="00CC7E6A">
      <w:pPr>
        <w:pBdr>
          <w:top w:val="thickThinSmallGap" w:sz="12" w:space="1" w:color="auto"/>
        </w:pBdr>
        <w:spacing w:after="0" w:line="240" w:lineRule="auto"/>
        <w:jc w:val="center"/>
        <w:rPr>
          <w:rFonts w:ascii="Times New Roman" w:hAnsi="Times New Roman"/>
          <w:lang w:val="en-US"/>
        </w:rPr>
      </w:pPr>
    </w:p>
    <w:p w14:paraId="4297C611" w14:textId="77777777" w:rsidR="00505EB5" w:rsidRPr="00756323" w:rsidRDefault="00505EB5" w:rsidP="00CC7E6A">
      <w:pPr>
        <w:spacing w:before="120" w:after="120" w:line="240" w:lineRule="auto"/>
        <w:jc w:val="center"/>
        <w:rPr>
          <w:rFonts w:ascii="Times New Roman" w:hAnsi="Times New Roman"/>
          <w:b/>
          <w:sz w:val="26"/>
        </w:rPr>
      </w:pPr>
      <w:r w:rsidRPr="00756323">
        <w:rPr>
          <w:rFonts w:ascii="Times New Roman" w:hAnsi="Times New Roman"/>
          <w:b/>
          <w:sz w:val="26"/>
        </w:rPr>
        <w:t xml:space="preserve">An Act to amend the </w:t>
      </w:r>
      <w:r w:rsidRPr="00756323">
        <w:rPr>
          <w:rFonts w:ascii="Times New Roman" w:hAnsi="Times New Roman"/>
          <w:b/>
          <w:i/>
          <w:sz w:val="26"/>
        </w:rPr>
        <w:t xml:space="preserve">Currency Act </w:t>
      </w:r>
      <w:r w:rsidRPr="00756323">
        <w:rPr>
          <w:rFonts w:ascii="Times New Roman" w:hAnsi="Times New Roman"/>
          <w:b/>
          <w:sz w:val="26"/>
        </w:rPr>
        <w:t>1965</w:t>
      </w:r>
    </w:p>
    <w:p w14:paraId="53965F41" w14:textId="77777777" w:rsidR="00505EB5" w:rsidRPr="004368DB" w:rsidRDefault="00505EB5" w:rsidP="00505EB5">
      <w:pPr>
        <w:spacing w:before="120" w:after="120" w:line="240" w:lineRule="auto"/>
        <w:jc w:val="right"/>
        <w:rPr>
          <w:rFonts w:ascii="Times New Roman" w:hAnsi="Times New Roman"/>
          <w:sz w:val="24"/>
        </w:rPr>
      </w:pPr>
      <w:r w:rsidRPr="00BE43EB">
        <w:rPr>
          <w:rFonts w:ascii="Times New Roman" w:hAnsi="Times New Roman"/>
          <w:sz w:val="24"/>
        </w:rPr>
        <w:t>[</w:t>
      </w:r>
      <w:r w:rsidRPr="004368DB">
        <w:rPr>
          <w:rFonts w:ascii="Times New Roman" w:hAnsi="Times New Roman"/>
          <w:i/>
          <w:sz w:val="24"/>
        </w:rPr>
        <w:t>Assented to 25 March 1981</w:t>
      </w:r>
      <w:r w:rsidRPr="00BE43EB">
        <w:rPr>
          <w:rFonts w:ascii="Times New Roman" w:hAnsi="Times New Roman"/>
          <w:sz w:val="24"/>
        </w:rPr>
        <w:t>]</w:t>
      </w:r>
    </w:p>
    <w:p w14:paraId="4AD11BBA" w14:textId="77777777" w:rsidR="00505EB5" w:rsidRPr="004368DB" w:rsidRDefault="00505EB5" w:rsidP="00756323">
      <w:pPr>
        <w:spacing w:before="120" w:after="120" w:line="240" w:lineRule="auto"/>
        <w:ind w:firstLine="432"/>
        <w:jc w:val="both"/>
        <w:rPr>
          <w:rFonts w:ascii="Times New Roman" w:hAnsi="Times New Roman"/>
          <w:sz w:val="24"/>
        </w:rPr>
      </w:pPr>
      <w:r w:rsidRPr="004368DB">
        <w:rPr>
          <w:rFonts w:ascii="Times New Roman" w:hAnsi="Times New Roman"/>
          <w:sz w:val="24"/>
        </w:rPr>
        <w:t>BE IT ENACTED by the Queen, and the Senate and the House of Representatives of the Commonwealth of Australia, as follows:</w:t>
      </w:r>
    </w:p>
    <w:p w14:paraId="5321839D" w14:textId="77777777" w:rsidR="00505EB5" w:rsidRPr="006E0D55" w:rsidRDefault="00505EB5" w:rsidP="00505EB5">
      <w:pPr>
        <w:spacing w:before="120" w:after="60" w:line="240" w:lineRule="auto"/>
        <w:jc w:val="both"/>
        <w:rPr>
          <w:rFonts w:ascii="Times New Roman" w:hAnsi="Times New Roman" w:cs="Times New Roman"/>
          <w:b/>
          <w:sz w:val="20"/>
        </w:rPr>
      </w:pPr>
      <w:r w:rsidRPr="006E0D55">
        <w:rPr>
          <w:rFonts w:ascii="Times New Roman" w:hAnsi="Times New Roman" w:cs="Times New Roman"/>
          <w:b/>
          <w:sz w:val="20"/>
        </w:rPr>
        <w:t>Short title, &amp;c.</w:t>
      </w:r>
    </w:p>
    <w:p w14:paraId="47C2FE18" w14:textId="77777777" w:rsidR="00505EB5" w:rsidRPr="006E76F2" w:rsidRDefault="00505EB5" w:rsidP="00505EB5">
      <w:pPr>
        <w:spacing w:after="0" w:line="240" w:lineRule="auto"/>
        <w:ind w:firstLine="432"/>
        <w:jc w:val="both"/>
        <w:rPr>
          <w:rFonts w:ascii="Times New Roman" w:hAnsi="Times New Roman"/>
        </w:rPr>
      </w:pPr>
      <w:r w:rsidRPr="006E76F2">
        <w:rPr>
          <w:rFonts w:ascii="Times New Roman" w:hAnsi="Times New Roman"/>
          <w:b/>
        </w:rPr>
        <w:t xml:space="preserve">1.(1) </w:t>
      </w:r>
      <w:r w:rsidRPr="006E76F2">
        <w:rPr>
          <w:rFonts w:ascii="Times New Roman" w:hAnsi="Times New Roman"/>
        </w:rPr>
        <w:t xml:space="preserve">This Act may be cited as the </w:t>
      </w:r>
      <w:r w:rsidRPr="006E76F2">
        <w:rPr>
          <w:rFonts w:ascii="Times New Roman" w:hAnsi="Times New Roman"/>
          <w:i/>
        </w:rPr>
        <w:t xml:space="preserve">Currency Amendment Act </w:t>
      </w:r>
      <w:r w:rsidRPr="006E76F2">
        <w:rPr>
          <w:rFonts w:ascii="Times New Roman" w:hAnsi="Times New Roman"/>
        </w:rPr>
        <w:t>1981.</w:t>
      </w:r>
    </w:p>
    <w:p w14:paraId="1E9AB351" w14:textId="049B14B8" w:rsidR="00505EB5" w:rsidRPr="006E76F2" w:rsidRDefault="00505EB5" w:rsidP="00505EB5">
      <w:pPr>
        <w:spacing w:before="60" w:after="60" w:line="240" w:lineRule="auto"/>
        <w:ind w:firstLine="432"/>
        <w:jc w:val="both"/>
        <w:rPr>
          <w:rFonts w:ascii="Times New Roman" w:hAnsi="Times New Roman"/>
        </w:rPr>
      </w:pPr>
      <w:r w:rsidRPr="006E76F2">
        <w:rPr>
          <w:rFonts w:ascii="Times New Roman" w:hAnsi="Times New Roman"/>
          <w:b/>
        </w:rPr>
        <w:t xml:space="preserve">(2) </w:t>
      </w:r>
      <w:r w:rsidRPr="006E76F2">
        <w:rPr>
          <w:rFonts w:ascii="Times New Roman" w:hAnsi="Times New Roman"/>
        </w:rPr>
        <w:t xml:space="preserve">The </w:t>
      </w:r>
      <w:r w:rsidRPr="006E76F2">
        <w:rPr>
          <w:rFonts w:ascii="Times New Roman" w:hAnsi="Times New Roman"/>
          <w:i/>
        </w:rPr>
        <w:t xml:space="preserve">Currency Act </w:t>
      </w:r>
      <w:r w:rsidR="00992770">
        <w:rPr>
          <w:rFonts w:ascii="Times New Roman" w:hAnsi="Times New Roman"/>
        </w:rPr>
        <w:t>1965</w:t>
      </w:r>
      <w:r w:rsidR="00992770">
        <w:rPr>
          <w:rFonts w:ascii="Times New Roman" w:hAnsi="Times New Roman" w:cs="Times New Roman"/>
        </w:rPr>
        <w:t>ˡ</w:t>
      </w:r>
      <w:r w:rsidRPr="006E76F2">
        <w:rPr>
          <w:rFonts w:ascii="Times New Roman" w:hAnsi="Times New Roman"/>
        </w:rPr>
        <w:t xml:space="preserve"> is in this Act referred to as the Principal Act.</w:t>
      </w:r>
    </w:p>
    <w:p w14:paraId="2FDDE0AD" w14:textId="77777777" w:rsidR="00505EB5" w:rsidRPr="006E0D55" w:rsidRDefault="00505EB5" w:rsidP="00505EB5">
      <w:pPr>
        <w:spacing w:before="120" w:after="60" w:line="240" w:lineRule="auto"/>
        <w:jc w:val="both"/>
        <w:rPr>
          <w:rFonts w:ascii="Times New Roman" w:hAnsi="Times New Roman" w:cs="Times New Roman"/>
          <w:b/>
          <w:sz w:val="20"/>
        </w:rPr>
      </w:pPr>
      <w:r w:rsidRPr="006E0D55">
        <w:rPr>
          <w:rFonts w:ascii="Times New Roman" w:hAnsi="Times New Roman" w:cs="Times New Roman"/>
          <w:b/>
          <w:sz w:val="20"/>
        </w:rPr>
        <w:t>Commencement</w:t>
      </w:r>
    </w:p>
    <w:p w14:paraId="6E0113CD" w14:textId="77777777" w:rsidR="00505EB5" w:rsidRPr="00BF2F0C" w:rsidRDefault="00505EB5" w:rsidP="00505EB5">
      <w:pPr>
        <w:spacing w:after="0" w:line="240" w:lineRule="auto"/>
        <w:ind w:firstLine="432"/>
        <w:jc w:val="both"/>
        <w:rPr>
          <w:rFonts w:ascii="Times New Roman" w:hAnsi="Times New Roman"/>
        </w:rPr>
      </w:pPr>
      <w:r w:rsidRPr="00BF2F0C">
        <w:rPr>
          <w:rFonts w:ascii="Times New Roman" w:hAnsi="Times New Roman" w:cs="Times New Roman"/>
          <w:b/>
        </w:rPr>
        <w:t>2.</w:t>
      </w:r>
      <w:r w:rsidRPr="00BF2F0C">
        <w:rPr>
          <w:rFonts w:ascii="Times New Roman" w:hAnsi="Times New Roman" w:cs="Times New Roman"/>
        </w:rPr>
        <w:t>This Act sha</w:t>
      </w:r>
      <w:r w:rsidRPr="00BF2F0C">
        <w:rPr>
          <w:rFonts w:ascii="Times New Roman" w:hAnsi="Times New Roman"/>
        </w:rPr>
        <w:t>ll come into operation on the day on which it receives the Royal Assent.</w:t>
      </w:r>
    </w:p>
    <w:p w14:paraId="3A61A033" w14:textId="77777777" w:rsidR="00505EB5" w:rsidRPr="00BF2F0C" w:rsidRDefault="00505EB5" w:rsidP="00505EB5">
      <w:pPr>
        <w:spacing w:before="120" w:after="60" w:line="240" w:lineRule="auto"/>
        <w:jc w:val="both"/>
        <w:rPr>
          <w:rFonts w:ascii="Times New Roman" w:hAnsi="Times New Roman" w:cs="Times New Roman"/>
          <w:b/>
          <w:sz w:val="20"/>
        </w:rPr>
      </w:pPr>
      <w:r w:rsidRPr="00BF2F0C">
        <w:rPr>
          <w:rFonts w:ascii="Times New Roman" w:hAnsi="Times New Roman" w:cs="Times New Roman"/>
          <w:b/>
          <w:sz w:val="20"/>
        </w:rPr>
        <w:t>Standard weight and composition of coins</w:t>
      </w:r>
    </w:p>
    <w:p w14:paraId="4E4BA0C3" w14:textId="77777777" w:rsidR="00505EB5" w:rsidRPr="006E76F2" w:rsidRDefault="00505EB5" w:rsidP="00505EB5">
      <w:pPr>
        <w:spacing w:after="0" w:line="240" w:lineRule="auto"/>
        <w:ind w:firstLine="432"/>
        <w:jc w:val="both"/>
        <w:rPr>
          <w:rFonts w:ascii="Times New Roman" w:hAnsi="Times New Roman"/>
        </w:rPr>
      </w:pPr>
      <w:r w:rsidRPr="006E76F2">
        <w:rPr>
          <w:rFonts w:ascii="Times New Roman" w:hAnsi="Times New Roman"/>
          <w:b/>
        </w:rPr>
        <w:t>3.</w:t>
      </w:r>
      <w:r w:rsidRPr="006E76F2">
        <w:rPr>
          <w:rFonts w:ascii="Times New Roman" w:hAnsi="Times New Roman"/>
        </w:rPr>
        <w:t>Section 13 of the Principal Act is amended—</w:t>
      </w:r>
    </w:p>
    <w:p w14:paraId="466349AF" w14:textId="77777777" w:rsidR="00505EB5" w:rsidRPr="006E76F2" w:rsidRDefault="00505EB5" w:rsidP="00505EB5">
      <w:pPr>
        <w:spacing w:before="60" w:after="0" w:line="240" w:lineRule="auto"/>
        <w:ind w:left="1008" w:hanging="432"/>
        <w:jc w:val="both"/>
        <w:rPr>
          <w:rFonts w:ascii="Times New Roman" w:hAnsi="Times New Roman"/>
        </w:rPr>
      </w:pPr>
      <w:r w:rsidRPr="006E76F2">
        <w:rPr>
          <w:rFonts w:ascii="Times New Roman" w:hAnsi="Times New Roman"/>
        </w:rPr>
        <w:t>(a)</w:t>
      </w:r>
      <w:r>
        <w:rPr>
          <w:rFonts w:ascii="Times New Roman" w:hAnsi="Times New Roman"/>
          <w:lang w:val="en-US"/>
        </w:rPr>
        <w:t xml:space="preserve"> </w:t>
      </w:r>
      <w:r w:rsidRPr="006E76F2">
        <w:rPr>
          <w:rFonts w:ascii="Times New Roman" w:hAnsi="Times New Roman"/>
        </w:rPr>
        <w:t xml:space="preserve">by inserting </w:t>
      </w:r>
      <w:r>
        <w:rPr>
          <w:rFonts w:ascii="Times New Roman" w:hAnsi="Times New Roman"/>
        </w:rPr>
        <w:t>“</w:t>
      </w:r>
      <w:r w:rsidRPr="006E76F2">
        <w:rPr>
          <w:rFonts w:ascii="Times New Roman" w:hAnsi="Times New Roman"/>
        </w:rPr>
        <w:t>, subject to sub-section (2),</w:t>
      </w:r>
      <w:r>
        <w:rPr>
          <w:rFonts w:ascii="Times New Roman" w:hAnsi="Times New Roman"/>
        </w:rPr>
        <w:t>”</w:t>
      </w:r>
      <w:r w:rsidRPr="006E76F2">
        <w:rPr>
          <w:rFonts w:ascii="Times New Roman" w:hAnsi="Times New Roman"/>
        </w:rPr>
        <w:t xml:space="preserve"> after </w:t>
      </w:r>
      <w:r>
        <w:rPr>
          <w:rFonts w:ascii="Times New Roman" w:hAnsi="Times New Roman"/>
        </w:rPr>
        <w:t>“</w:t>
      </w:r>
      <w:r w:rsidRPr="006E76F2">
        <w:rPr>
          <w:rFonts w:ascii="Times New Roman" w:hAnsi="Times New Roman"/>
        </w:rPr>
        <w:t>Schedule is</w:t>
      </w:r>
      <w:r>
        <w:rPr>
          <w:rFonts w:ascii="Times New Roman" w:hAnsi="Times New Roman"/>
        </w:rPr>
        <w:t>”</w:t>
      </w:r>
      <w:r w:rsidRPr="006E76F2">
        <w:rPr>
          <w:rFonts w:ascii="Times New Roman" w:hAnsi="Times New Roman"/>
        </w:rPr>
        <w:t>; and</w:t>
      </w:r>
    </w:p>
    <w:p w14:paraId="6A0E872D" w14:textId="77777777" w:rsidR="00505EB5" w:rsidRPr="006E76F2" w:rsidRDefault="00505EB5" w:rsidP="00505EB5">
      <w:pPr>
        <w:spacing w:before="60" w:after="0" w:line="240" w:lineRule="auto"/>
        <w:ind w:left="1008" w:hanging="432"/>
        <w:jc w:val="both"/>
        <w:rPr>
          <w:rFonts w:ascii="Times New Roman" w:hAnsi="Times New Roman"/>
        </w:rPr>
      </w:pPr>
      <w:r w:rsidRPr="006E76F2">
        <w:rPr>
          <w:rFonts w:ascii="Times New Roman" w:hAnsi="Times New Roman"/>
        </w:rPr>
        <w:t>(b)</w:t>
      </w:r>
      <w:r>
        <w:rPr>
          <w:rFonts w:ascii="Times New Roman" w:hAnsi="Times New Roman"/>
          <w:lang w:val="en-US"/>
        </w:rPr>
        <w:t xml:space="preserve"> </w:t>
      </w:r>
      <w:r w:rsidRPr="006E76F2">
        <w:rPr>
          <w:rFonts w:ascii="Times New Roman" w:hAnsi="Times New Roman"/>
        </w:rPr>
        <w:t>by adding at the end thereof the following sub-section:</w:t>
      </w:r>
    </w:p>
    <w:p w14:paraId="4A64C9ED" w14:textId="77777777" w:rsidR="00505EB5" w:rsidRPr="006E76F2" w:rsidRDefault="00505EB5" w:rsidP="00505EB5">
      <w:pPr>
        <w:spacing w:before="60" w:after="0" w:line="240" w:lineRule="auto"/>
        <w:ind w:left="1080" w:firstLine="432"/>
        <w:jc w:val="both"/>
        <w:rPr>
          <w:rFonts w:ascii="Times New Roman" w:hAnsi="Times New Roman"/>
        </w:rPr>
      </w:pPr>
      <w:r>
        <w:rPr>
          <w:rFonts w:ascii="Times New Roman" w:hAnsi="Times New Roman"/>
        </w:rPr>
        <w:t>“</w:t>
      </w:r>
      <w:r w:rsidRPr="006E76F2">
        <w:rPr>
          <w:rFonts w:ascii="Times New Roman" w:hAnsi="Times New Roman"/>
        </w:rPr>
        <w:t>(2) The regulations may, from time to time, provide that this Act shall have effect, on and after a date specified in the regulations, as if a reference in the Schedule, opposite to the denomination of a coin,</w:t>
      </w:r>
    </w:p>
    <w:p w14:paraId="17A35740" w14:textId="77777777" w:rsidR="006A5EDA" w:rsidRDefault="006A5EDA" w:rsidP="00505EB5">
      <w:pPr>
        <w:spacing w:after="0" w:line="240" w:lineRule="auto"/>
        <w:jc w:val="both"/>
        <w:rPr>
          <w:rFonts w:ascii="Times New Roman" w:hAnsi="Times New Roman"/>
        </w:rPr>
      </w:pPr>
      <w:r>
        <w:rPr>
          <w:rFonts w:ascii="Times New Roman" w:hAnsi="Times New Roman"/>
        </w:rPr>
        <w:br w:type="page"/>
      </w:r>
    </w:p>
    <w:p w14:paraId="7056F708" w14:textId="77777777" w:rsidR="00505EB5" w:rsidRPr="00992770" w:rsidRDefault="00505EB5" w:rsidP="00505EB5">
      <w:pPr>
        <w:spacing w:after="0" w:line="240" w:lineRule="auto"/>
        <w:ind w:left="1080"/>
        <w:jc w:val="both"/>
        <w:rPr>
          <w:rFonts w:ascii="Times New Roman" w:hAnsi="Times New Roman"/>
          <w:sz w:val="21"/>
        </w:rPr>
      </w:pPr>
      <w:r w:rsidRPr="00992770">
        <w:rPr>
          <w:rFonts w:ascii="Times New Roman" w:hAnsi="Times New Roman"/>
          <w:sz w:val="21"/>
        </w:rPr>
        <w:lastRenderedPageBreak/>
        <w:t>to the standard composition of coins of that denomination were a reference to such other standard composition as is specified in the regulations and, where any such regulations are made, the standard composition specified in the regulations shall, on and after the date specified in the regulations and while the regulations remain in force, be deemed to be specified in the Schedule opposite to that denomination in lieu of the standard composition actually specified in the Schedule.”.</w:t>
      </w:r>
    </w:p>
    <w:p w14:paraId="534FE45E" w14:textId="77777777" w:rsidR="00505EB5" w:rsidRPr="00992770" w:rsidRDefault="00505EB5" w:rsidP="00505EB5">
      <w:pPr>
        <w:spacing w:before="120" w:after="60" w:line="240" w:lineRule="auto"/>
        <w:jc w:val="both"/>
        <w:rPr>
          <w:rFonts w:ascii="Times New Roman" w:hAnsi="Times New Roman" w:cs="Times New Roman"/>
          <w:b/>
          <w:sz w:val="20"/>
          <w:szCs w:val="20"/>
        </w:rPr>
      </w:pPr>
      <w:r w:rsidRPr="00992770">
        <w:rPr>
          <w:rFonts w:ascii="Times New Roman" w:hAnsi="Times New Roman" w:cs="Times New Roman"/>
          <w:b/>
          <w:sz w:val="20"/>
          <w:szCs w:val="20"/>
        </w:rPr>
        <w:t>Treasurer may issue coins</w:t>
      </w:r>
    </w:p>
    <w:p w14:paraId="3AF8CABB" w14:textId="77777777" w:rsidR="00505EB5" w:rsidRPr="00992770" w:rsidRDefault="00505EB5" w:rsidP="00505EB5">
      <w:pPr>
        <w:spacing w:after="0" w:line="240" w:lineRule="auto"/>
        <w:ind w:firstLine="432"/>
        <w:jc w:val="both"/>
        <w:rPr>
          <w:rFonts w:ascii="Times New Roman" w:hAnsi="Times New Roman"/>
          <w:sz w:val="21"/>
        </w:rPr>
      </w:pPr>
      <w:r w:rsidRPr="00992770">
        <w:rPr>
          <w:rFonts w:ascii="Times New Roman" w:hAnsi="Times New Roman"/>
          <w:b/>
          <w:sz w:val="21"/>
        </w:rPr>
        <w:t xml:space="preserve">4. </w:t>
      </w:r>
      <w:r w:rsidRPr="00992770">
        <w:rPr>
          <w:rFonts w:ascii="Times New Roman" w:hAnsi="Times New Roman"/>
          <w:sz w:val="21"/>
        </w:rPr>
        <w:t>Section 14 of the Principal Act is amended—</w:t>
      </w:r>
    </w:p>
    <w:p w14:paraId="758646F1" w14:textId="77777777" w:rsidR="00505EB5" w:rsidRPr="00992770" w:rsidRDefault="00505EB5" w:rsidP="00505EB5">
      <w:pPr>
        <w:spacing w:after="0" w:line="240" w:lineRule="auto"/>
        <w:ind w:left="1008" w:hanging="432"/>
        <w:jc w:val="both"/>
        <w:rPr>
          <w:rFonts w:ascii="Times New Roman" w:hAnsi="Times New Roman"/>
          <w:sz w:val="21"/>
        </w:rPr>
      </w:pPr>
      <w:r w:rsidRPr="00992770">
        <w:rPr>
          <w:rFonts w:ascii="Times New Roman" w:hAnsi="Times New Roman"/>
          <w:sz w:val="21"/>
        </w:rPr>
        <w:t>(a)</w:t>
      </w:r>
      <w:r w:rsidRPr="00992770">
        <w:rPr>
          <w:rFonts w:ascii="Times New Roman" w:hAnsi="Times New Roman"/>
          <w:sz w:val="21"/>
          <w:lang w:val="en-US"/>
        </w:rPr>
        <w:t xml:space="preserve"> </w:t>
      </w:r>
      <w:r w:rsidRPr="00992770">
        <w:rPr>
          <w:rFonts w:ascii="Times New Roman" w:hAnsi="Times New Roman"/>
          <w:sz w:val="21"/>
        </w:rPr>
        <w:t>by omitting sub-section (1</w:t>
      </w:r>
      <w:r w:rsidRPr="00992770">
        <w:rPr>
          <w:rFonts w:ascii="Times New Roman" w:hAnsi="Times New Roman"/>
          <w:smallCaps/>
          <w:sz w:val="21"/>
        </w:rPr>
        <w:t>a</w:t>
      </w:r>
      <w:r w:rsidRPr="00992770">
        <w:rPr>
          <w:rFonts w:ascii="Times New Roman" w:hAnsi="Times New Roman"/>
          <w:sz w:val="21"/>
        </w:rPr>
        <w:t>) and substituting the following sub-sections :</w:t>
      </w:r>
    </w:p>
    <w:p w14:paraId="3B5C71AE" w14:textId="77777777" w:rsidR="00505EB5" w:rsidRPr="00992770" w:rsidRDefault="00505EB5" w:rsidP="00505EB5">
      <w:pPr>
        <w:spacing w:before="60" w:after="0" w:line="240" w:lineRule="auto"/>
        <w:ind w:left="1080" w:firstLine="432"/>
        <w:jc w:val="both"/>
        <w:rPr>
          <w:rFonts w:ascii="Times New Roman" w:hAnsi="Times New Roman"/>
          <w:sz w:val="21"/>
        </w:rPr>
      </w:pPr>
      <w:r w:rsidRPr="00992770">
        <w:rPr>
          <w:rFonts w:ascii="Times New Roman" w:hAnsi="Times New Roman"/>
          <w:sz w:val="21"/>
        </w:rPr>
        <w:t>“(1</w:t>
      </w:r>
      <w:r w:rsidRPr="00992770">
        <w:rPr>
          <w:rFonts w:ascii="Times New Roman" w:hAnsi="Times New Roman"/>
          <w:smallCaps/>
          <w:sz w:val="21"/>
        </w:rPr>
        <w:t>a</w:t>
      </w:r>
      <w:r w:rsidRPr="00992770">
        <w:rPr>
          <w:rFonts w:ascii="Times New Roman" w:hAnsi="Times New Roman"/>
          <w:sz w:val="21"/>
        </w:rPr>
        <w:t>) The regulations may, from time to time, provide that this Act shall have effect, on and after a date specified in the regulations, as if the references in sub-section 14</w:t>
      </w:r>
      <w:r w:rsidRPr="00992770">
        <w:rPr>
          <w:rFonts w:ascii="Times New Roman" w:hAnsi="Times New Roman"/>
          <w:smallCaps/>
          <w:sz w:val="21"/>
        </w:rPr>
        <w:t>a</w:t>
      </w:r>
      <w:r w:rsidRPr="00992770">
        <w:rPr>
          <w:rFonts w:ascii="Times New Roman" w:hAnsi="Times New Roman"/>
          <w:b/>
          <w:smallCaps/>
          <w:sz w:val="21"/>
        </w:rPr>
        <w:t xml:space="preserve"> </w:t>
      </w:r>
      <w:r w:rsidRPr="00992770">
        <w:rPr>
          <w:rFonts w:ascii="Times New Roman" w:hAnsi="Times New Roman"/>
          <w:sz w:val="21"/>
        </w:rPr>
        <w:t>(1) and the Schedule to the denomination of Two hundred dollars were references to such greater or lesser denomination as is specified in the regulations and, where any such regulations are made, the greater or lesser denomination specified in the regulations shall, on and after the date specified in the regulations and while the regulations remain in force, be deemed to be specified in sub-section 14</w:t>
      </w:r>
      <w:r w:rsidRPr="00992770">
        <w:rPr>
          <w:rFonts w:ascii="Times New Roman" w:hAnsi="Times New Roman"/>
          <w:smallCaps/>
          <w:sz w:val="21"/>
        </w:rPr>
        <w:t>a</w:t>
      </w:r>
      <w:r w:rsidRPr="00992770">
        <w:rPr>
          <w:rFonts w:ascii="Times New Roman" w:hAnsi="Times New Roman"/>
          <w:b/>
          <w:smallCaps/>
          <w:sz w:val="21"/>
        </w:rPr>
        <w:t xml:space="preserve"> </w:t>
      </w:r>
      <w:r w:rsidRPr="00992770">
        <w:rPr>
          <w:rFonts w:ascii="Times New Roman" w:hAnsi="Times New Roman"/>
          <w:sz w:val="21"/>
        </w:rPr>
        <w:t>(1) and in the Schedule in lieu of the references to the denomination of Two hundred dollars.</w:t>
      </w:r>
    </w:p>
    <w:p w14:paraId="6481E9DD" w14:textId="77777777" w:rsidR="00505EB5" w:rsidRPr="00992770" w:rsidRDefault="00505EB5" w:rsidP="00505EB5">
      <w:pPr>
        <w:spacing w:before="60" w:after="0" w:line="240" w:lineRule="auto"/>
        <w:ind w:left="1080" w:firstLine="432"/>
        <w:jc w:val="both"/>
        <w:rPr>
          <w:rFonts w:ascii="Times New Roman" w:hAnsi="Times New Roman"/>
          <w:sz w:val="21"/>
        </w:rPr>
      </w:pPr>
      <w:r w:rsidRPr="00992770">
        <w:rPr>
          <w:rFonts w:ascii="Times New Roman" w:hAnsi="Times New Roman"/>
          <w:sz w:val="21"/>
        </w:rPr>
        <w:t>“(1</w:t>
      </w:r>
      <w:r w:rsidRPr="00992770">
        <w:rPr>
          <w:rFonts w:ascii="Times New Roman" w:hAnsi="Times New Roman"/>
          <w:smallCaps/>
          <w:sz w:val="21"/>
        </w:rPr>
        <w:t>b</w:t>
      </w:r>
      <w:r w:rsidRPr="00992770">
        <w:rPr>
          <w:rFonts w:ascii="Times New Roman" w:hAnsi="Times New Roman"/>
          <w:sz w:val="21"/>
        </w:rPr>
        <w:t>) The regulations may, from time to time, provide that this Act shall have effect, on and after a date specified in the regulations, as if—</w:t>
      </w:r>
    </w:p>
    <w:p w14:paraId="66F5B254" w14:textId="77777777" w:rsidR="00505EB5" w:rsidRPr="00992770" w:rsidRDefault="00505EB5" w:rsidP="00505EB5">
      <w:pPr>
        <w:spacing w:after="0" w:line="240" w:lineRule="auto"/>
        <w:ind w:left="2016" w:hanging="432"/>
        <w:jc w:val="both"/>
        <w:rPr>
          <w:rFonts w:ascii="Times New Roman" w:hAnsi="Times New Roman"/>
          <w:sz w:val="21"/>
        </w:rPr>
      </w:pPr>
      <w:r w:rsidRPr="00992770">
        <w:rPr>
          <w:rFonts w:ascii="Times New Roman" w:hAnsi="Times New Roman"/>
          <w:sz w:val="21"/>
        </w:rPr>
        <w:t>(a)</w:t>
      </w:r>
      <w:r w:rsidRPr="00992770">
        <w:rPr>
          <w:rFonts w:ascii="Times New Roman" w:hAnsi="Times New Roman"/>
          <w:sz w:val="21"/>
          <w:lang w:val="en-US"/>
        </w:rPr>
        <w:t xml:space="preserve"> </w:t>
      </w:r>
      <w:r w:rsidRPr="00992770">
        <w:rPr>
          <w:rFonts w:ascii="Times New Roman" w:hAnsi="Times New Roman"/>
          <w:sz w:val="21"/>
        </w:rPr>
        <w:t>there were included in the Schedule a reference to a denomination of money specified in the regulations; and</w:t>
      </w:r>
    </w:p>
    <w:p w14:paraId="7AC721B2" w14:textId="77777777" w:rsidR="00505EB5" w:rsidRPr="00992770" w:rsidRDefault="00505EB5" w:rsidP="00505EB5">
      <w:pPr>
        <w:spacing w:after="0" w:line="240" w:lineRule="auto"/>
        <w:ind w:left="2016" w:hanging="432"/>
        <w:jc w:val="both"/>
        <w:rPr>
          <w:rFonts w:ascii="Times New Roman" w:hAnsi="Times New Roman"/>
          <w:sz w:val="21"/>
        </w:rPr>
      </w:pPr>
      <w:r w:rsidRPr="00992770">
        <w:rPr>
          <w:rFonts w:ascii="Times New Roman" w:hAnsi="Times New Roman"/>
          <w:sz w:val="21"/>
        </w:rPr>
        <w:t>(b)</w:t>
      </w:r>
      <w:r w:rsidRPr="00992770">
        <w:rPr>
          <w:rFonts w:ascii="Times New Roman" w:hAnsi="Times New Roman"/>
          <w:sz w:val="21"/>
          <w:lang w:val="en-US"/>
        </w:rPr>
        <w:t xml:space="preserve"> </w:t>
      </w:r>
      <w:r w:rsidRPr="00992770">
        <w:rPr>
          <w:rFonts w:ascii="Times New Roman" w:hAnsi="Times New Roman"/>
          <w:sz w:val="21"/>
        </w:rPr>
        <w:t>there were specified in the Schedule opposite to that denomination, as the standard composition of coins of that denomination, the standard composition that is specified in the regulations,</w:t>
      </w:r>
    </w:p>
    <w:p w14:paraId="44649A0E" w14:textId="77777777" w:rsidR="00505EB5" w:rsidRPr="00992770" w:rsidRDefault="00505EB5" w:rsidP="00505EB5">
      <w:pPr>
        <w:spacing w:after="0" w:line="240" w:lineRule="auto"/>
        <w:ind w:left="1080"/>
        <w:jc w:val="both"/>
        <w:rPr>
          <w:rFonts w:ascii="Times New Roman" w:hAnsi="Times New Roman"/>
          <w:sz w:val="21"/>
        </w:rPr>
      </w:pPr>
      <w:r w:rsidRPr="00992770">
        <w:rPr>
          <w:rFonts w:ascii="Times New Roman" w:hAnsi="Times New Roman"/>
          <w:sz w:val="21"/>
        </w:rPr>
        <w:t>and, where any such regulations are made—</w:t>
      </w:r>
    </w:p>
    <w:p w14:paraId="6276F69B" w14:textId="77777777" w:rsidR="00505EB5" w:rsidRPr="00992770" w:rsidRDefault="00505EB5" w:rsidP="00505EB5">
      <w:pPr>
        <w:spacing w:after="0" w:line="240" w:lineRule="auto"/>
        <w:ind w:left="2016" w:hanging="432"/>
        <w:jc w:val="both"/>
        <w:rPr>
          <w:rFonts w:ascii="Times New Roman" w:hAnsi="Times New Roman"/>
          <w:sz w:val="21"/>
        </w:rPr>
      </w:pPr>
      <w:r w:rsidRPr="00992770">
        <w:rPr>
          <w:rFonts w:ascii="Times New Roman" w:hAnsi="Times New Roman"/>
          <w:sz w:val="21"/>
        </w:rPr>
        <w:t>(c)</w:t>
      </w:r>
      <w:r w:rsidRPr="00992770">
        <w:rPr>
          <w:rFonts w:ascii="Times New Roman" w:hAnsi="Times New Roman"/>
          <w:sz w:val="21"/>
          <w:lang w:val="en-US"/>
        </w:rPr>
        <w:t xml:space="preserve"> </w:t>
      </w:r>
      <w:r w:rsidRPr="00992770">
        <w:rPr>
          <w:rFonts w:ascii="Times New Roman" w:hAnsi="Times New Roman"/>
          <w:sz w:val="21"/>
        </w:rPr>
        <w:t>the denomination of money specified in the regulations shall, on and after the date specified in the regulations and while the regulations remain in force, be deemed to be specified in the Schedule; and</w:t>
      </w:r>
    </w:p>
    <w:p w14:paraId="08DF8B41" w14:textId="77777777" w:rsidR="00505EB5" w:rsidRPr="00992770" w:rsidRDefault="00505EB5" w:rsidP="00505EB5">
      <w:pPr>
        <w:spacing w:after="0" w:line="240" w:lineRule="auto"/>
        <w:ind w:left="2016" w:hanging="432"/>
        <w:jc w:val="both"/>
        <w:rPr>
          <w:rFonts w:ascii="Times New Roman" w:hAnsi="Times New Roman"/>
          <w:sz w:val="21"/>
        </w:rPr>
      </w:pPr>
      <w:r w:rsidRPr="00992770">
        <w:rPr>
          <w:rFonts w:ascii="Times New Roman" w:hAnsi="Times New Roman"/>
          <w:sz w:val="21"/>
        </w:rPr>
        <w:t>(d)</w:t>
      </w:r>
      <w:r w:rsidRPr="00992770">
        <w:rPr>
          <w:rFonts w:ascii="Times New Roman" w:hAnsi="Times New Roman"/>
          <w:sz w:val="21"/>
          <w:lang w:val="en-US"/>
        </w:rPr>
        <w:t xml:space="preserve"> </w:t>
      </w:r>
      <w:r w:rsidRPr="00992770">
        <w:rPr>
          <w:rFonts w:ascii="Times New Roman" w:hAnsi="Times New Roman"/>
          <w:sz w:val="21"/>
        </w:rPr>
        <w:t>the standard composition that is specified in the regulations shall, on and after the date specified in the regulations and while the regulations remain in force, be deemed to be specified in the Schedule opposite to that denomination.”; and</w:t>
      </w:r>
    </w:p>
    <w:p w14:paraId="02EDE228" w14:textId="77777777" w:rsidR="00505EB5" w:rsidRPr="00992770" w:rsidRDefault="00505EB5" w:rsidP="00505EB5">
      <w:pPr>
        <w:spacing w:after="0" w:line="240" w:lineRule="auto"/>
        <w:ind w:left="1008" w:hanging="432"/>
        <w:jc w:val="both"/>
        <w:rPr>
          <w:rFonts w:ascii="Times New Roman" w:hAnsi="Times New Roman"/>
          <w:sz w:val="21"/>
        </w:rPr>
      </w:pPr>
      <w:r w:rsidRPr="00992770">
        <w:rPr>
          <w:rFonts w:ascii="Times New Roman" w:hAnsi="Times New Roman"/>
          <w:sz w:val="21"/>
        </w:rPr>
        <w:t>(b)</w:t>
      </w:r>
      <w:r w:rsidRPr="00992770">
        <w:rPr>
          <w:rFonts w:ascii="Times New Roman" w:hAnsi="Times New Roman"/>
          <w:sz w:val="21"/>
          <w:lang w:val="en-US"/>
        </w:rPr>
        <w:t xml:space="preserve"> </w:t>
      </w:r>
      <w:r w:rsidRPr="00992770">
        <w:rPr>
          <w:rFonts w:ascii="Times New Roman" w:hAnsi="Times New Roman"/>
          <w:sz w:val="21"/>
        </w:rPr>
        <w:t>by inserting in paragraph (2) (a) “, subject to sub-section 13 (2),” after “shall”.</w:t>
      </w:r>
    </w:p>
    <w:p w14:paraId="7B09CC14" w14:textId="77777777" w:rsidR="00505EB5" w:rsidRPr="00992770" w:rsidRDefault="00505EB5" w:rsidP="00505EB5">
      <w:pPr>
        <w:spacing w:before="120" w:after="60" w:line="240" w:lineRule="auto"/>
        <w:jc w:val="both"/>
        <w:rPr>
          <w:rFonts w:ascii="Times New Roman" w:hAnsi="Times New Roman" w:cs="Times New Roman"/>
          <w:b/>
          <w:sz w:val="20"/>
          <w:szCs w:val="20"/>
        </w:rPr>
      </w:pPr>
      <w:r w:rsidRPr="00992770">
        <w:rPr>
          <w:rFonts w:ascii="Times New Roman" w:hAnsi="Times New Roman" w:cs="Times New Roman"/>
          <w:b/>
          <w:sz w:val="20"/>
          <w:szCs w:val="20"/>
        </w:rPr>
        <w:t>Issue price of coins of certain denominations</w:t>
      </w:r>
    </w:p>
    <w:p w14:paraId="41E71A46" w14:textId="77777777" w:rsidR="00505EB5" w:rsidRPr="00992770" w:rsidRDefault="00505EB5" w:rsidP="00505EB5">
      <w:pPr>
        <w:spacing w:after="0" w:line="240" w:lineRule="auto"/>
        <w:ind w:firstLine="432"/>
        <w:jc w:val="both"/>
        <w:rPr>
          <w:rFonts w:ascii="Times New Roman" w:hAnsi="Times New Roman"/>
          <w:sz w:val="21"/>
        </w:rPr>
      </w:pPr>
      <w:r w:rsidRPr="00992770">
        <w:rPr>
          <w:rFonts w:ascii="Times New Roman" w:hAnsi="Times New Roman"/>
          <w:b/>
          <w:sz w:val="21"/>
        </w:rPr>
        <w:t xml:space="preserve">5. </w:t>
      </w:r>
      <w:r w:rsidRPr="00992770">
        <w:rPr>
          <w:rFonts w:ascii="Times New Roman" w:hAnsi="Times New Roman"/>
          <w:sz w:val="21"/>
        </w:rPr>
        <w:t>Section 14</w:t>
      </w:r>
      <w:r w:rsidRPr="00992770">
        <w:rPr>
          <w:rFonts w:ascii="Times New Roman" w:hAnsi="Times New Roman"/>
          <w:smallCaps/>
          <w:sz w:val="21"/>
        </w:rPr>
        <w:t>a</w:t>
      </w:r>
      <w:r w:rsidRPr="00992770">
        <w:rPr>
          <w:rFonts w:ascii="Times New Roman" w:hAnsi="Times New Roman"/>
          <w:b/>
          <w:smallCaps/>
          <w:sz w:val="21"/>
        </w:rPr>
        <w:t xml:space="preserve"> </w:t>
      </w:r>
      <w:r w:rsidRPr="00992770">
        <w:rPr>
          <w:rFonts w:ascii="Times New Roman" w:hAnsi="Times New Roman"/>
          <w:sz w:val="21"/>
        </w:rPr>
        <w:t>of the Principal Act is amended by omitting from sub-section (1) “and Twenty-five dollars” and substituting “, Twenty-five dollars and Ten dollars and of any other denomination exceeding Ten dollars”.</w:t>
      </w:r>
    </w:p>
    <w:p w14:paraId="59E7B556" w14:textId="77777777" w:rsidR="006A5EDA" w:rsidRDefault="006A5EDA" w:rsidP="00505EB5">
      <w:pPr>
        <w:spacing w:after="0" w:line="240" w:lineRule="auto"/>
        <w:jc w:val="both"/>
        <w:rPr>
          <w:rFonts w:ascii="Times New Roman" w:hAnsi="Times New Roman"/>
        </w:rPr>
      </w:pPr>
      <w:r>
        <w:rPr>
          <w:rFonts w:ascii="Times New Roman" w:hAnsi="Times New Roman"/>
        </w:rPr>
        <w:br w:type="page"/>
      </w:r>
    </w:p>
    <w:p w14:paraId="29249024" w14:textId="77777777" w:rsidR="00505EB5" w:rsidRPr="00B929D0" w:rsidRDefault="00505EB5" w:rsidP="00505EB5">
      <w:pPr>
        <w:spacing w:before="120" w:after="60" w:line="240" w:lineRule="auto"/>
        <w:jc w:val="both"/>
        <w:rPr>
          <w:rFonts w:ascii="Times New Roman" w:hAnsi="Times New Roman" w:cs="Times New Roman"/>
          <w:b/>
          <w:sz w:val="20"/>
        </w:rPr>
      </w:pPr>
      <w:r w:rsidRPr="00B929D0">
        <w:rPr>
          <w:rFonts w:ascii="Times New Roman" w:hAnsi="Times New Roman" w:cs="Times New Roman"/>
          <w:b/>
          <w:sz w:val="20"/>
        </w:rPr>
        <w:lastRenderedPageBreak/>
        <w:t>Legal tender</w:t>
      </w:r>
    </w:p>
    <w:p w14:paraId="7ABA7E21" w14:textId="77777777" w:rsidR="00E04BF5" w:rsidRDefault="00505EB5" w:rsidP="00E04BF5">
      <w:pPr>
        <w:spacing w:after="0" w:line="240" w:lineRule="auto"/>
        <w:ind w:firstLine="432"/>
        <w:jc w:val="both"/>
        <w:rPr>
          <w:rFonts w:ascii="Times New Roman" w:hAnsi="Times New Roman"/>
          <w:lang w:val="en-US"/>
        </w:rPr>
      </w:pPr>
      <w:r w:rsidRPr="006E76F2">
        <w:rPr>
          <w:rFonts w:ascii="Times New Roman" w:hAnsi="Times New Roman"/>
          <w:b/>
        </w:rPr>
        <w:t xml:space="preserve">6. </w:t>
      </w:r>
      <w:r w:rsidRPr="006E76F2">
        <w:rPr>
          <w:rFonts w:ascii="Times New Roman" w:hAnsi="Times New Roman"/>
        </w:rPr>
        <w:t>Section 16 of the Principal Act is amended—</w:t>
      </w:r>
    </w:p>
    <w:p w14:paraId="5F85BC03" w14:textId="77777777" w:rsidR="00E04BF5" w:rsidRDefault="00505EB5" w:rsidP="00E04BF5">
      <w:pPr>
        <w:spacing w:after="0" w:line="240" w:lineRule="auto"/>
        <w:ind w:firstLine="432"/>
        <w:jc w:val="both"/>
        <w:rPr>
          <w:rFonts w:ascii="Times New Roman" w:hAnsi="Times New Roman"/>
          <w:lang w:val="en-US"/>
        </w:rPr>
      </w:pPr>
      <w:r w:rsidRPr="006E76F2">
        <w:rPr>
          <w:rFonts w:ascii="Times New Roman" w:hAnsi="Times New Roman"/>
        </w:rPr>
        <w:t>(a)</w:t>
      </w:r>
      <w:r>
        <w:rPr>
          <w:rFonts w:ascii="Times New Roman" w:hAnsi="Times New Roman"/>
          <w:lang w:val="en-US"/>
        </w:rPr>
        <w:t xml:space="preserve"> </w:t>
      </w:r>
      <w:r w:rsidRPr="006E76F2">
        <w:rPr>
          <w:rFonts w:ascii="Times New Roman" w:hAnsi="Times New Roman"/>
        </w:rPr>
        <w:t xml:space="preserve">by omitting from paragraph (1) (b) </w:t>
      </w:r>
      <w:r>
        <w:rPr>
          <w:rFonts w:ascii="Times New Roman" w:hAnsi="Times New Roman"/>
        </w:rPr>
        <w:t>“</w:t>
      </w:r>
      <w:r w:rsidRPr="006E76F2">
        <w:rPr>
          <w:rFonts w:ascii="Times New Roman" w:hAnsi="Times New Roman"/>
        </w:rPr>
        <w:t>and</w:t>
      </w:r>
      <w:r>
        <w:rPr>
          <w:rFonts w:ascii="Times New Roman" w:hAnsi="Times New Roman"/>
        </w:rPr>
        <w:t>”</w:t>
      </w:r>
      <w:r w:rsidRPr="006E76F2">
        <w:rPr>
          <w:rFonts w:ascii="Times New Roman" w:hAnsi="Times New Roman"/>
        </w:rPr>
        <w:t>; and</w:t>
      </w:r>
    </w:p>
    <w:p w14:paraId="288A9B07" w14:textId="77777777" w:rsidR="00505EB5" w:rsidRPr="006E76F2" w:rsidRDefault="00505EB5" w:rsidP="00E04BF5">
      <w:pPr>
        <w:spacing w:after="0" w:line="240" w:lineRule="auto"/>
        <w:ind w:firstLine="432"/>
        <w:jc w:val="both"/>
        <w:rPr>
          <w:rFonts w:ascii="Times New Roman" w:hAnsi="Times New Roman"/>
        </w:rPr>
      </w:pPr>
      <w:r w:rsidRPr="006E76F2">
        <w:rPr>
          <w:rFonts w:ascii="Times New Roman" w:hAnsi="Times New Roman"/>
        </w:rPr>
        <w:t>(b)</w:t>
      </w:r>
      <w:r>
        <w:rPr>
          <w:rFonts w:ascii="Times New Roman" w:hAnsi="Times New Roman"/>
          <w:lang w:val="en-US"/>
        </w:rPr>
        <w:t xml:space="preserve"> </w:t>
      </w:r>
      <w:r w:rsidRPr="006E76F2">
        <w:rPr>
          <w:rFonts w:ascii="Times New Roman" w:hAnsi="Times New Roman"/>
        </w:rPr>
        <w:t>by omitting paragraph (1) (c) and substituting the following paragraphs :</w:t>
      </w:r>
    </w:p>
    <w:p w14:paraId="686A3082" w14:textId="77777777" w:rsidR="00505EB5" w:rsidRPr="006E76F2" w:rsidRDefault="00505EB5" w:rsidP="00505EB5">
      <w:pPr>
        <w:spacing w:after="0" w:line="240" w:lineRule="auto"/>
        <w:ind w:left="1584" w:hanging="432"/>
        <w:jc w:val="both"/>
        <w:rPr>
          <w:rFonts w:ascii="Times New Roman" w:hAnsi="Times New Roman"/>
        </w:rPr>
      </w:pPr>
      <w:r>
        <w:rPr>
          <w:rFonts w:ascii="Times New Roman" w:hAnsi="Times New Roman"/>
        </w:rPr>
        <w:t>“</w:t>
      </w:r>
      <w:r w:rsidRPr="006E76F2">
        <w:rPr>
          <w:rFonts w:ascii="Times New Roman" w:hAnsi="Times New Roman"/>
        </w:rPr>
        <w:t>(c) in the case of coins of a denomination greater than Fifty cents but less than Ten dollars—for payment of an amount not exceeding 10 times the face value of a coin of the denomination concerned but for no greater amount;</w:t>
      </w:r>
    </w:p>
    <w:p w14:paraId="4CD3EAAE" w14:textId="77777777" w:rsidR="00505EB5" w:rsidRPr="006E76F2" w:rsidRDefault="00505EB5" w:rsidP="00505EB5">
      <w:pPr>
        <w:spacing w:after="0" w:line="240" w:lineRule="auto"/>
        <w:ind w:left="1584" w:hanging="432"/>
        <w:jc w:val="both"/>
        <w:rPr>
          <w:rFonts w:ascii="Times New Roman" w:hAnsi="Times New Roman"/>
        </w:rPr>
      </w:pPr>
      <w:r>
        <w:rPr>
          <w:rFonts w:ascii="Times New Roman" w:hAnsi="Times New Roman"/>
        </w:rPr>
        <w:t>“</w:t>
      </w:r>
      <w:r w:rsidRPr="006E76F2">
        <w:rPr>
          <w:rFonts w:ascii="Times New Roman" w:hAnsi="Times New Roman"/>
        </w:rPr>
        <w:t>(d) in the case of coins of the denomination of Ten dollars—for payment of an amount not exceeding $100 but for no greater amount; and</w:t>
      </w:r>
    </w:p>
    <w:p w14:paraId="78DEEDEC" w14:textId="77777777" w:rsidR="00505EB5" w:rsidRPr="006E76F2" w:rsidRDefault="00505EB5" w:rsidP="00505EB5">
      <w:pPr>
        <w:spacing w:after="0" w:line="240" w:lineRule="auto"/>
        <w:ind w:left="1584" w:hanging="432"/>
        <w:jc w:val="both"/>
        <w:rPr>
          <w:rFonts w:ascii="Times New Roman" w:hAnsi="Times New Roman"/>
        </w:rPr>
      </w:pPr>
      <w:r>
        <w:rPr>
          <w:rFonts w:ascii="Times New Roman" w:hAnsi="Times New Roman"/>
        </w:rPr>
        <w:t>“</w:t>
      </w:r>
      <w:r w:rsidRPr="006E76F2">
        <w:rPr>
          <w:rFonts w:ascii="Times New Roman" w:hAnsi="Times New Roman"/>
        </w:rPr>
        <w:t>(e) in the case of coins of another denomination—for payment of any amount.</w:t>
      </w:r>
      <w:r>
        <w:rPr>
          <w:rFonts w:ascii="Times New Roman" w:hAnsi="Times New Roman"/>
        </w:rPr>
        <w:t>”</w:t>
      </w:r>
      <w:r w:rsidRPr="006E76F2">
        <w:rPr>
          <w:rFonts w:ascii="Times New Roman" w:hAnsi="Times New Roman"/>
        </w:rPr>
        <w:t>.</w:t>
      </w:r>
    </w:p>
    <w:p w14:paraId="1B5A7956" w14:textId="77777777" w:rsidR="00505EB5" w:rsidRPr="00B929D0" w:rsidRDefault="00505EB5" w:rsidP="00505EB5">
      <w:pPr>
        <w:spacing w:before="120" w:after="60" w:line="240" w:lineRule="auto"/>
        <w:jc w:val="both"/>
        <w:rPr>
          <w:rFonts w:ascii="Times New Roman" w:hAnsi="Times New Roman" w:cs="Times New Roman"/>
          <w:b/>
          <w:sz w:val="20"/>
        </w:rPr>
      </w:pPr>
      <w:r w:rsidRPr="00B929D0">
        <w:rPr>
          <w:rFonts w:ascii="Times New Roman" w:hAnsi="Times New Roman" w:cs="Times New Roman"/>
          <w:b/>
          <w:sz w:val="20"/>
        </w:rPr>
        <w:t>Amendment to Schedule</w:t>
      </w:r>
    </w:p>
    <w:p w14:paraId="78EDA2CB" w14:textId="77777777" w:rsidR="00505EB5" w:rsidRPr="006E76F2" w:rsidRDefault="00505EB5" w:rsidP="00505EB5">
      <w:pPr>
        <w:spacing w:after="0" w:line="240" w:lineRule="auto"/>
        <w:ind w:firstLine="432"/>
        <w:jc w:val="both"/>
        <w:rPr>
          <w:rFonts w:ascii="Times New Roman" w:hAnsi="Times New Roman"/>
        </w:rPr>
      </w:pPr>
      <w:r w:rsidRPr="00B929D0">
        <w:rPr>
          <w:rFonts w:ascii="Times New Roman" w:hAnsi="Times New Roman"/>
          <w:b/>
        </w:rPr>
        <w:t xml:space="preserve">7. </w:t>
      </w:r>
      <w:r w:rsidRPr="006E76F2">
        <w:rPr>
          <w:rFonts w:ascii="Times New Roman" w:hAnsi="Times New Roman"/>
        </w:rPr>
        <w:t>The Schedule to the Principal Act is amended by omitting—</w:t>
      </w:r>
    </w:p>
    <w:tbl>
      <w:tblPr>
        <w:tblW w:w="5000" w:type="pct"/>
        <w:tblCellMar>
          <w:left w:w="40" w:type="dxa"/>
          <w:right w:w="40" w:type="dxa"/>
        </w:tblCellMar>
        <w:tblLook w:val="0000" w:firstRow="0" w:lastRow="0" w:firstColumn="0" w:lastColumn="0" w:noHBand="0" w:noVBand="0"/>
      </w:tblPr>
      <w:tblGrid>
        <w:gridCol w:w="2915"/>
        <w:gridCol w:w="4610"/>
      </w:tblGrid>
      <w:tr w:rsidR="00505EB5" w:rsidRPr="006E76F2" w14:paraId="0876F464" w14:textId="77777777" w:rsidTr="00A843B7">
        <w:trPr>
          <w:trHeight w:val="269"/>
        </w:trPr>
        <w:tc>
          <w:tcPr>
            <w:tcW w:w="1937" w:type="pct"/>
          </w:tcPr>
          <w:p w14:paraId="4F8B3BAF" w14:textId="13CBD9EA" w:rsidR="00505EB5" w:rsidRPr="00B929D0" w:rsidRDefault="00505EB5" w:rsidP="00E04BF5">
            <w:pPr>
              <w:tabs>
                <w:tab w:val="left" w:leader="dot" w:pos="2781"/>
              </w:tabs>
              <w:spacing w:before="60" w:after="0" w:line="240" w:lineRule="auto"/>
              <w:ind w:firstLine="432"/>
              <w:jc w:val="both"/>
              <w:rPr>
                <w:rFonts w:ascii="Times New Roman" w:hAnsi="Times New Roman"/>
                <w:lang w:val="en-US"/>
              </w:rPr>
            </w:pPr>
            <w:r>
              <w:rPr>
                <w:rFonts w:ascii="Times New Roman" w:hAnsi="Times New Roman"/>
              </w:rPr>
              <w:t>“</w:t>
            </w:r>
            <w:r w:rsidR="00A843B7">
              <w:rPr>
                <w:rFonts w:ascii="Times New Roman" w:hAnsi="Times New Roman"/>
              </w:rPr>
              <w:t>Fift</w:t>
            </w:r>
            <w:r w:rsidR="00A843B7">
              <w:rPr>
                <w:rFonts w:ascii="Times New Roman" w:hAnsi="Times New Roman"/>
                <w:lang w:val="en-AU"/>
              </w:rPr>
              <w:t>y</w:t>
            </w:r>
            <w:r w:rsidRPr="006E76F2">
              <w:rPr>
                <w:rFonts w:ascii="Times New Roman" w:hAnsi="Times New Roman"/>
              </w:rPr>
              <w:t xml:space="preserve"> cents</w:t>
            </w:r>
            <w:r>
              <w:rPr>
                <w:rFonts w:ascii="Times New Roman" w:hAnsi="Times New Roman"/>
                <w:lang w:val="en-US"/>
              </w:rPr>
              <w:tab/>
            </w:r>
          </w:p>
        </w:tc>
        <w:tc>
          <w:tcPr>
            <w:tcW w:w="3063" w:type="pct"/>
            <w:vMerge w:val="restart"/>
          </w:tcPr>
          <w:p w14:paraId="2B7D7ED1" w14:textId="77777777" w:rsidR="00505EB5" w:rsidRPr="006E76F2" w:rsidRDefault="00505EB5" w:rsidP="00FF7B83">
            <w:pPr>
              <w:spacing w:before="60" w:after="0" w:line="240" w:lineRule="auto"/>
              <w:jc w:val="both"/>
              <w:rPr>
                <w:rFonts w:ascii="Times New Roman" w:hAnsi="Times New Roman"/>
              </w:rPr>
            </w:pPr>
            <w:r w:rsidRPr="006E76F2">
              <w:rPr>
                <w:rFonts w:ascii="Times New Roman" w:hAnsi="Times New Roman"/>
              </w:rPr>
              <w:t>copper and nickel</w:t>
            </w:r>
            <w:r>
              <w:rPr>
                <w:rFonts w:ascii="Times New Roman" w:hAnsi="Times New Roman"/>
              </w:rPr>
              <w:t>”</w:t>
            </w:r>
          </w:p>
        </w:tc>
      </w:tr>
      <w:tr w:rsidR="00505EB5" w:rsidRPr="006E76F2" w14:paraId="555C0B86" w14:textId="77777777" w:rsidTr="00FF7B83">
        <w:trPr>
          <w:trHeight w:val="20"/>
        </w:trPr>
        <w:tc>
          <w:tcPr>
            <w:tcW w:w="1937" w:type="pct"/>
          </w:tcPr>
          <w:p w14:paraId="568A5959" w14:textId="77777777" w:rsidR="00505EB5" w:rsidRPr="006E76F2" w:rsidRDefault="00505EB5" w:rsidP="00FF7B83">
            <w:pPr>
              <w:spacing w:before="60" w:after="0" w:line="240" w:lineRule="auto"/>
              <w:jc w:val="both"/>
              <w:rPr>
                <w:rFonts w:ascii="Times New Roman" w:hAnsi="Times New Roman"/>
              </w:rPr>
            </w:pPr>
            <w:r w:rsidRPr="006E76F2">
              <w:rPr>
                <w:rFonts w:ascii="Times New Roman" w:hAnsi="Times New Roman"/>
              </w:rPr>
              <w:t>and substituting—</w:t>
            </w:r>
          </w:p>
        </w:tc>
        <w:tc>
          <w:tcPr>
            <w:tcW w:w="3063" w:type="pct"/>
            <w:vMerge/>
          </w:tcPr>
          <w:p w14:paraId="14928DF1" w14:textId="77777777" w:rsidR="00505EB5" w:rsidRPr="006E76F2" w:rsidRDefault="00505EB5" w:rsidP="00FF7B83">
            <w:pPr>
              <w:spacing w:before="60" w:after="0" w:line="240" w:lineRule="auto"/>
              <w:jc w:val="both"/>
              <w:rPr>
                <w:rFonts w:ascii="Times New Roman" w:hAnsi="Times New Roman"/>
              </w:rPr>
            </w:pPr>
          </w:p>
        </w:tc>
      </w:tr>
      <w:tr w:rsidR="00505EB5" w:rsidRPr="006E76F2" w14:paraId="428A29CB" w14:textId="77777777" w:rsidTr="00FF7B83">
        <w:trPr>
          <w:trHeight w:val="20"/>
        </w:trPr>
        <w:tc>
          <w:tcPr>
            <w:tcW w:w="1937" w:type="pct"/>
          </w:tcPr>
          <w:p w14:paraId="4732FDA1" w14:textId="77777777" w:rsidR="00505EB5" w:rsidRPr="00B929D0" w:rsidRDefault="00505EB5" w:rsidP="00E04BF5">
            <w:pPr>
              <w:tabs>
                <w:tab w:val="left" w:leader="dot" w:pos="2781"/>
              </w:tabs>
              <w:spacing w:before="60" w:after="0" w:line="240" w:lineRule="auto"/>
              <w:ind w:firstLine="432"/>
              <w:jc w:val="both"/>
              <w:rPr>
                <w:rFonts w:ascii="Times New Roman" w:hAnsi="Times New Roman"/>
                <w:lang w:val="en-US"/>
              </w:rPr>
            </w:pPr>
            <w:r w:rsidRPr="00E04BF5">
              <w:rPr>
                <w:rFonts w:ascii="Times New Roman" w:hAnsi="Times New Roman"/>
                <w:lang w:val="en-US"/>
              </w:rPr>
              <w:t>“Ten dollars</w:t>
            </w:r>
            <w:r>
              <w:rPr>
                <w:rFonts w:ascii="Times New Roman" w:hAnsi="Times New Roman"/>
                <w:lang w:val="en-US"/>
              </w:rPr>
              <w:tab/>
            </w:r>
          </w:p>
        </w:tc>
        <w:tc>
          <w:tcPr>
            <w:tcW w:w="3063" w:type="pct"/>
          </w:tcPr>
          <w:p w14:paraId="0A38DD30" w14:textId="77777777" w:rsidR="00505EB5" w:rsidRPr="006E76F2" w:rsidRDefault="00505EB5" w:rsidP="00FF7B83">
            <w:pPr>
              <w:spacing w:before="60" w:after="0" w:line="240" w:lineRule="auto"/>
              <w:jc w:val="both"/>
              <w:rPr>
                <w:rFonts w:ascii="Times New Roman" w:hAnsi="Times New Roman"/>
              </w:rPr>
            </w:pPr>
            <w:r w:rsidRPr="006E76F2">
              <w:rPr>
                <w:rFonts w:ascii="Times New Roman" w:hAnsi="Times New Roman"/>
              </w:rPr>
              <w:t>92.5% silver and 7.5% other metal</w:t>
            </w:r>
          </w:p>
        </w:tc>
      </w:tr>
      <w:tr w:rsidR="00505EB5" w:rsidRPr="006E76F2" w14:paraId="3137B605" w14:textId="77777777" w:rsidTr="00FF7B83">
        <w:trPr>
          <w:trHeight w:val="20"/>
        </w:trPr>
        <w:tc>
          <w:tcPr>
            <w:tcW w:w="1937" w:type="pct"/>
            <w:tcBorders>
              <w:bottom w:val="single" w:sz="6" w:space="0" w:color="auto"/>
            </w:tcBorders>
          </w:tcPr>
          <w:p w14:paraId="497222CB" w14:textId="77777777" w:rsidR="00505EB5" w:rsidRPr="00B929D0" w:rsidRDefault="00505EB5" w:rsidP="00E04BF5">
            <w:pPr>
              <w:tabs>
                <w:tab w:val="left" w:leader="dot" w:pos="2781"/>
              </w:tabs>
              <w:spacing w:before="60" w:after="0" w:line="240" w:lineRule="auto"/>
              <w:ind w:firstLine="432"/>
              <w:jc w:val="both"/>
              <w:rPr>
                <w:rFonts w:ascii="Times New Roman" w:hAnsi="Times New Roman"/>
                <w:lang w:val="en-US"/>
              </w:rPr>
            </w:pPr>
            <w:r w:rsidRPr="00E04BF5">
              <w:rPr>
                <w:rFonts w:ascii="Times New Roman" w:hAnsi="Times New Roman"/>
                <w:lang w:val="en-US"/>
              </w:rPr>
              <w:t>“Fifty cents</w:t>
            </w:r>
            <w:r>
              <w:rPr>
                <w:rFonts w:ascii="Times New Roman" w:hAnsi="Times New Roman"/>
                <w:lang w:val="en-US"/>
              </w:rPr>
              <w:tab/>
            </w:r>
          </w:p>
        </w:tc>
        <w:tc>
          <w:tcPr>
            <w:tcW w:w="3063" w:type="pct"/>
            <w:tcBorders>
              <w:bottom w:val="single" w:sz="6" w:space="0" w:color="auto"/>
            </w:tcBorders>
          </w:tcPr>
          <w:p w14:paraId="3AAD9B9D" w14:textId="77777777" w:rsidR="00505EB5" w:rsidRPr="006E76F2" w:rsidRDefault="00505EB5" w:rsidP="00FF7B83">
            <w:pPr>
              <w:spacing w:before="60" w:after="60" w:line="240" w:lineRule="auto"/>
              <w:jc w:val="both"/>
              <w:rPr>
                <w:rFonts w:ascii="Times New Roman" w:hAnsi="Times New Roman"/>
              </w:rPr>
            </w:pPr>
            <w:r w:rsidRPr="006E76F2">
              <w:rPr>
                <w:rFonts w:ascii="Times New Roman" w:hAnsi="Times New Roman"/>
              </w:rPr>
              <w:t>copper and nickel</w:t>
            </w:r>
            <w:r>
              <w:rPr>
                <w:rFonts w:ascii="Times New Roman" w:hAnsi="Times New Roman"/>
              </w:rPr>
              <w:t>”</w:t>
            </w:r>
            <w:r w:rsidRPr="006E76F2">
              <w:rPr>
                <w:rFonts w:ascii="Times New Roman" w:hAnsi="Times New Roman"/>
              </w:rPr>
              <w:t>.</w:t>
            </w:r>
          </w:p>
        </w:tc>
      </w:tr>
    </w:tbl>
    <w:p w14:paraId="414EAB71" w14:textId="77777777" w:rsidR="00505EB5" w:rsidRPr="00F65B53" w:rsidRDefault="00505EB5" w:rsidP="00505EB5">
      <w:pPr>
        <w:spacing w:before="120" w:after="0" w:line="240" w:lineRule="auto"/>
        <w:jc w:val="center"/>
        <w:rPr>
          <w:rFonts w:ascii="Times New Roman" w:hAnsi="Times New Roman"/>
          <w:b/>
        </w:rPr>
      </w:pPr>
      <w:r w:rsidRPr="00F65B53">
        <w:rPr>
          <w:rFonts w:ascii="Times New Roman" w:hAnsi="Times New Roman"/>
          <w:b/>
        </w:rPr>
        <w:t>NOTE</w:t>
      </w:r>
    </w:p>
    <w:p w14:paraId="0213EECA" w14:textId="77777777" w:rsidR="00505EB5" w:rsidRPr="00B929D0" w:rsidRDefault="00505EB5" w:rsidP="00505EB5">
      <w:pPr>
        <w:spacing w:before="120" w:after="0" w:line="240" w:lineRule="auto"/>
        <w:ind w:left="288" w:hanging="288"/>
        <w:jc w:val="both"/>
        <w:rPr>
          <w:rFonts w:ascii="Times New Roman" w:hAnsi="Times New Roman"/>
          <w:sz w:val="20"/>
        </w:rPr>
      </w:pPr>
      <w:r w:rsidRPr="00B929D0">
        <w:rPr>
          <w:rFonts w:ascii="Times New Roman" w:hAnsi="Times New Roman"/>
          <w:sz w:val="20"/>
        </w:rPr>
        <w:t>1. No. 95, 1965, as amended. For previous amendments, see No. 4, 1969; No. 216, 1973; and No. 17, 1980.</w:t>
      </w:r>
    </w:p>
    <w:sectPr w:rsidR="00505EB5" w:rsidRPr="00B929D0" w:rsidSect="00C65456">
      <w:headerReference w:type="default" r:id="rId8"/>
      <w:pgSz w:w="10325" w:h="14573" w:code="13"/>
      <w:pgMar w:top="1440" w:right="1440" w:bottom="1440" w:left="1440" w:header="720" w:footer="432"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3DF8D1" w15:done="0"/>
  <w15:commentEx w15:paraId="0E6D2F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3DF8D1" w16cid:durableId="1F969FF9"/>
  <w16cid:commentId w16cid:paraId="0E6D2FE2" w16cid:durableId="1F96A0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A7630" w14:textId="77777777" w:rsidR="0051431E" w:rsidRDefault="0051431E" w:rsidP="00C65456">
      <w:pPr>
        <w:spacing w:after="0" w:line="240" w:lineRule="auto"/>
      </w:pPr>
      <w:r>
        <w:separator/>
      </w:r>
    </w:p>
  </w:endnote>
  <w:endnote w:type="continuationSeparator" w:id="0">
    <w:p w14:paraId="5C0CA774" w14:textId="77777777" w:rsidR="0051431E" w:rsidRDefault="0051431E" w:rsidP="00C6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B4293" w14:textId="77777777" w:rsidR="0051431E" w:rsidRDefault="0051431E" w:rsidP="00C65456">
      <w:pPr>
        <w:spacing w:after="0" w:line="240" w:lineRule="auto"/>
      </w:pPr>
      <w:r>
        <w:separator/>
      </w:r>
    </w:p>
  </w:footnote>
  <w:footnote w:type="continuationSeparator" w:id="0">
    <w:p w14:paraId="4531E84B" w14:textId="77777777" w:rsidR="0051431E" w:rsidRDefault="0051431E" w:rsidP="00C65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C50BD" w14:textId="77777777" w:rsidR="00C65456" w:rsidRPr="00C65456" w:rsidRDefault="00C65456" w:rsidP="00C65456">
    <w:pPr>
      <w:spacing w:after="0" w:line="240" w:lineRule="auto"/>
      <w:jc w:val="center"/>
      <w:rPr>
        <w:rFonts w:ascii="Times New Roman" w:hAnsi="Times New Roman"/>
        <w:sz w:val="20"/>
        <w:szCs w:val="21"/>
        <w:lang w:val="en-US"/>
      </w:rPr>
    </w:pPr>
    <w:r w:rsidRPr="00C65456">
      <w:rPr>
        <w:rFonts w:ascii="Times New Roman" w:hAnsi="Times New Roman"/>
        <w:i/>
        <w:sz w:val="20"/>
        <w:szCs w:val="21"/>
      </w:rPr>
      <w:t>Currency Amendment</w:t>
    </w:r>
    <w:r>
      <w:rPr>
        <w:rFonts w:ascii="Times New Roman" w:hAnsi="Times New Roman"/>
        <w:i/>
        <w:sz w:val="20"/>
        <w:szCs w:val="21"/>
        <w:lang w:val="en-US"/>
      </w:rPr>
      <w:tab/>
    </w:r>
    <w:r w:rsidRPr="00C65456">
      <w:rPr>
        <w:rFonts w:ascii="Times New Roman" w:hAnsi="Times New Roman"/>
        <w:i/>
        <w:sz w:val="20"/>
        <w:szCs w:val="21"/>
      </w:rPr>
      <w:t>No. 11,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05EB5"/>
    <w:rsid w:val="00085C24"/>
    <w:rsid w:val="002911C6"/>
    <w:rsid w:val="004F102A"/>
    <w:rsid w:val="00505EB5"/>
    <w:rsid w:val="0051431E"/>
    <w:rsid w:val="00536DA7"/>
    <w:rsid w:val="006015F2"/>
    <w:rsid w:val="00621E39"/>
    <w:rsid w:val="006A5EDA"/>
    <w:rsid w:val="006C34E2"/>
    <w:rsid w:val="00756323"/>
    <w:rsid w:val="00864A04"/>
    <w:rsid w:val="00933D03"/>
    <w:rsid w:val="00992770"/>
    <w:rsid w:val="009C4840"/>
    <w:rsid w:val="00A150B3"/>
    <w:rsid w:val="00A843B7"/>
    <w:rsid w:val="00BB75B4"/>
    <w:rsid w:val="00BE43EB"/>
    <w:rsid w:val="00C65456"/>
    <w:rsid w:val="00C74C28"/>
    <w:rsid w:val="00CC7E6A"/>
    <w:rsid w:val="00CD78F9"/>
    <w:rsid w:val="00D579F5"/>
    <w:rsid w:val="00D64E38"/>
    <w:rsid w:val="00E04BF5"/>
    <w:rsid w:val="00E61145"/>
    <w:rsid w:val="00E900EF"/>
    <w:rsid w:val="00F04AE8"/>
    <w:rsid w:val="00F65B53"/>
    <w:rsid w:val="00FF2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E6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EB5"/>
    <w:pPr>
      <w:spacing w:after="160" w:line="259" w:lineRule="auto"/>
    </w:pPr>
    <w:rPr>
      <w:rFonts w:eastAsiaTheme="minorEastAsia"/>
      <w:lang w:val="ga-IE" w:eastAsia="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0B3"/>
    <w:rPr>
      <w:rFonts w:ascii="Tahoma" w:eastAsiaTheme="minorEastAsia" w:hAnsi="Tahoma" w:cs="Tahoma"/>
      <w:sz w:val="16"/>
      <w:szCs w:val="16"/>
      <w:lang w:val="ga-IE" w:eastAsia="ga-IE"/>
    </w:rPr>
  </w:style>
  <w:style w:type="paragraph" w:styleId="Header">
    <w:name w:val="header"/>
    <w:basedOn w:val="Normal"/>
    <w:link w:val="HeaderChar"/>
    <w:uiPriority w:val="99"/>
    <w:semiHidden/>
    <w:unhideWhenUsed/>
    <w:rsid w:val="00C654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5456"/>
    <w:rPr>
      <w:rFonts w:eastAsiaTheme="minorEastAsia"/>
      <w:lang w:val="ga-IE" w:eastAsia="ga-IE"/>
    </w:rPr>
  </w:style>
  <w:style w:type="paragraph" w:styleId="Footer">
    <w:name w:val="footer"/>
    <w:basedOn w:val="Normal"/>
    <w:link w:val="FooterChar"/>
    <w:uiPriority w:val="99"/>
    <w:semiHidden/>
    <w:unhideWhenUsed/>
    <w:rsid w:val="00C654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5456"/>
    <w:rPr>
      <w:rFonts w:eastAsiaTheme="minorEastAsia"/>
      <w:lang w:val="ga-IE" w:eastAsia="ga-IE"/>
    </w:rPr>
  </w:style>
  <w:style w:type="character" w:styleId="CommentReference">
    <w:name w:val="annotation reference"/>
    <w:basedOn w:val="DefaultParagraphFont"/>
    <w:uiPriority w:val="99"/>
    <w:semiHidden/>
    <w:unhideWhenUsed/>
    <w:rsid w:val="006C34E2"/>
    <w:rPr>
      <w:sz w:val="16"/>
      <w:szCs w:val="16"/>
    </w:rPr>
  </w:style>
  <w:style w:type="paragraph" w:styleId="CommentText">
    <w:name w:val="annotation text"/>
    <w:basedOn w:val="Normal"/>
    <w:link w:val="CommentTextChar"/>
    <w:uiPriority w:val="99"/>
    <w:semiHidden/>
    <w:unhideWhenUsed/>
    <w:rsid w:val="006C34E2"/>
    <w:pPr>
      <w:spacing w:line="240" w:lineRule="auto"/>
    </w:pPr>
    <w:rPr>
      <w:sz w:val="20"/>
      <w:szCs w:val="20"/>
    </w:rPr>
  </w:style>
  <w:style w:type="character" w:customStyle="1" w:styleId="CommentTextChar">
    <w:name w:val="Comment Text Char"/>
    <w:basedOn w:val="DefaultParagraphFont"/>
    <w:link w:val="CommentText"/>
    <w:uiPriority w:val="99"/>
    <w:semiHidden/>
    <w:rsid w:val="006C34E2"/>
    <w:rPr>
      <w:rFonts w:eastAsiaTheme="minorEastAsia"/>
      <w:sz w:val="20"/>
      <w:szCs w:val="20"/>
      <w:lang w:val="ga-IE" w:eastAsia="ga-IE"/>
    </w:rPr>
  </w:style>
  <w:style w:type="paragraph" w:styleId="CommentSubject">
    <w:name w:val="annotation subject"/>
    <w:basedOn w:val="CommentText"/>
    <w:next w:val="CommentText"/>
    <w:link w:val="CommentSubjectChar"/>
    <w:uiPriority w:val="99"/>
    <w:semiHidden/>
    <w:unhideWhenUsed/>
    <w:rsid w:val="006C34E2"/>
    <w:rPr>
      <w:b/>
      <w:bCs/>
    </w:rPr>
  </w:style>
  <w:style w:type="character" w:customStyle="1" w:styleId="CommentSubjectChar">
    <w:name w:val="Comment Subject Char"/>
    <w:basedOn w:val="CommentTextChar"/>
    <w:link w:val="CommentSubject"/>
    <w:uiPriority w:val="99"/>
    <w:semiHidden/>
    <w:rsid w:val="006C34E2"/>
    <w:rPr>
      <w:rFonts w:eastAsiaTheme="minorEastAsia"/>
      <w:b/>
      <w:bCs/>
      <w:sz w:val="20"/>
      <w:szCs w:val="20"/>
      <w:lang w:val="ga-IE" w:eastAsia="ga-IE"/>
    </w:rPr>
  </w:style>
  <w:style w:type="paragraph" w:styleId="Revision">
    <w:name w:val="Revision"/>
    <w:hidden/>
    <w:uiPriority w:val="99"/>
    <w:semiHidden/>
    <w:rsid w:val="00992770"/>
    <w:pPr>
      <w:spacing w:after="0" w:line="240" w:lineRule="auto"/>
    </w:pPr>
    <w:rPr>
      <w:rFonts w:eastAsiaTheme="minorEastAsia"/>
      <w:lang w:val="ga-IE" w:eastAsia="ga-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Pettingill, Tia</cp:lastModifiedBy>
  <cp:revision>5</cp:revision>
  <dcterms:created xsi:type="dcterms:W3CDTF">2018-11-14T03:23:00Z</dcterms:created>
  <dcterms:modified xsi:type="dcterms:W3CDTF">2019-09-11T23:14:00Z</dcterms:modified>
</cp:coreProperties>
</file>