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1036F" w14:textId="37AF8A83" w:rsidR="00277EA6" w:rsidRPr="006338A0" w:rsidRDefault="00092487" w:rsidP="00C05ACF">
      <w:pPr>
        <w:spacing w:before="0"/>
        <w:ind w:firstLine="0"/>
        <w:jc w:val="center"/>
      </w:pPr>
      <w:r>
        <w:pict w14:anchorId="5E50D172">
          <v:shape id="_x0000_i1025" style="width:108.95pt;height:79.5pt" coordsize="21600,21600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14:paraId="2B6DBABA" w14:textId="77777777" w:rsidR="00277EA6" w:rsidRPr="006338A0" w:rsidRDefault="00CB5EC3" w:rsidP="00C05ACF">
      <w:pPr>
        <w:pStyle w:val="Title"/>
      </w:pPr>
      <w:r w:rsidRPr="006338A0">
        <w:t>Custo</w:t>
      </w:r>
      <w:bookmarkStart w:id="0" w:name="_GoBack"/>
      <w:bookmarkEnd w:id="0"/>
      <w:r w:rsidRPr="006338A0">
        <w:t>ms Tariff (Anti-Dumping) Amendment Act (No. 2) 1982</w:t>
      </w:r>
    </w:p>
    <w:p w14:paraId="2BA13FB9" w14:textId="77777777" w:rsidR="00277EA6" w:rsidRDefault="00785DC5" w:rsidP="00C05ACF">
      <w:pPr>
        <w:pStyle w:val="Subtitle"/>
      </w:pPr>
      <w:r w:rsidRPr="006338A0">
        <w:t>No. 136 of 1982</w:t>
      </w:r>
    </w:p>
    <w:p w14:paraId="641660FD" w14:textId="77777777" w:rsidR="00C05ACF" w:rsidRDefault="00C05ACF" w:rsidP="00C05ACF"/>
    <w:p w14:paraId="4993C05F" w14:textId="77777777" w:rsidR="00C05ACF" w:rsidRDefault="00C05ACF" w:rsidP="00C05ACF">
      <w:pPr>
        <w:pBdr>
          <w:bottom w:val="thickThinSmallGap" w:sz="24" w:space="1" w:color="auto"/>
        </w:pBdr>
      </w:pPr>
    </w:p>
    <w:p w14:paraId="4447DD05" w14:textId="77777777" w:rsidR="00C05ACF" w:rsidRDefault="00C05ACF" w:rsidP="00C05ACF"/>
    <w:p w14:paraId="13F6E0DC" w14:textId="77777777" w:rsidR="00C05ACF" w:rsidRPr="00C05ACF" w:rsidRDefault="00C05ACF" w:rsidP="00C05ACF"/>
    <w:p w14:paraId="011D1BD0" w14:textId="77777777" w:rsidR="00277EA6" w:rsidRPr="006338A0" w:rsidRDefault="00CB5EC3" w:rsidP="00C05ACF">
      <w:pPr>
        <w:pStyle w:val="intro"/>
      </w:pPr>
      <w:r w:rsidRPr="006338A0">
        <w:t xml:space="preserve">An Act to repeal section 14 of the </w:t>
      </w:r>
      <w:r w:rsidRPr="006338A0">
        <w:rPr>
          <w:i/>
        </w:rPr>
        <w:t>Customs Tariff (Anti-Dumping) Act 1975</w:t>
      </w:r>
      <w:r w:rsidRPr="006338A0">
        <w:t>, and for related purposes</w:t>
      </w:r>
    </w:p>
    <w:p w14:paraId="54C09D67" w14:textId="77777777" w:rsidR="00277EA6" w:rsidRPr="003C3041" w:rsidRDefault="00CB5EC3" w:rsidP="00E516FF">
      <w:pPr>
        <w:pStyle w:val="introright"/>
        <w:rPr>
          <w:sz w:val="24"/>
        </w:rPr>
      </w:pPr>
      <w:r w:rsidRPr="003C3041">
        <w:rPr>
          <w:i w:val="0"/>
          <w:sz w:val="24"/>
        </w:rPr>
        <w:t>[</w:t>
      </w:r>
      <w:r w:rsidRPr="003C3041">
        <w:rPr>
          <w:sz w:val="24"/>
        </w:rPr>
        <w:t>Assented to 23 December 1982</w:t>
      </w:r>
      <w:r w:rsidRPr="003C3041">
        <w:rPr>
          <w:i w:val="0"/>
          <w:sz w:val="24"/>
        </w:rPr>
        <w:t>]</w:t>
      </w:r>
    </w:p>
    <w:p w14:paraId="7C636403" w14:textId="77777777" w:rsidR="00277EA6" w:rsidRPr="006338A0" w:rsidRDefault="00785DC5" w:rsidP="00C05ACF">
      <w:pPr>
        <w:pStyle w:val="intro1"/>
      </w:pPr>
      <w:r w:rsidRPr="006338A0">
        <w:t>BE IT ENACTED by the Queen, and the Senate and the House of Representatives of the Commonwealth of Australia, as follows:</w:t>
      </w:r>
    </w:p>
    <w:p w14:paraId="0C00CC77" w14:textId="77777777" w:rsidR="00277EA6" w:rsidRPr="006338A0" w:rsidRDefault="00CB5EC3" w:rsidP="00C05ACF">
      <w:pPr>
        <w:pStyle w:val="heading"/>
      </w:pPr>
      <w:r w:rsidRPr="006338A0">
        <w:t>Short title, &amp;c.</w:t>
      </w:r>
    </w:p>
    <w:p w14:paraId="15B0B0FF" w14:textId="77777777" w:rsidR="00277EA6" w:rsidRPr="006338A0" w:rsidRDefault="00CB5EC3" w:rsidP="00C05ACF">
      <w:r w:rsidRPr="006338A0">
        <w:rPr>
          <w:b/>
        </w:rPr>
        <w:t>1.</w:t>
      </w:r>
      <w:r w:rsidR="00785DC5" w:rsidRPr="006338A0">
        <w:t xml:space="preserve"> </w:t>
      </w:r>
      <w:r w:rsidRPr="006338A0">
        <w:rPr>
          <w:b/>
        </w:rPr>
        <w:t xml:space="preserve">(1) </w:t>
      </w:r>
      <w:r w:rsidR="00785DC5" w:rsidRPr="006338A0">
        <w:t xml:space="preserve">This Act may be cited as the </w:t>
      </w:r>
      <w:r w:rsidRPr="006338A0">
        <w:t xml:space="preserve">Customs </w:t>
      </w:r>
      <w:r w:rsidRPr="00956C0E">
        <w:rPr>
          <w:i/>
        </w:rPr>
        <w:t>Tariff (Anti-Dumping) Amendment Act (No. 2) 1982</w:t>
      </w:r>
      <w:r w:rsidRPr="006338A0">
        <w:t>.</w:t>
      </w:r>
    </w:p>
    <w:p w14:paraId="3682F038" w14:textId="77777777" w:rsidR="00277EA6" w:rsidRPr="006338A0" w:rsidRDefault="00CB5EC3" w:rsidP="00C05ACF">
      <w:r w:rsidRPr="006338A0">
        <w:rPr>
          <w:b/>
        </w:rPr>
        <w:t xml:space="preserve">(2) </w:t>
      </w:r>
      <w:r w:rsidR="00785DC5" w:rsidRPr="006338A0">
        <w:t xml:space="preserve">The </w:t>
      </w:r>
      <w:r w:rsidRPr="00956C0E">
        <w:rPr>
          <w:i/>
        </w:rPr>
        <w:t>Customs Tariff (Anti-Dumping) Act 1975</w:t>
      </w:r>
      <w:r w:rsidRPr="006338A0">
        <w:rPr>
          <w:vertAlign w:val="superscript"/>
        </w:rPr>
        <w:t>1</w:t>
      </w:r>
      <w:r w:rsidRPr="006338A0">
        <w:t xml:space="preserve"> </w:t>
      </w:r>
      <w:r w:rsidR="00785DC5" w:rsidRPr="006338A0">
        <w:t>is in this Act referred to as the Principal Act.</w:t>
      </w:r>
    </w:p>
    <w:p w14:paraId="5846560E" w14:textId="77777777" w:rsidR="00277EA6" w:rsidRPr="006338A0" w:rsidRDefault="00CB5EC3" w:rsidP="00C05ACF">
      <w:pPr>
        <w:pStyle w:val="heading"/>
      </w:pPr>
      <w:r w:rsidRPr="006338A0">
        <w:t>Commencement</w:t>
      </w:r>
    </w:p>
    <w:p w14:paraId="1D603C64" w14:textId="77777777" w:rsidR="00277EA6" w:rsidRPr="006338A0" w:rsidRDefault="00CB5EC3" w:rsidP="00C05ACF">
      <w:r w:rsidRPr="006338A0">
        <w:rPr>
          <w:b/>
        </w:rPr>
        <w:t>2.</w:t>
      </w:r>
      <w:r w:rsidR="00785DC5" w:rsidRPr="006338A0">
        <w:t xml:space="preserve"> This Act shall be deemed to have come into operation on 24 November 1982.</w:t>
      </w:r>
    </w:p>
    <w:p w14:paraId="0FF991FC" w14:textId="77777777" w:rsidR="00277EA6" w:rsidRPr="006338A0" w:rsidRDefault="00CB5EC3" w:rsidP="00C05ACF">
      <w:pPr>
        <w:pStyle w:val="heading"/>
      </w:pPr>
      <w:r w:rsidRPr="006338A0">
        <w:t>Notices not to be published if inconsistent with international obligations</w:t>
      </w:r>
    </w:p>
    <w:p w14:paraId="74623939" w14:textId="77777777" w:rsidR="00277EA6" w:rsidRPr="006338A0" w:rsidRDefault="00CB5EC3" w:rsidP="00C05ACF">
      <w:r w:rsidRPr="006338A0">
        <w:rPr>
          <w:b/>
        </w:rPr>
        <w:t>3.</w:t>
      </w:r>
      <w:r w:rsidR="00785DC5" w:rsidRPr="006338A0">
        <w:t xml:space="preserve"> Section 14 of the Principal Act is repealed.</w:t>
      </w:r>
    </w:p>
    <w:p w14:paraId="773A4740" w14:textId="77777777" w:rsidR="00462C1B" w:rsidRPr="006338A0" w:rsidRDefault="00462C1B" w:rsidP="00C05ACF">
      <w:r w:rsidRPr="006338A0">
        <w:br w:type="page"/>
      </w:r>
    </w:p>
    <w:p w14:paraId="11CC52B8" w14:textId="77777777" w:rsidR="00C05ACF" w:rsidRPr="006338A0" w:rsidRDefault="00C05ACF" w:rsidP="00C05ACF">
      <w:pPr>
        <w:pStyle w:val="heading"/>
      </w:pPr>
      <w:r w:rsidRPr="006338A0">
        <w:lastRenderedPageBreak/>
        <w:t>Consequential amendments</w:t>
      </w:r>
    </w:p>
    <w:p w14:paraId="668E290B" w14:textId="77777777" w:rsidR="00C05ACF" w:rsidRDefault="00C05ACF" w:rsidP="00C05ACF">
      <w:r w:rsidRPr="006338A0">
        <w:rPr>
          <w:b/>
        </w:rPr>
        <w:t xml:space="preserve">4. </w:t>
      </w:r>
      <w:r w:rsidRPr="006338A0">
        <w:t>The Principal Act is amended as set out in the Schedule.</w:t>
      </w:r>
    </w:p>
    <w:p w14:paraId="76C980C8" w14:textId="77777777" w:rsidR="00CE594E" w:rsidRPr="006338A0" w:rsidRDefault="00CE594E" w:rsidP="00CE594E">
      <w:pPr>
        <w:pBdr>
          <w:bottom w:val="single" w:sz="4" w:space="1" w:color="auto"/>
        </w:pBdr>
        <w:ind w:left="2880" w:right="2880" w:firstLine="0"/>
      </w:pPr>
    </w:p>
    <w:p w14:paraId="2B5E672D" w14:textId="77777777" w:rsidR="00277EA6" w:rsidRPr="002D6AD2" w:rsidRDefault="00C05ACF" w:rsidP="00C05ACF">
      <w:pPr>
        <w:pStyle w:val="Heading1"/>
        <w:rPr>
          <w:sz w:val="22"/>
        </w:rPr>
      </w:pPr>
      <w:r w:rsidRPr="002D6AD2">
        <w:rPr>
          <w:sz w:val="22"/>
        </w:rPr>
        <w:t>SCHEDULE</w:t>
      </w:r>
    </w:p>
    <w:p w14:paraId="5FA90030" w14:textId="77777777" w:rsidR="00C05ACF" w:rsidRPr="00C05ACF" w:rsidRDefault="00C05ACF" w:rsidP="00092487">
      <w:pPr>
        <w:jc w:val="right"/>
      </w:pPr>
      <w:r w:rsidRPr="00C05ACF">
        <w:t>Section 4</w:t>
      </w:r>
    </w:p>
    <w:p w14:paraId="71791F48" w14:textId="77777777" w:rsidR="00C05ACF" w:rsidRPr="006338A0" w:rsidRDefault="00C05ACF" w:rsidP="00C05AC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0"/>
        <w:gridCol w:w="3060"/>
        <w:gridCol w:w="1365"/>
      </w:tblGrid>
      <w:tr w:rsidR="00277EA6" w:rsidRPr="00C05ACF" w14:paraId="04171E14" w14:textId="77777777" w:rsidTr="00D92222">
        <w:trPr>
          <w:trHeight w:val="250"/>
        </w:trPr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</w:tcPr>
          <w:p w14:paraId="4EB1F1E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Provision Amended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</w:tcPr>
          <w:p w14:paraId="1B9B4381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Omit—</w:t>
            </w: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</w:tcPr>
          <w:p w14:paraId="2E7971F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Substitute—</w:t>
            </w:r>
          </w:p>
        </w:tc>
      </w:tr>
      <w:tr w:rsidR="00277EA6" w:rsidRPr="00C05ACF" w14:paraId="55563040" w14:textId="77777777" w:rsidTr="00D92222">
        <w:trPr>
          <w:trHeight w:val="250"/>
        </w:trPr>
        <w:tc>
          <w:tcPr>
            <w:tcW w:w="2790" w:type="dxa"/>
            <w:tcBorders>
              <w:top w:val="single" w:sz="6" w:space="0" w:color="auto"/>
            </w:tcBorders>
          </w:tcPr>
          <w:p w14:paraId="05E9A1F6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8 (1)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</w:tcBorders>
          </w:tcPr>
          <w:p w14:paraId="6EF712C9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sections 13 and 14</w:t>
            </w:r>
          </w:p>
        </w:tc>
        <w:tc>
          <w:tcPr>
            <w:tcW w:w="1365" w:type="dxa"/>
            <w:tcBorders>
              <w:top w:val="single" w:sz="6" w:space="0" w:color="auto"/>
            </w:tcBorders>
          </w:tcPr>
          <w:p w14:paraId="1798A09C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 13</w:t>
            </w:r>
          </w:p>
        </w:tc>
      </w:tr>
      <w:tr w:rsidR="00277EA6" w:rsidRPr="00C05ACF" w14:paraId="49C46C89" w14:textId="77777777" w:rsidTr="00D92222">
        <w:trPr>
          <w:trHeight w:val="250"/>
        </w:trPr>
        <w:tc>
          <w:tcPr>
            <w:tcW w:w="2790" w:type="dxa"/>
          </w:tcPr>
          <w:p w14:paraId="6685EE33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8 (2)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3B100A65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Subject to section 14, where</w:t>
            </w:r>
          </w:p>
        </w:tc>
        <w:tc>
          <w:tcPr>
            <w:tcW w:w="1365" w:type="dxa"/>
          </w:tcPr>
          <w:p w14:paraId="716BA5CC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20E5431E" w14:textId="77777777" w:rsidTr="00D92222">
        <w:trPr>
          <w:trHeight w:val="250"/>
        </w:trPr>
        <w:tc>
          <w:tcPr>
            <w:tcW w:w="2790" w:type="dxa"/>
          </w:tcPr>
          <w:p w14:paraId="0F848D21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9 (1)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6B26D7CB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sections 13 and 14</w:t>
            </w:r>
          </w:p>
        </w:tc>
        <w:tc>
          <w:tcPr>
            <w:tcW w:w="1365" w:type="dxa"/>
          </w:tcPr>
          <w:p w14:paraId="4C317869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 13</w:t>
            </w:r>
          </w:p>
        </w:tc>
      </w:tr>
      <w:tr w:rsidR="00277EA6" w:rsidRPr="00C05ACF" w14:paraId="5B9C7B7D" w14:textId="77777777" w:rsidTr="00D92222">
        <w:trPr>
          <w:trHeight w:val="250"/>
        </w:trPr>
        <w:tc>
          <w:tcPr>
            <w:tcW w:w="2790" w:type="dxa"/>
          </w:tcPr>
          <w:p w14:paraId="164C89C0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9 (2)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114D58E7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Subject to section 14, where</w:t>
            </w:r>
          </w:p>
        </w:tc>
        <w:tc>
          <w:tcPr>
            <w:tcW w:w="1365" w:type="dxa"/>
          </w:tcPr>
          <w:p w14:paraId="5F585AB3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53EA72E5" w14:textId="77777777" w:rsidTr="00D92222">
        <w:trPr>
          <w:trHeight w:val="250"/>
        </w:trPr>
        <w:tc>
          <w:tcPr>
            <w:tcW w:w="2790" w:type="dxa"/>
          </w:tcPr>
          <w:p w14:paraId="1D3A4AEC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10 (1)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6058F169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sections 13 and 14</w:t>
            </w:r>
          </w:p>
        </w:tc>
        <w:tc>
          <w:tcPr>
            <w:tcW w:w="1365" w:type="dxa"/>
          </w:tcPr>
          <w:p w14:paraId="4F323364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 13</w:t>
            </w:r>
          </w:p>
        </w:tc>
      </w:tr>
      <w:tr w:rsidR="00277EA6" w:rsidRPr="00C05ACF" w14:paraId="333AA4D0" w14:textId="77777777" w:rsidTr="00D92222">
        <w:trPr>
          <w:trHeight w:val="250"/>
        </w:trPr>
        <w:tc>
          <w:tcPr>
            <w:tcW w:w="2790" w:type="dxa"/>
          </w:tcPr>
          <w:p w14:paraId="6446A6C9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10 (2)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057966E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Subject to section 14, where</w:t>
            </w:r>
          </w:p>
        </w:tc>
        <w:tc>
          <w:tcPr>
            <w:tcW w:w="1365" w:type="dxa"/>
          </w:tcPr>
          <w:p w14:paraId="1D6E803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253DD5B6" w14:textId="77777777" w:rsidTr="00D92222">
        <w:trPr>
          <w:trHeight w:val="250"/>
        </w:trPr>
        <w:tc>
          <w:tcPr>
            <w:tcW w:w="2790" w:type="dxa"/>
          </w:tcPr>
          <w:p w14:paraId="6BD194AE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10 (2</w:t>
            </w:r>
            <w:r w:rsidR="00CB5EC3" w:rsidRPr="00956C0E">
              <w:rPr>
                <w:smallCaps/>
                <w:sz w:val="20"/>
                <w:szCs w:val="20"/>
              </w:rPr>
              <w:t>b)</w:t>
            </w:r>
            <w:r w:rsidR="00C05ACF" w:rsidRPr="00956C0E">
              <w:rPr>
                <w:smallCaps/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6241BE3C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Notwithstanding section 14, where</w:t>
            </w:r>
          </w:p>
        </w:tc>
        <w:tc>
          <w:tcPr>
            <w:tcW w:w="1365" w:type="dxa"/>
          </w:tcPr>
          <w:p w14:paraId="0F2BFAB6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6283409B" w14:textId="77777777" w:rsidTr="00D92222">
        <w:trPr>
          <w:trHeight w:val="250"/>
        </w:trPr>
        <w:tc>
          <w:tcPr>
            <w:tcW w:w="2790" w:type="dxa"/>
          </w:tcPr>
          <w:p w14:paraId="503C666E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10 (2</w:t>
            </w:r>
            <w:r w:rsidRPr="00956C0E">
              <w:rPr>
                <w:smallCaps/>
                <w:sz w:val="20"/>
                <w:szCs w:val="20"/>
              </w:rPr>
              <w:t>c</w:t>
            </w:r>
            <w:r w:rsidRPr="00956C0E">
              <w:rPr>
                <w:sz w:val="20"/>
                <w:szCs w:val="20"/>
              </w:rPr>
              <w:t>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38327675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Notwithstanding section 14, where</w:t>
            </w:r>
          </w:p>
        </w:tc>
        <w:tc>
          <w:tcPr>
            <w:tcW w:w="1365" w:type="dxa"/>
          </w:tcPr>
          <w:p w14:paraId="02F740F2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44F63A29" w14:textId="77777777" w:rsidTr="00D92222">
        <w:trPr>
          <w:trHeight w:val="250"/>
        </w:trPr>
        <w:tc>
          <w:tcPr>
            <w:tcW w:w="2790" w:type="dxa"/>
          </w:tcPr>
          <w:p w14:paraId="60525918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10 (2</w:t>
            </w:r>
            <w:r w:rsidR="00CB5EC3" w:rsidRPr="00956C0E">
              <w:rPr>
                <w:smallCaps/>
                <w:sz w:val="20"/>
                <w:szCs w:val="20"/>
              </w:rPr>
              <w:t>d)</w:t>
            </w:r>
            <w:r w:rsidR="00C05ACF" w:rsidRPr="00956C0E">
              <w:rPr>
                <w:smallCaps/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5230D5F1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Notwithstanding section 14, where</w:t>
            </w:r>
          </w:p>
        </w:tc>
        <w:tc>
          <w:tcPr>
            <w:tcW w:w="1365" w:type="dxa"/>
          </w:tcPr>
          <w:p w14:paraId="368C71CB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  <w:tr w:rsidR="00277EA6" w:rsidRPr="00C05ACF" w14:paraId="4595D304" w14:textId="77777777" w:rsidTr="00D92222">
        <w:trPr>
          <w:trHeight w:val="250"/>
        </w:trPr>
        <w:tc>
          <w:tcPr>
            <w:tcW w:w="2790" w:type="dxa"/>
          </w:tcPr>
          <w:p w14:paraId="35220053" w14:textId="427116CF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11</w:t>
            </w:r>
            <w:r w:rsidR="00092487">
              <w:rPr>
                <w:sz w:val="20"/>
                <w:szCs w:val="20"/>
              </w:rPr>
              <w:t xml:space="preserve"> </w:t>
            </w:r>
            <w:r w:rsidRPr="00956C0E">
              <w:rPr>
                <w:sz w:val="20"/>
                <w:szCs w:val="20"/>
              </w:rPr>
              <w:t>(1)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</w:tcBorders>
          </w:tcPr>
          <w:p w14:paraId="74734A4A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sections 13 and 14</w:t>
            </w:r>
          </w:p>
        </w:tc>
        <w:tc>
          <w:tcPr>
            <w:tcW w:w="1365" w:type="dxa"/>
          </w:tcPr>
          <w:p w14:paraId="05F5E66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section 13</w:t>
            </w:r>
          </w:p>
        </w:tc>
      </w:tr>
      <w:tr w:rsidR="00277EA6" w:rsidRPr="00C05ACF" w14:paraId="09BE5169" w14:textId="77777777" w:rsidTr="00D92222">
        <w:trPr>
          <w:trHeight w:val="250"/>
        </w:trPr>
        <w:tc>
          <w:tcPr>
            <w:tcW w:w="2790" w:type="dxa"/>
            <w:tcBorders>
              <w:bottom w:val="single" w:sz="6" w:space="0" w:color="auto"/>
            </w:tcBorders>
          </w:tcPr>
          <w:p w14:paraId="1FCD1E1E" w14:textId="77777777" w:rsidR="00277EA6" w:rsidRPr="00956C0E" w:rsidRDefault="00785DC5" w:rsidP="00C05ACF">
            <w:pPr>
              <w:tabs>
                <w:tab w:val="left" w:leader="dot" w:pos="2297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Sub-section 11 (2)</w:t>
            </w:r>
            <w:r w:rsidR="00C05ACF" w:rsidRPr="00956C0E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nil"/>
              <w:bottom w:val="single" w:sz="6" w:space="0" w:color="auto"/>
            </w:tcBorders>
          </w:tcPr>
          <w:p w14:paraId="1B091A53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Subject to section 14, where</w:t>
            </w:r>
          </w:p>
        </w:tc>
        <w:tc>
          <w:tcPr>
            <w:tcW w:w="1365" w:type="dxa"/>
            <w:tcBorders>
              <w:bottom w:val="single" w:sz="6" w:space="0" w:color="auto"/>
            </w:tcBorders>
          </w:tcPr>
          <w:p w14:paraId="4743A92F" w14:textId="77777777" w:rsidR="00277EA6" w:rsidRPr="00956C0E" w:rsidRDefault="00785DC5" w:rsidP="00C05ACF">
            <w:pPr>
              <w:spacing w:before="0"/>
              <w:ind w:firstLine="0"/>
              <w:rPr>
                <w:sz w:val="20"/>
                <w:szCs w:val="20"/>
              </w:rPr>
            </w:pPr>
            <w:r w:rsidRPr="00956C0E">
              <w:rPr>
                <w:sz w:val="20"/>
                <w:szCs w:val="20"/>
              </w:rPr>
              <w:t>Where</w:t>
            </w:r>
          </w:p>
        </w:tc>
      </w:tr>
    </w:tbl>
    <w:p w14:paraId="6545DABF" w14:textId="77777777" w:rsidR="00277EA6" w:rsidRPr="003C3041" w:rsidRDefault="00785DC5" w:rsidP="00D92222">
      <w:pPr>
        <w:pStyle w:val="Heading1"/>
        <w:rPr>
          <w:sz w:val="22"/>
        </w:rPr>
      </w:pPr>
      <w:r w:rsidRPr="003C3041">
        <w:rPr>
          <w:sz w:val="22"/>
        </w:rPr>
        <w:t>NOTE</w:t>
      </w:r>
    </w:p>
    <w:p w14:paraId="43E5B4AB" w14:textId="77777777" w:rsidR="00277EA6" w:rsidRPr="006338A0" w:rsidRDefault="00785DC5" w:rsidP="00D92222">
      <w:pPr>
        <w:pStyle w:val="note"/>
      </w:pPr>
      <w:r w:rsidRPr="006338A0">
        <w:t>1. No. 76, 1975, as amended. For previous amendments, see No. 66, 1981; and Nos. 53, 68 and 114, 1982.</w:t>
      </w:r>
    </w:p>
    <w:sectPr w:rsidR="00277EA6" w:rsidRPr="006338A0" w:rsidSect="00D92222">
      <w:headerReference w:type="default" r:id="rId8"/>
      <w:pgSz w:w="10080" w:h="1440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0AD41F" w15:done="0"/>
  <w15:commentEx w15:paraId="788F3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AD41F" w16cid:durableId="1FCF3433"/>
  <w16cid:commentId w16cid:paraId="788F3D1D" w16cid:durableId="1FCF35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745F" w14:textId="77777777" w:rsidR="001A49B9" w:rsidRDefault="001A49B9" w:rsidP="00C05ACF">
      <w:pPr>
        <w:spacing w:before="0"/>
      </w:pPr>
      <w:r>
        <w:separator/>
      </w:r>
    </w:p>
  </w:endnote>
  <w:endnote w:type="continuationSeparator" w:id="0">
    <w:p w14:paraId="74D77E6D" w14:textId="77777777" w:rsidR="001A49B9" w:rsidRDefault="001A49B9" w:rsidP="00C05A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EDA3" w14:textId="77777777" w:rsidR="001A49B9" w:rsidRDefault="001A49B9" w:rsidP="00C05ACF">
      <w:pPr>
        <w:spacing w:before="0"/>
      </w:pPr>
      <w:r>
        <w:separator/>
      </w:r>
    </w:p>
  </w:footnote>
  <w:footnote w:type="continuationSeparator" w:id="0">
    <w:p w14:paraId="2E236F8B" w14:textId="77777777" w:rsidR="001A49B9" w:rsidRDefault="001A49B9" w:rsidP="00C05A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6267" w14:textId="77777777" w:rsidR="00C05ACF" w:rsidRPr="00C05ACF" w:rsidRDefault="00C05ACF" w:rsidP="00CE594E">
    <w:pPr>
      <w:pStyle w:val="Header"/>
      <w:tabs>
        <w:tab w:val="clear" w:pos="4680"/>
        <w:tab w:val="center" w:pos="4995"/>
      </w:tabs>
      <w:ind w:firstLine="0"/>
      <w:jc w:val="right"/>
      <w:rPr>
        <w:i/>
        <w:sz w:val="20"/>
      </w:rPr>
    </w:pPr>
    <w:r w:rsidRPr="00C05ACF">
      <w:rPr>
        <w:i/>
        <w:sz w:val="20"/>
      </w:rPr>
      <w:t>Customs Tariff (Anti-Dumping) Amendment (No. 2)</w:t>
    </w:r>
    <w:r>
      <w:rPr>
        <w:i/>
        <w:sz w:val="20"/>
      </w:rPr>
      <w:tab/>
    </w:r>
    <w:r w:rsidRPr="00C05ACF">
      <w:rPr>
        <w:i/>
        <w:sz w:val="20"/>
      </w:rPr>
      <w:t>No. 136,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939"/>
    <w:rsid w:val="00092487"/>
    <w:rsid w:val="001A49B9"/>
    <w:rsid w:val="00257C8E"/>
    <w:rsid w:val="002D6AD2"/>
    <w:rsid w:val="002E0328"/>
    <w:rsid w:val="00390E80"/>
    <w:rsid w:val="003C3041"/>
    <w:rsid w:val="00443F08"/>
    <w:rsid w:val="00462C1B"/>
    <w:rsid w:val="00587FCB"/>
    <w:rsid w:val="0060673D"/>
    <w:rsid w:val="006338A0"/>
    <w:rsid w:val="00683D4F"/>
    <w:rsid w:val="00750939"/>
    <w:rsid w:val="00766062"/>
    <w:rsid w:val="00785DC5"/>
    <w:rsid w:val="00851B22"/>
    <w:rsid w:val="009347E0"/>
    <w:rsid w:val="00956C0E"/>
    <w:rsid w:val="00A077F1"/>
    <w:rsid w:val="00B94E36"/>
    <w:rsid w:val="00C05ACF"/>
    <w:rsid w:val="00CB5EC3"/>
    <w:rsid w:val="00CE594E"/>
    <w:rsid w:val="00D00EE9"/>
    <w:rsid w:val="00D92222"/>
    <w:rsid w:val="00E516FF"/>
    <w:rsid w:val="00EC2CC8"/>
    <w:rsid w:val="00EF010D"/>
    <w:rsid w:val="00F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DAD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D2"/>
    <w:pPr>
      <w:widowControl w:val="0"/>
      <w:autoSpaceDE w:val="0"/>
      <w:autoSpaceDN w:val="0"/>
      <w:adjustRightInd w:val="0"/>
      <w:spacing w:before="60" w:after="0" w:line="240" w:lineRule="auto"/>
      <w:ind w:firstLine="288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D2"/>
    <w:pPr>
      <w:keepNext/>
      <w:spacing w:before="120" w:after="60"/>
      <w:ind w:firstLine="0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AD2"/>
    <w:pPr>
      <w:keepNext/>
      <w:spacing w:before="120" w:after="60"/>
      <w:ind w:firstLine="0"/>
      <w:jc w:val="center"/>
      <w:outlineLvl w:val="1"/>
    </w:pPr>
    <w:rPr>
      <w:rFonts w:eastAsiaTheme="majorEastAsi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AD2"/>
    <w:pPr>
      <w:keepNext/>
      <w:spacing w:before="120" w:after="60"/>
      <w:ind w:firstLine="0"/>
      <w:jc w:val="center"/>
      <w:outlineLvl w:val="2"/>
    </w:pPr>
    <w:rPr>
      <w:rFonts w:eastAsiaTheme="majorEastAsia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AD2"/>
    <w:pPr>
      <w:keepNext/>
      <w:spacing w:before="120" w:after="60"/>
      <w:ind w:firstLine="0"/>
      <w:jc w:val="center"/>
      <w:outlineLvl w:val="3"/>
    </w:pPr>
    <w:rPr>
      <w:b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D6AD2"/>
    <w:rPr>
      <w:rFonts w:eastAsia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2D6AD2"/>
    <w:rPr>
      <w:rFonts w:eastAsia="Times New Roman"/>
      <w:sz w:val="20"/>
      <w:szCs w:val="20"/>
    </w:rPr>
  </w:style>
  <w:style w:type="paragraph" w:customStyle="1" w:styleId="Style536">
    <w:name w:val="Style536"/>
    <w:basedOn w:val="Normal"/>
    <w:rsid w:val="00766062"/>
    <w:rPr>
      <w:rFonts w:eastAsia="Times New Roman"/>
      <w:sz w:val="20"/>
      <w:szCs w:val="20"/>
    </w:rPr>
  </w:style>
  <w:style w:type="paragraph" w:customStyle="1" w:styleId="Style44">
    <w:name w:val="Style44"/>
    <w:basedOn w:val="Normal"/>
    <w:rsid w:val="002D6AD2"/>
    <w:rPr>
      <w:rFonts w:eastAsia="Times New Roman"/>
      <w:sz w:val="20"/>
      <w:szCs w:val="20"/>
    </w:rPr>
  </w:style>
  <w:style w:type="paragraph" w:customStyle="1" w:styleId="Style45">
    <w:name w:val="Style45"/>
    <w:basedOn w:val="Normal"/>
    <w:rsid w:val="002D6AD2"/>
    <w:rPr>
      <w:rFonts w:eastAsia="Times New Roman"/>
      <w:sz w:val="20"/>
      <w:szCs w:val="20"/>
    </w:rPr>
  </w:style>
  <w:style w:type="paragraph" w:customStyle="1" w:styleId="Style46">
    <w:name w:val="Style46"/>
    <w:basedOn w:val="Normal"/>
    <w:rsid w:val="002D6AD2"/>
    <w:rPr>
      <w:rFonts w:eastAsia="Times New Roman"/>
      <w:sz w:val="20"/>
      <w:szCs w:val="20"/>
    </w:rPr>
  </w:style>
  <w:style w:type="paragraph" w:customStyle="1" w:styleId="Style51">
    <w:name w:val="Style51"/>
    <w:basedOn w:val="Normal"/>
    <w:rsid w:val="002D6AD2"/>
    <w:rPr>
      <w:rFonts w:eastAsia="Times New Roman"/>
      <w:sz w:val="20"/>
      <w:szCs w:val="20"/>
    </w:rPr>
  </w:style>
  <w:style w:type="paragraph" w:customStyle="1" w:styleId="Style49">
    <w:name w:val="Style49"/>
    <w:basedOn w:val="Normal"/>
    <w:rsid w:val="002D6AD2"/>
    <w:rPr>
      <w:rFonts w:eastAsia="Times New Roman"/>
      <w:sz w:val="20"/>
      <w:szCs w:val="20"/>
    </w:rPr>
  </w:style>
  <w:style w:type="paragraph" w:customStyle="1" w:styleId="Style77">
    <w:name w:val="Style77"/>
    <w:basedOn w:val="Normal"/>
    <w:rsid w:val="002D6AD2"/>
    <w:rPr>
      <w:rFonts w:eastAsia="Times New Roman"/>
      <w:sz w:val="20"/>
      <w:szCs w:val="20"/>
    </w:rPr>
  </w:style>
  <w:style w:type="paragraph" w:customStyle="1" w:styleId="Style537">
    <w:name w:val="Style537"/>
    <w:basedOn w:val="Normal"/>
    <w:rsid w:val="00766062"/>
    <w:rPr>
      <w:rFonts w:eastAsia="Times New Roman"/>
      <w:sz w:val="20"/>
      <w:szCs w:val="20"/>
    </w:rPr>
  </w:style>
  <w:style w:type="paragraph" w:customStyle="1" w:styleId="Style574">
    <w:name w:val="Style574"/>
    <w:basedOn w:val="Normal"/>
    <w:rsid w:val="00766062"/>
    <w:rPr>
      <w:rFonts w:eastAsia="Times New Roman"/>
      <w:sz w:val="20"/>
      <w:szCs w:val="20"/>
    </w:rPr>
  </w:style>
  <w:style w:type="paragraph" w:customStyle="1" w:styleId="Style576">
    <w:name w:val="Style576"/>
    <w:basedOn w:val="Normal"/>
    <w:rsid w:val="00766062"/>
    <w:rPr>
      <w:rFonts w:eastAsia="Times New Roman"/>
      <w:sz w:val="20"/>
      <w:szCs w:val="20"/>
    </w:rPr>
  </w:style>
  <w:style w:type="character" w:customStyle="1" w:styleId="CharStyle5">
    <w:name w:val="CharStyle5"/>
    <w:basedOn w:val="DefaultParagraphFont"/>
    <w:rsid w:val="002D6A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">
    <w:name w:val="CharStyle6"/>
    <w:basedOn w:val="DefaultParagraphFont"/>
    <w:rsid w:val="002D6AD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">
    <w:name w:val="CharStyle7"/>
    <w:basedOn w:val="DefaultParagraphFont"/>
    <w:rsid w:val="002D6A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">
    <w:name w:val="CharStyle15"/>
    <w:basedOn w:val="DefaultParagraphFont"/>
    <w:rsid w:val="002D6A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6">
    <w:name w:val="CharStyle86"/>
    <w:basedOn w:val="DefaultParagraphFont"/>
    <w:rsid w:val="002D6AD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2">
    <w:name w:val="CharStyle182"/>
    <w:basedOn w:val="DefaultParagraphFont"/>
    <w:rsid w:val="002D6A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46">
    <w:name w:val="CharStyle246"/>
    <w:basedOn w:val="DefaultParagraphFont"/>
    <w:rsid w:val="0076606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53">
    <w:name w:val="CharStyle253"/>
    <w:basedOn w:val="DefaultParagraphFont"/>
    <w:rsid w:val="0076606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67">
    <w:name w:val="CharStyle267"/>
    <w:basedOn w:val="DefaultParagraphFont"/>
    <w:rsid w:val="0076606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6AD2"/>
    <w:rPr>
      <w:rFonts w:ascii="Times New Roman" w:eastAsiaTheme="majorEastAsia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6AD2"/>
    <w:rPr>
      <w:rFonts w:ascii="Times New Roman" w:eastAsiaTheme="majorEastAsia" w:hAnsi="Times New Roman" w:cs="Times New Roman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AD2"/>
    <w:rPr>
      <w:rFonts w:ascii="Times New Roman" w:eastAsiaTheme="majorEastAsia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D6AD2"/>
    <w:rPr>
      <w:rFonts w:ascii="Times New Roman" w:hAnsi="Times New Roman" w:cs="Times New Roman"/>
      <w:b/>
      <w:bCs/>
      <w:i/>
      <w:sz w:val="24"/>
      <w:szCs w:val="28"/>
    </w:rPr>
  </w:style>
  <w:style w:type="paragraph" w:customStyle="1" w:styleId="note">
    <w:name w:val="note"/>
    <w:basedOn w:val="hanging"/>
    <w:qFormat/>
    <w:rsid w:val="002D6AD2"/>
    <w:pPr>
      <w:ind w:left="216" w:hanging="216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6AD2"/>
    <w:pPr>
      <w:spacing w:before="600" w:after="600"/>
      <w:ind w:firstLine="0"/>
      <w:jc w:val="center"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AD2"/>
    <w:rPr>
      <w:rFonts w:ascii="Times New Roman" w:eastAsiaTheme="majorEastAsia" w:hAnsi="Times New Roman" w:cs="Times New Roman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AD2"/>
    <w:pPr>
      <w:spacing w:before="480" w:after="360"/>
      <w:ind w:firstLine="0"/>
      <w:jc w:val="center"/>
      <w:outlineLvl w:val="1"/>
    </w:pPr>
    <w:rPr>
      <w:rFonts w:eastAsiaTheme="majorEastAsia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AD2"/>
    <w:rPr>
      <w:rFonts w:ascii="Times New Roman" w:eastAsiaTheme="majorEastAsia" w:hAnsi="Times New Roman" w:cs="Times New Roman"/>
      <w:b/>
      <w:sz w:val="28"/>
      <w:szCs w:val="24"/>
    </w:rPr>
  </w:style>
  <w:style w:type="paragraph" w:customStyle="1" w:styleId="nonindent">
    <w:name w:val="nonindent"/>
    <w:basedOn w:val="Normal"/>
    <w:qFormat/>
    <w:rsid w:val="002D6AD2"/>
    <w:pPr>
      <w:ind w:firstLine="0"/>
    </w:pPr>
  </w:style>
  <w:style w:type="paragraph" w:customStyle="1" w:styleId="intro">
    <w:name w:val="intro"/>
    <w:basedOn w:val="Normal"/>
    <w:qFormat/>
    <w:rsid w:val="002D6AD2"/>
    <w:pPr>
      <w:spacing w:before="120" w:after="60"/>
      <w:ind w:firstLine="0"/>
      <w:jc w:val="center"/>
    </w:pPr>
    <w:rPr>
      <w:b/>
      <w:sz w:val="26"/>
    </w:rPr>
  </w:style>
  <w:style w:type="paragraph" w:customStyle="1" w:styleId="introright">
    <w:name w:val="intro_right"/>
    <w:basedOn w:val="Normal"/>
    <w:qFormat/>
    <w:rsid w:val="002D6AD2"/>
    <w:pPr>
      <w:spacing w:after="60"/>
      <w:ind w:firstLine="0"/>
      <w:jc w:val="right"/>
    </w:pPr>
    <w:rPr>
      <w:i/>
      <w:sz w:val="26"/>
    </w:rPr>
  </w:style>
  <w:style w:type="paragraph" w:customStyle="1" w:styleId="intro1">
    <w:name w:val="intro1"/>
    <w:basedOn w:val="Normal"/>
    <w:qFormat/>
    <w:rsid w:val="002D6AD2"/>
    <w:pPr>
      <w:spacing w:after="60"/>
    </w:pPr>
    <w:rPr>
      <w:sz w:val="24"/>
    </w:rPr>
  </w:style>
  <w:style w:type="paragraph" w:customStyle="1" w:styleId="heading">
    <w:name w:val="heading"/>
    <w:basedOn w:val="Normal"/>
    <w:qFormat/>
    <w:rsid w:val="002D6AD2"/>
    <w:pPr>
      <w:spacing w:before="120" w:after="60"/>
      <w:ind w:firstLine="0"/>
      <w:jc w:val="left"/>
    </w:pPr>
    <w:rPr>
      <w:b/>
      <w:sz w:val="20"/>
    </w:rPr>
  </w:style>
  <w:style w:type="paragraph" w:customStyle="1" w:styleId="hanging">
    <w:name w:val="hanging"/>
    <w:basedOn w:val="Normal"/>
    <w:qFormat/>
    <w:rsid w:val="002D6AD2"/>
    <w:pPr>
      <w:ind w:left="864" w:hanging="432"/>
    </w:pPr>
  </w:style>
  <w:style w:type="paragraph" w:customStyle="1" w:styleId="list2">
    <w:name w:val="list2"/>
    <w:basedOn w:val="hanging"/>
    <w:qFormat/>
    <w:rsid w:val="002D6AD2"/>
    <w:pPr>
      <w:ind w:left="1339" w:hanging="331"/>
    </w:pPr>
  </w:style>
  <w:style w:type="paragraph" w:customStyle="1" w:styleId="list1">
    <w:name w:val="list1"/>
    <w:basedOn w:val="Normal"/>
    <w:qFormat/>
    <w:rsid w:val="002D6AD2"/>
    <w:pPr>
      <w:ind w:left="576" w:hanging="288"/>
    </w:pPr>
  </w:style>
  <w:style w:type="paragraph" w:styleId="Header">
    <w:name w:val="header"/>
    <w:basedOn w:val="Normal"/>
    <w:link w:val="HeaderChar"/>
    <w:uiPriority w:val="99"/>
    <w:unhideWhenUsed/>
    <w:rsid w:val="002D6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D2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D2"/>
    <w:rPr>
      <w:rFonts w:ascii="Times New Roman" w:hAnsi="Times New Roman" w:cs="Times New Roman"/>
      <w:szCs w:val="24"/>
    </w:rPr>
  </w:style>
  <w:style w:type="paragraph" w:customStyle="1" w:styleId="indent1">
    <w:name w:val="indent1"/>
    <w:basedOn w:val="Normal"/>
    <w:qFormat/>
    <w:rsid w:val="002D6AD2"/>
    <w:pPr>
      <w:ind w:left="576"/>
    </w:pPr>
  </w:style>
  <w:style w:type="paragraph" w:customStyle="1" w:styleId="List3">
    <w:name w:val="List3"/>
    <w:basedOn w:val="list2"/>
    <w:qFormat/>
    <w:rsid w:val="002D6AD2"/>
    <w:pPr>
      <w:ind w:left="1915"/>
    </w:pPr>
  </w:style>
  <w:style w:type="paragraph" w:customStyle="1" w:styleId="hanging1">
    <w:name w:val="hanging1"/>
    <w:basedOn w:val="hanging"/>
    <w:qFormat/>
    <w:rsid w:val="002D6AD2"/>
    <w:pPr>
      <w:ind w:left="1224"/>
    </w:pPr>
  </w:style>
  <w:style w:type="paragraph" w:customStyle="1" w:styleId="Style19">
    <w:name w:val="Style19"/>
    <w:basedOn w:val="Normal"/>
    <w:rsid w:val="002D6AD2"/>
    <w:rPr>
      <w:rFonts w:eastAsia="Times New Roman"/>
      <w:sz w:val="20"/>
      <w:szCs w:val="20"/>
    </w:rPr>
  </w:style>
  <w:style w:type="paragraph" w:customStyle="1" w:styleId="Style12">
    <w:name w:val="Style12"/>
    <w:basedOn w:val="Normal"/>
    <w:rsid w:val="002D6AD2"/>
    <w:rPr>
      <w:rFonts w:eastAsia="Times New Roman"/>
      <w:sz w:val="20"/>
      <w:szCs w:val="20"/>
    </w:rPr>
  </w:style>
  <w:style w:type="paragraph" w:customStyle="1" w:styleId="Style41">
    <w:name w:val="Style41"/>
    <w:basedOn w:val="Normal"/>
    <w:rsid w:val="002D6AD2"/>
    <w:rPr>
      <w:rFonts w:eastAsia="Times New Roman"/>
      <w:sz w:val="20"/>
      <w:szCs w:val="20"/>
    </w:rPr>
  </w:style>
  <w:style w:type="paragraph" w:customStyle="1" w:styleId="Style39">
    <w:name w:val="Style39"/>
    <w:basedOn w:val="Normal"/>
    <w:rsid w:val="002D6AD2"/>
    <w:rPr>
      <w:rFonts w:eastAsia="Times New Roman"/>
      <w:sz w:val="20"/>
      <w:szCs w:val="20"/>
    </w:rPr>
  </w:style>
  <w:style w:type="paragraph" w:customStyle="1" w:styleId="Style38">
    <w:name w:val="Style38"/>
    <w:basedOn w:val="Normal"/>
    <w:rsid w:val="002D6AD2"/>
    <w:rPr>
      <w:rFonts w:eastAsia="Times New Roman"/>
      <w:sz w:val="20"/>
      <w:szCs w:val="20"/>
    </w:rPr>
  </w:style>
  <w:style w:type="paragraph" w:customStyle="1" w:styleId="Style211">
    <w:name w:val="Style211"/>
    <w:basedOn w:val="Normal"/>
    <w:rsid w:val="002D6AD2"/>
    <w:rPr>
      <w:rFonts w:eastAsia="Times New Roman"/>
      <w:sz w:val="20"/>
      <w:szCs w:val="20"/>
    </w:rPr>
  </w:style>
  <w:style w:type="paragraph" w:customStyle="1" w:styleId="Style50">
    <w:name w:val="Style50"/>
    <w:basedOn w:val="Normal"/>
    <w:rsid w:val="002D6AD2"/>
    <w:rPr>
      <w:rFonts w:eastAsia="Times New Roman"/>
      <w:sz w:val="20"/>
      <w:szCs w:val="20"/>
    </w:rPr>
  </w:style>
  <w:style w:type="paragraph" w:customStyle="1" w:styleId="Style52">
    <w:name w:val="Style52"/>
    <w:basedOn w:val="Normal"/>
    <w:rsid w:val="002D6AD2"/>
    <w:rPr>
      <w:rFonts w:eastAsia="Times New Roman"/>
      <w:sz w:val="20"/>
      <w:szCs w:val="20"/>
    </w:rPr>
  </w:style>
  <w:style w:type="paragraph" w:customStyle="1" w:styleId="Style54">
    <w:name w:val="Style54"/>
    <w:basedOn w:val="Normal"/>
    <w:rsid w:val="002D6AD2"/>
    <w:rPr>
      <w:rFonts w:eastAsia="Times New Roman"/>
      <w:sz w:val="20"/>
      <w:szCs w:val="20"/>
    </w:rPr>
  </w:style>
  <w:style w:type="paragraph" w:customStyle="1" w:styleId="Style61">
    <w:name w:val="Style61"/>
    <w:basedOn w:val="Normal"/>
    <w:rsid w:val="002D6AD2"/>
    <w:rPr>
      <w:rFonts w:eastAsia="Times New Roman"/>
      <w:sz w:val="20"/>
      <w:szCs w:val="20"/>
    </w:rPr>
  </w:style>
  <w:style w:type="paragraph" w:customStyle="1" w:styleId="Style64">
    <w:name w:val="Style64"/>
    <w:basedOn w:val="Normal"/>
    <w:rsid w:val="002D6AD2"/>
    <w:rPr>
      <w:rFonts w:eastAsia="Times New Roman"/>
      <w:sz w:val="20"/>
      <w:szCs w:val="20"/>
    </w:rPr>
  </w:style>
  <w:style w:type="paragraph" w:customStyle="1" w:styleId="Style185">
    <w:name w:val="Style185"/>
    <w:basedOn w:val="Normal"/>
    <w:rsid w:val="002D6AD2"/>
    <w:rPr>
      <w:rFonts w:eastAsia="Times New Roman"/>
      <w:sz w:val="20"/>
      <w:szCs w:val="20"/>
    </w:rPr>
  </w:style>
  <w:style w:type="paragraph" w:customStyle="1" w:styleId="Style84">
    <w:name w:val="Style84"/>
    <w:basedOn w:val="Normal"/>
    <w:rsid w:val="002D6AD2"/>
    <w:rPr>
      <w:rFonts w:eastAsia="Times New Roman"/>
      <w:sz w:val="20"/>
      <w:szCs w:val="20"/>
    </w:rPr>
  </w:style>
  <w:style w:type="paragraph" w:customStyle="1" w:styleId="Style88">
    <w:name w:val="Style88"/>
    <w:basedOn w:val="Normal"/>
    <w:rsid w:val="002D6AD2"/>
    <w:rPr>
      <w:rFonts w:eastAsia="Times New Roman"/>
      <w:sz w:val="20"/>
      <w:szCs w:val="20"/>
    </w:rPr>
  </w:style>
  <w:style w:type="paragraph" w:customStyle="1" w:styleId="Style122">
    <w:name w:val="Style122"/>
    <w:basedOn w:val="Normal"/>
    <w:rsid w:val="002D6AD2"/>
    <w:rPr>
      <w:rFonts w:eastAsia="Times New Roman"/>
      <w:sz w:val="20"/>
      <w:szCs w:val="20"/>
    </w:rPr>
  </w:style>
  <w:style w:type="paragraph" w:customStyle="1" w:styleId="Style128">
    <w:name w:val="Style128"/>
    <w:basedOn w:val="Normal"/>
    <w:rsid w:val="002D6AD2"/>
    <w:rPr>
      <w:rFonts w:eastAsia="Times New Roman"/>
      <w:sz w:val="20"/>
      <w:szCs w:val="20"/>
    </w:rPr>
  </w:style>
  <w:style w:type="paragraph" w:customStyle="1" w:styleId="Style277">
    <w:name w:val="Style277"/>
    <w:basedOn w:val="Normal"/>
    <w:rsid w:val="002D6AD2"/>
    <w:rPr>
      <w:rFonts w:eastAsia="Times New Roman"/>
      <w:sz w:val="20"/>
      <w:szCs w:val="20"/>
    </w:rPr>
  </w:style>
  <w:style w:type="character" w:customStyle="1" w:styleId="CharStyle275">
    <w:name w:val="CharStyle275"/>
    <w:basedOn w:val="DefaultParagraphFont"/>
    <w:rsid w:val="002D6A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customStyle="1" w:styleId="Style2">
    <w:name w:val="Style2"/>
    <w:basedOn w:val="Normal"/>
    <w:uiPriority w:val="99"/>
    <w:rsid w:val="002D6AD2"/>
    <w:pPr>
      <w:spacing w:before="0"/>
      <w:ind w:firstLine="0"/>
      <w:jc w:val="left"/>
    </w:pPr>
    <w:rPr>
      <w:sz w:val="24"/>
    </w:rPr>
  </w:style>
  <w:style w:type="paragraph" w:customStyle="1" w:styleId="Style3">
    <w:name w:val="Style3"/>
    <w:basedOn w:val="Normal"/>
    <w:uiPriority w:val="99"/>
    <w:rsid w:val="002D6AD2"/>
    <w:pPr>
      <w:spacing w:before="0"/>
      <w:ind w:firstLine="0"/>
      <w:jc w:val="left"/>
    </w:pPr>
    <w:rPr>
      <w:sz w:val="24"/>
    </w:rPr>
  </w:style>
  <w:style w:type="character" w:customStyle="1" w:styleId="FontStyle11">
    <w:name w:val="Font Style11"/>
    <w:basedOn w:val="DefaultParagraphFont"/>
    <w:uiPriority w:val="99"/>
    <w:rsid w:val="002D6A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basedOn w:val="DefaultParagraphFont"/>
    <w:uiPriority w:val="99"/>
    <w:rsid w:val="002D6AD2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1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0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2487"/>
    <w:pPr>
      <w:spacing w:after="0" w:line="240" w:lineRule="auto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o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opc.dotx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2018-12-27T01:27:00Z</dcterms:created>
  <dcterms:modified xsi:type="dcterms:W3CDTF">2019-09-16T22:02:00Z</dcterms:modified>
</cp:coreProperties>
</file>