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80F2D" w14:textId="1979A1C1" w:rsidR="0035195C" w:rsidRPr="00513101" w:rsidRDefault="00C24C05" w:rsidP="00430E97">
      <w:pPr>
        <w:spacing w:before="0"/>
        <w:ind w:firstLine="0"/>
        <w:jc w:val="center"/>
      </w:pPr>
      <w:r>
        <w:pict w14:anchorId="138A9835">
          <v:shape id="_x0000_i1025" style="width:108.95pt;height:80.75pt" coordsize="21600,21600" o:spt="100" adj="0,,0" path="" stroked="f">
            <v:stroke joinstyle="miter"/>
            <v:imagedata r:id="rId8" o:title=""/>
            <v:formulas/>
            <v:path o:connecttype="segments"/>
          </v:shape>
        </w:pict>
      </w:r>
    </w:p>
    <w:p w14:paraId="69CB01E5" w14:textId="77777777" w:rsidR="0035195C" w:rsidRPr="00513101" w:rsidRDefault="000C6ACF" w:rsidP="00430E97">
      <w:pPr>
        <w:pStyle w:val="Title"/>
      </w:pPr>
      <w:r w:rsidRPr="00513101">
        <w:t>Bounty (Agricultural Tractors) Amendment</w:t>
      </w:r>
      <w:r w:rsidR="00430E97">
        <w:t xml:space="preserve"> </w:t>
      </w:r>
      <w:r w:rsidRPr="00513101">
        <w:t>Act 1983</w:t>
      </w:r>
    </w:p>
    <w:p w14:paraId="2C149226" w14:textId="77777777" w:rsidR="0035195C" w:rsidRDefault="000C6ACF" w:rsidP="00430E97">
      <w:pPr>
        <w:pStyle w:val="Subtitle"/>
      </w:pPr>
      <w:r w:rsidRPr="00513101">
        <w:t>No. 76 of</w:t>
      </w:r>
      <w:r w:rsidR="00430E97">
        <w:t xml:space="preserve"> </w:t>
      </w:r>
      <w:r w:rsidRPr="00513101">
        <w:t>l983</w:t>
      </w:r>
    </w:p>
    <w:p w14:paraId="2C377B1F" w14:textId="77777777" w:rsidR="00430E97" w:rsidRDefault="00430E97" w:rsidP="00430E97"/>
    <w:p w14:paraId="677B1A64" w14:textId="77777777" w:rsidR="00430E97" w:rsidRDefault="00430E97" w:rsidP="00430E97">
      <w:pPr>
        <w:pBdr>
          <w:bottom w:val="thickThinSmallGap" w:sz="24" w:space="1" w:color="auto"/>
        </w:pBdr>
      </w:pPr>
    </w:p>
    <w:p w14:paraId="78B06F20" w14:textId="77777777" w:rsidR="00430E97" w:rsidRDefault="00430E97" w:rsidP="00430E97"/>
    <w:p w14:paraId="23A4280C" w14:textId="77777777" w:rsidR="00430E97" w:rsidRDefault="00430E97" w:rsidP="00430E97"/>
    <w:p w14:paraId="6BA10CEE" w14:textId="77777777" w:rsidR="00430E97" w:rsidRPr="00430E97" w:rsidRDefault="00430E97" w:rsidP="00430E97"/>
    <w:p w14:paraId="1C79E59F" w14:textId="1A693CC1" w:rsidR="0035195C" w:rsidRPr="00513101" w:rsidRDefault="000C6ACF" w:rsidP="00430E97">
      <w:pPr>
        <w:pStyle w:val="intro"/>
      </w:pPr>
      <w:r w:rsidRPr="00513101">
        <w:t xml:space="preserve">An Act to amend the </w:t>
      </w:r>
      <w:r w:rsidRPr="00C24C05">
        <w:rPr>
          <w:i/>
        </w:rPr>
        <w:t>Bounty (Agricultural Tractors) Act 1966</w:t>
      </w:r>
    </w:p>
    <w:p w14:paraId="0B6AD29E" w14:textId="77777777" w:rsidR="0035195C" w:rsidRPr="00E60C0B" w:rsidRDefault="000C6ACF" w:rsidP="00430E97">
      <w:pPr>
        <w:pStyle w:val="introright"/>
        <w:rPr>
          <w:sz w:val="24"/>
        </w:rPr>
      </w:pPr>
      <w:r w:rsidRPr="00E60C0B">
        <w:rPr>
          <w:i w:val="0"/>
          <w:sz w:val="24"/>
        </w:rPr>
        <w:t>[</w:t>
      </w:r>
      <w:r w:rsidRPr="00E60C0B">
        <w:rPr>
          <w:sz w:val="24"/>
        </w:rPr>
        <w:t>Assented to 3 November 1983</w:t>
      </w:r>
      <w:r w:rsidRPr="00E60C0B">
        <w:rPr>
          <w:i w:val="0"/>
          <w:sz w:val="24"/>
        </w:rPr>
        <w:t>]</w:t>
      </w:r>
    </w:p>
    <w:p w14:paraId="1C1EA050" w14:textId="77777777" w:rsidR="0035195C" w:rsidRPr="00E60C0B" w:rsidRDefault="000C6ACF" w:rsidP="00430E97">
      <w:pPr>
        <w:pStyle w:val="introright"/>
        <w:rPr>
          <w:sz w:val="24"/>
        </w:rPr>
      </w:pPr>
      <w:r w:rsidRPr="00E60C0B">
        <w:rPr>
          <w:i w:val="0"/>
          <w:sz w:val="24"/>
        </w:rPr>
        <w:t>[</w:t>
      </w:r>
      <w:r w:rsidRPr="00E60C0B">
        <w:rPr>
          <w:sz w:val="24"/>
        </w:rPr>
        <w:t>Date of commencement 1 December 1983</w:t>
      </w:r>
      <w:r w:rsidRPr="00E60C0B">
        <w:rPr>
          <w:i w:val="0"/>
          <w:sz w:val="24"/>
        </w:rPr>
        <w:t>]</w:t>
      </w:r>
    </w:p>
    <w:p w14:paraId="5DF8D748" w14:textId="77777777" w:rsidR="0035195C" w:rsidRPr="00513101" w:rsidRDefault="00374BB1" w:rsidP="00430E97">
      <w:pPr>
        <w:pStyle w:val="intro1"/>
      </w:pPr>
      <w:r w:rsidRPr="00513101">
        <w:t>BE IT ENACTED by the Queen, and the Senate and the House of Representatives of the Commonwealth of Australia, as follows:</w:t>
      </w:r>
    </w:p>
    <w:p w14:paraId="2E67C42B" w14:textId="77777777" w:rsidR="0035195C" w:rsidRPr="00513101" w:rsidRDefault="000C6ACF" w:rsidP="00430E97">
      <w:pPr>
        <w:pStyle w:val="heading"/>
      </w:pPr>
      <w:r w:rsidRPr="00513101">
        <w:t>Short title, &amp;c.</w:t>
      </w:r>
    </w:p>
    <w:p w14:paraId="5DDD6562" w14:textId="77777777" w:rsidR="0035195C" w:rsidRPr="00513101" w:rsidRDefault="000C6ACF" w:rsidP="00430E97">
      <w:r w:rsidRPr="00430E97">
        <w:rPr>
          <w:b/>
        </w:rPr>
        <w:t>1.</w:t>
      </w:r>
      <w:r w:rsidR="00374BB1" w:rsidRPr="00430E97">
        <w:rPr>
          <w:b/>
        </w:rPr>
        <w:t xml:space="preserve"> </w:t>
      </w:r>
      <w:r w:rsidRPr="00430E97">
        <w:rPr>
          <w:b/>
        </w:rPr>
        <w:t>(1)</w:t>
      </w:r>
      <w:r w:rsidRPr="00513101">
        <w:t xml:space="preserve"> </w:t>
      </w:r>
      <w:r w:rsidR="00374BB1" w:rsidRPr="00513101">
        <w:t xml:space="preserve">This Act may be cited as the </w:t>
      </w:r>
      <w:r w:rsidRPr="00513101">
        <w:rPr>
          <w:i/>
        </w:rPr>
        <w:t>Bounty (Agricultural Tractors) Amendment Act 1983.</w:t>
      </w:r>
    </w:p>
    <w:p w14:paraId="1187508C" w14:textId="77777777" w:rsidR="0035195C" w:rsidRPr="00513101" w:rsidRDefault="000C6ACF" w:rsidP="00430E97">
      <w:r w:rsidRPr="00430E97">
        <w:rPr>
          <w:b/>
        </w:rPr>
        <w:t>(2)</w:t>
      </w:r>
      <w:r w:rsidRPr="00513101">
        <w:t xml:space="preserve"> </w:t>
      </w:r>
      <w:r w:rsidR="00374BB1" w:rsidRPr="00513101">
        <w:t xml:space="preserve">The </w:t>
      </w:r>
      <w:r w:rsidRPr="00513101">
        <w:rPr>
          <w:i/>
        </w:rPr>
        <w:t>Bounty (Agricultural Tractors) Act 1966</w:t>
      </w:r>
      <w:r w:rsidRPr="00513101">
        <w:rPr>
          <w:vertAlign w:val="superscript"/>
        </w:rPr>
        <w:t>1</w:t>
      </w:r>
      <w:r w:rsidRPr="00513101">
        <w:rPr>
          <w:i/>
        </w:rPr>
        <w:t xml:space="preserve"> </w:t>
      </w:r>
      <w:r w:rsidR="00374BB1" w:rsidRPr="00513101">
        <w:t>is in this Act referred to as the Principal Act.</w:t>
      </w:r>
    </w:p>
    <w:p w14:paraId="0F29CC93" w14:textId="77777777" w:rsidR="0035195C" w:rsidRPr="00513101" w:rsidRDefault="000C6ACF" w:rsidP="00430E97">
      <w:pPr>
        <w:pStyle w:val="heading"/>
      </w:pPr>
      <w:r w:rsidRPr="00513101">
        <w:t>Rate of bounty</w:t>
      </w:r>
    </w:p>
    <w:p w14:paraId="5199E257" w14:textId="77777777" w:rsidR="0035195C" w:rsidRPr="00513101" w:rsidRDefault="000C6ACF" w:rsidP="00430E97">
      <w:r w:rsidRPr="00430E97">
        <w:rPr>
          <w:b/>
        </w:rPr>
        <w:t>2.</w:t>
      </w:r>
      <w:r w:rsidR="00374BB1" w:rsidRPr="00513101">
        <w:t xml:space="preserve"> Section </w:t>
      </w:r>
      <w:r w:rsidRPr="00513101">
        <w:t xml:space="preserve">6 </w:t>
      </w:r>
      <w:r w:rsidR="00374BB1" w:rsidRPr="00513101">
        <w:t>of the Principal Act is amended—</w:t>
      </w:r>
    </w:p>
    <w:p w14:paraId="178D13A0" w14:textId="77777777" w:rsidR="0035195C" w:rsidRPr="00513101" w:rsidRDefault="00374BB1" w:rsidP="00430E97">
      <w:pPr>
        <w:pStyle w:val="list1"/>
      </w:pPr>
      <w:r w:rsidRPr="00513101">
        <w:t xml:space="preserve">(a) by inserting in sub-section (1) </w:t>
      </w:r>
      <w:r w:rsidR="00FF20C5" w:rsidRPr="00513101">
        <w:t>“</w:t>
      </w:r>
      <w:r w:rsidRPr="00513101">
        <w:t>and to section 7</w:t>
      </w:r>
      <w:r w:rsidR="00FF20C5" w:rsidRPr="00513101">
        <w:t>”</w:t>
      </w:r>
      <w:r w:rsidRPr="00513101">
        <w:t xml:space="preserve"> after </w:t>
      </w:r>
      <w:r w:rsidR="00FF20C5" w:rsidRPr="00513101">
        <w:t>“</w:t>
      </w:r>
      <w:r w:rsidRPr="00513101">
        <w:t>this section</w:t>
      </w:r>
      <w:r w:rsidR="00FF20C5" w:rsidRPr="00513101">
        <w:t>”</w:t>
      </w:r>
      <w:r w:rsidRPr="00513101">
        <w:t>; and</w:t>
      </w:r>
    </w:p>
    <w:p w14:paraId="1A36A9CF" w14:textId="45874AB6" w:rsidR="0035195C" w:rsidRPr="00513101" w:rsidRDefault="00374BB1" w:rsidP="00430E97">
      <w:pPr>
        <w:pStyle w:val="list1"/>
      </w:pPr>
      <w:r w:rsidRPr="00513101">
        <w:t>(b) by inserting in sub-section (1</w:t>
      </w:r>
      <w:r w:rsidR="00C24C05">
        <w:rPr>
          <w:smallCaps/>
        </w:rPr>
        <w:t>ab</w:t>
      </w:r>
      <w:r w:rsidRPr="00513101">
        <w:t xml:space="preserve">) </w:t>
      </w:r>
      <w:r w:rsidR="00FF20C5" w:rsidRPr="00513101">
        <w:t>“</w:t>
      </w:r>
      <w:r w:rsidRPr="00513101">
        <w:t>under this section</w:t>
      </w:r>
      <w:r w:rsidR="00FF20C5" w:rsidRPr="00513101">
        <w:t>”</w:t>
      </w:r>
      <w:r w:rsidRPr="00513101">
        <w:t xml:space="preserve"> after </w:t>
      </w:r>
      <w:r w:rsidR="00FF20C5" w:rsidRPr="00513101">
        <w:t>“</w:t>
      </w:r>
      <w:r w:rsidRPr="00513101">
        <w:t>bounty</w:t>
      </w:r>
      <w:r w:rsidR="00FF20C5" w:rsidRPr="00513101">
        <w:t>”</w:t>
      </w:r>
      <w:r w:rsidRPr="00513101">
        <w:t>.</w:t>
      </w:r>
    </w:p>
    <w:p w14:paraId="3E1D2505" w14:textId="77777777" w:rsidR="00FF20C5" w:rsidRPr="00513101" w:rsidRDefault="00FF20C5" w:rsidP="00430E97">
      <w:r w:rsidRPr="00513101">
        <w:br w:type="page"/>
      </w:r>
    </w:p>
    <w:p w14:paraId="7F21FAD8" w14:textId="77777777" w:rsidR="0035195C" w:rsidRPr="00513101" w:rsidRDefault="00374BB1" w:rsidP="00430E97">
      <w:r w:rsidRPr="00430E97">
        <w:rPr>
          <w:b/>
        </w:rPr>
        <w:lastRenderedPageBreak/>
        <w:t>3.</w:t>
      </w:r>
      <w:r w:rsidRPr="00513101">
        <w:t xml:space="preserve"> After section 6 of the Principal Act the following section is inserted:</w:t>
      </w:r>
    </w:p>
    <w:p w14:paraId="55A11BFD" w14:textId="77777777" w:rsidR="0035195C" w:rsidRPr="00513101" w:rsidRDefault="00374BB1" w:rsidP="00430E97">
      <w:pPr>
        <w:pStyle w:val="heading"/>
      </w:pPr>
      <w:r w:rsidRPr="00513101">
        <w:t>Bounty payable in respect of certain tractors</w:t>
      </w:r>
    </w:p>
    <w:p w14:paraId="20BBABED" w14:textId="77777777" w:rsidR="0035195C" w:rsidRPr="00513101" w:rsidRDefault="00FF20C5" w:rsidP="00430E97">
      <w:r w:rsidRPr="00513101">
        <w:t>“</w:t>
      </w:r>
      <w:r w:rsidR="00374BB1" w:rsidRPr="00513101">
        <w:t>7. The bounty payable in respect of a tractor that during the period commencing on 10 June 1983 and ending on 9 June 1984, was sold by the manufacturer for use in Australia or an external Territory, is the amount equal to twice the amount of bounty that, but for this section, would be payable in respect of that tractor under section 6.</w:t>
      </w:r>
      <w:r w:rsidRPr="00513101">
        <w:t>”</w:t>
      </w:r>
      <w:r w:rsidR="00374BB1" w:rsidRPr="00513101">
        <w:t>.</w:t>
      </w:r>
    </w:p>
    <w:p w14:paraId="5ABF75F8" w14:textId="5C4059D7" w:rsidR="0035195C" w:rsidRPr="00513101" w:rsidRDefault="000C6ACF" w:rsidP="00430E97">
      <w:r w:rsidRPr="00430E97">
        <w:rPr>
          <w:b/>
        </w:rPr>
        <w:t>4.</w:t>
      </w:r>
      <w:r w:rsidR="00374BB1" w:rsidRPr="00513101">
        <w:t xml:space="preserve"> After section 18</w:t>
      </w:r>
      <w:r w:rsidR="00C24C05">
        <w:rPr>
          <w:smallCaps/>
        </w:rPr>
        <w:t>a</w:t>
      </w:r>
      <w:r w:rsidR="00374BB1" w:rsidRPr="00513101">
        <w:t xml:space="preserve"> of the Principal Act the following section is inserted:</w:t>
      </w:r>
    </w:p>
    <w:p w14:paraId="7E1D80E2" w14:textId="77777777" w:rsidR="0035195C" w:rsidRPr="00513101" w:rsidRDefault="000C6ACF" w:rsidP="00430E97">
      <w:pPr>
        <w:pStyle w:val="heading"/>
      </w:pPr>
      <w:r w:rsidRPr="00513101">
        <w:t>Statements to accompany notification of decisions</w:t>
      </w:r>
    </w:p>
    <w:p w14:paraId="4CE65D7B" w14:textId="24D4132B" w:rsidR="0035195C" w:rsidRPr="00513101" w:rsidRDefault="00FF20C5" w:rsidP="00430E97">
      <w:r w:rsidRPr="00513101">
        <w:t>“</w:t>
      </w:r>
      <w:r w:rsidR="00374BB1" w:rsidRPr="00513101">
        <w:t>18</w:t>
      </w:r>
      <w:r w:rsidR="00374BB1" w:rsidRPr="00430E97">
        <w:rPr>
          <w:smallCaps/>
        </w:rPr>
        <w:t>b</w:t>
      </w:r>
      <w:r w:rsidR="00374BB1" w:rsidRPr="00513101">
        <w:t>. (1) Where the Minister or the Comptroller-General makes a decision of a kind referred to in section 1</w:t>
      </w:r>
      <w:r w:rsidR="000C6ACF" w:rsidRPr="00513101">
        <w:t>8</w:t>
      </w:r>
      <w:r w:rsidR="00C24C05">
        <w:rPr>
          <w:smallCaps/>
        </w:rPr>
        <w:t>a</w:t>
      </w:r>
      <w:r w:rsidR="000C6ACF" w:rsidRPr="00513101">
        <w:t xml:space="preserve"> </w:t>
      </w:r>
      <w:r w:rsidR="00374BB1" w:rsidRPr="00513101">
        <w:t xml:space="preserve">and gives to the person or persons whose interests are affected by the decision notice in writing of the making of the decision, that notice shall include a statement to the effect that, subject to the </w:t>
      </w:r>
      <w:r w:rsidR="000C6ACF" w:rsidRPr="00513101">
        <w:rPr>
          <w:i/>
        </w:rPr>
        <w:t xml:space="preserve">Administrative Appeals Tribunal Act 1975. </w:t>
      </w:r>
      <w:r w:rsidR="00374BB1" w:rsidRPr="00513101">
        <w:t>application may be made to the Administrative Appeals Tribunal for review of the decision to which the notice relates by or on behalf of the person or persons whose interests are affected by the decision.</w:t>
      </w:r>
    </w:p>
    <w:p w14:paraId="3C9D096E" w14:textId="77777777" w:rsidR="0035195C" w:rsidRPr="00513101" w:rsidRDefault="00FF20C5" w:rsidP="00430E97">
      <w:r w:rsidRPr="00513101">
        <w:t>“</w:t>
      </w:r>
      <w:r w:rsidR="00374BB1" w:rsidRPr="00513101">
        <w:t>(2) Any failure to comply with the requirements of sub-section (1) in relation to a decision does not affect the validity of the decision.</w:t>
      </w:r>
      <w:r w:rsidRPr="00513101">
        <w:t>”</w:t>
      </w:r>
      <w:r w:rsidR="00374BB1" w:rsidRPr="00513101">
        <w:t>.</w:t>
      </w:r>
    </w:p>
    <w:p w14:paraId="6F7FA151" w14:textId="77777777" w:rsidR="0035195C" w:rsidRPr="00513101" w:rsidRDefault="000C6ACF" w:rsidP="00430E97">
      <w:pPr>
        <w:pStyle w:val="heading"/>
      </w:pPr>
      <w:r w:rsidRPr="00513101">
        <w:t>Power to require person to answer questions and produce documents</w:t>
      </w:r>
    </w:p>
    <w:p w14:paraId="0E5C90E6" w14:textId="77777777" w:rsidR="0035195C" w:rsidRPr="00513101" w:rsidRDefault="000C6ACF" w:rsidP="00430E97">
      <w:r w:rsidRPr="00513101">
        <w:t>5.</w:t>
      </w:r>
      <w:r w:rsidR="00374BB1" w:rsidRPr="00513101">
        <w:t xml:space="preserve"> Section 15 of the Principal Act is amended</w:t>
      </w:r>
    </w:p>
    <w:p w14:paraId="102F6D66" w14:textId="77777777" w:rsidR="0035195C" w:rsidRPr="00513101" w:rsidRDefault="00374BB1" w:rsidP="00430E97">
      <w:pPr>
        <w:pStyle w:val="list1"/>
      </w:pPr>
      <w:r w:rsidRPr="00513101">
        <w:t xml:space="preserve">(a) by omitting from sub-section (1) </w:t>
      </w:r>
      <w:r w:rsidR="00FF20C5" w:rsidRPr="00513101">
        <w:t>“</w:t>
      </w:r>
      <w:r w:rsidRPr="00513101">
        <w:t>The</w:t>
      </w:r>
      <w:r w:rsidR="00FF20C5" w:rsidRPr="00513101">
        <w:t>”</w:t>
      </w:r>
      <w:r w:rsidRPr="00513101">
        <w:t xml:space="preserve"> and substituting </w:t>
      </w:r>
      <w:r w:rsidR="00FF20C5" w:rsidRPr="00513101">
        <w:t>“</w:t>
      </w:r>
      <w:r w:rsidRPr="00513101">
        <w:t>Subject to sub-section (1</w:t>
      </w:r>
      <w:r w:rsidR="00430E97" w:rsidRPr="00430E97">
        <w:rPr>
          <w:smallCaps/>
        </w:rPr>
        <w:t>a</w:t>
      </w:r>
      <w:r w:rsidR="007A4AE2" w:rsidRPr="00513101">
        <w:t xml:space="preserve">), </w:t>
      </w:r>
      <w:r w:rsidRPr="00513101">
        <w:t>the</w:t>
      </w:r>
      <w:r w:rsidR="00FF20C5" w:rsidRPr="00513101">
        <w:t>”</w:t>
      </w:r>
      <w:r w:rsidRPr="00513101">
        <w:t>; and</w:t>
      </w:r>
    </w:p>
    <w:p w14:paraId="06848B1F" w14:textId="77777777" w:rsidR="0035195C" w:rsidRPr="00513101" w:rsidRDefault="00374BB1" w:rsidP="00430E97">
      <w:pPr>
        <w:pStyle w:val="list1"/>
      </w:pPr>
      <w:r w:rsidRPr="00513101">
        <w:t>(b) by inserting after sub-section (1) the following sub-section:</w:t>
      </w:r>
    </w:p>
    <w:p w14:paraId="25D9C60E" w14:textId="77777777" w:rsidR="0035195C" w:rsidRPr="00513101" w:rsidRDefault="00FF20C5" w:rsidP="00430E97">
      <w:pPr>
        <w:ind w:left="576"/>
      </w:pPr>
      <w:r w:rsidRPr="00513101">
        <w:t>“</w:t>
      </w:r>
      <w:r w:rsidR="000C6ACF" w:rsidRPr="00513101">
        <w:t>(l</w:t>
      </w:r>
      <w:r w:rsidR="00430E97" w:rsidRPr="00430E97">
        <w:rPr>
          <w:smallCaps/>
        </w:rPr>
        <w:t>a</w:t>
      </w:r>
      <w:r w:rsidR="000C6ACF" w:rsidRPr="00513101">
        <w:t xml:space="preserve">) </w:t>
      </w:r>
      <w:r w:rsidR="00374BB1" w:rsidRPr="00513101">
        <w:t>A notice under sub-section (1) in relation to a tractor shall not be given to a person who purchased the tractor for use by him in agriculture.</w:t>
      </w:r>
      <w:r w:rsidRPr="00513101">
        <w:t>”</w:t>
      </w:r>
      <w:r w:rsidR="00374BB1" w:rsidRPr="00513101">
        <w:t>.</w:t>
      </w:r>
    </w:p>
    <w:p w14:paraId="2E8FDDDB" w14:textId="77777777" w:rsidR="0035195C" w:rsidRPr="00513101" w:rsidRDefault="00374BB1" w:rsidP="00430E97">
      <w:pPr>
        <w:pStyle w:val="heading"/>
      </w:pPr>
      <w:r w:rsidRPr="00513101">
        <w:t>Formal amendments</w:t>
      </w:r>
    </w:p>
    <w:p w14:paraId="603EDB12" w14:textId="77777777" w:rsidR="0035195C" w:rsidRPr="00513101" w:rsidRDefault="000C6ACF" w:rsidP="00430E97">
      <w:r w:rsidRPr="00430E97">
        <w:rPr>
          <w:b/>
        </w:rPr>
        <w:t>6.</w:t>
      </w:r>
      <w:r w:rsidR="00374BB1" w:rsidRPr="00513101">
        <w:t xml:space="preserve"> The Principal Act is amended as set out in the Schedule.</w:t>
      </w:r>
    </w:p>
    <w:p w14:paraId="66672A70" w14:textId="77777777" w:rsidR="00FF20C5" w:rsidRPr="00513101" w:rsidRDefault="00FF20C5" w:rsidP="00430E97">
      <w:r w:rsidRPr="00513101">
        <w:br w:type="page"/>
      </w:r>
    </w:p>
    <w:p w14:paraId="1ED3EFEB" w14:textId="790D06BA" w:rsidR="00430E97" w:rsidRPr="006F1092" w:rsidRDefault="00374BB1" w:rsidP="006F1092">
      <w:pPr>
        <w:spacing w:after="240"/>
        <w:ind w:firstLine="0"/>
        <w:jc w:val="right"/>
        <w:rPr>
          <w:sz w:val="20"/>
          <w:szCs w:val="20"/>
        </w:rPr>
      </w:pPr>
      <w:r w:rsidRPr="005E7B47">
        <w:lastRenderedPageBreak/>
        <w:t>SCHEDULE</w:t>
      </w:r>
      <w:r w:rsidR="006F1092">
        <w:tab/>
      </w:r>
      <w:r w:rsidR="006F1092">
        <w:tab/>
      </w:r>
      <w:r w:rsidR="006F1092">
        <w:tab/>
      </w:r>
      <w:r w:rsidR="006F1092">
        <w:tab/>
      </w:r>
      <w:r w:rsidR="006F1092" w:rsidRPr="006F1092">
        <w:rPr>
          <w:sz w:val="20"/>
          <w:szCs w:val="20"/>
        </w:rPr>
        <w:t>Section 6</w:t>
      </w:r>
    </w:p>
    <w:p w14:paraId="17728541" w14:textId="77777777" w:rsidR="0035195C" w:rsidRPr="006F1092" w:rsidRDefault="00374BB1" w:rsidP="006F1092">
      <w:pPr>
        <w:ind w:firstLine="0"/>
        <w:jc w:val="center"/>
        <w:rPr>
          <w:sz w:val="20"/>
          <w:szCs w:val="20"/>
        </w:rPr>
      </w:pPr>
      <w:r w:rsidRPr="006F1092">
        <w:rPr>
          <w:sz w:val="20"/>
          <w:szCs w:val="20"/>
        </w:rPr>
        <w:t xml:space="preserve">FORMAL AMENDMENTS OF THE </w:t>
      </w:r>
      <w:r w:rsidR="007A4AE2" w:rsidRPr="006F1092">
        <w:rPr>
          <w:i/>
          <w:sz w:val="20"/>
          <w:szCs w:val="20"/>
        </w:rPr>
        <w:t>BOUNTY (AGRICULTURAL TRACTORS) ACT 196</w:t>
      </w:r>
      <w:r w:rsidR="000C6ACF" w:rsidRPr="006F1092">
        <w:rPr>
          <w:i/>
          <w:sz w:val="20"/>
          <w:szCs w:val="20"/>
        </w:rPr>
        <w:t>6</w:t>
      </w:r>
      <w:bookmarkStart w:id="0" w:name="_GoBack"/>
      <w:bookmarkEnd w:id="0"/>
    </w:p>
    <w:tbl>
      <w:tblPr>
        <w:tblW w:w="5000" w:type="pct"/>
        <w:tblCellMar>
          <w:left w:w="40" w:type="dxa"/>
          <w:right w:w="40" w:type="dxa"/>
        </w:tblCellMar>
        <w:tblLook w:val="0000" w:firstRow="0" w:lastRow="0" w:firstColumn="0" w:lastColumn="0" w:noHBand="0" w:noVBand="0"/>
      </w:tblPr>
      <w:tblGrid>
        <w:gridCol w:w="2545"/>
        <w:gridCol w:w="4735"/>
      </w:tblGrid>
      <w:tr w:rsidR="0035195C" w:rsidRPr="00491634" w14:paraId="1AD363C4" w14:textId="77777777" w:rsidTr="009C738E">
        <w:trPr>
          <w:trHeight w:val="20"/>
        </w:trPr>
        <w:tc>
          <w:tcPr>
            <w:tcW w:w="1748" w:type="pct"/>
            <w:tcBorders>
              <w:top w:val="single" w:sz="6" w:space="0" w:color="auto"/>
              <w:bottom w:val="single" w:sz="6" w:space="0" w:color="auto"/>
            </w:tcBorders>
          </w:tcPr>
          <w:p w14:paraId="1F6EC90F" w14:textId="77777777" w:rsidR="0035195C" w:rsidRPr="00491634" w:rsidRDefault="00374BB1" w:rsidP="00430E97">
            <w:pPr>
              <w:spacing w:before="0"/>
              <w:ind w:firstLine="0"/>
              <w:rPr>
                <w:sz w:val="20"/>
                <w:szCs w:val="20"/>
              </w:rPr>
            </w:pPr>
            <w:r w:rsidRPr="00491634">
              <w:rPr>
                <w:sz w:val="20"/>
                <w:szCs w:val="20"/>
              </w:rPr>
              <w:t>Provision</w:t>
            </w:r>
          </w:p>
        </w:tc>
        <w:tc>
          <w:tcPr>
            <w:tcW w:w="3252" w:type="pct"/>
            <w:tcBorders>
              <w:top w:val="single" w:sz="6" w:space="0" w:color="auto"/>
              <w:bottom w:val="single" w:sz="6" w:space="0" w:color="auto"/>
            </w:tcBorders>
          </w:tcPr>
          <w:p w14:paraId="782411FF" w14:textId="77777777" w:rsidR="0035195C" w:rsidRPr="00491634" w:rsidRDefault="00374BB1" w:rsidP="00430E97">
            <w:pPr>
              <w:spacing w:before="0"/>
              <w:ind w:firstLine="0"/>
              <w:rPr>
                <w:sz w:val="20"/>
                <w:szCs w:val="20"/>
              </w:rPr>
            </w:pPr>
            <w:r w:rsidRPr="00491634">
              <w:rPr>
                <w:sz w:val="20"/>
                <w:szCs w:val="20"/>
              </w:rPr>
              <w:t>Amendment</w:t>
            </w:r>
          </w:p>
        </w:tc>
      </w:tr>
      <w:tr w:rsidR="0035195C" w:rsidRPr="00491634" w14:paraId="39C3AA61" w14:textId="77777777" w:rsidTr="009C738E">
        <w:trPr>
          <w:trHeight w:val="20"/>
        </w:trPr>
        <w:tc>
          <w:tcPr>
            <w:tcW w:w="1748" w:type="pct"/>
            <w:tcBorders>
              <w:top w:val="single" w:sz="6" w:space="0" w:color="auto"/>
            </w:tcBorders>
          </w:tcPr>
          <w:p w14:paraId="3AA7210F" w14:textId="2116F9D8" w:rsidR="0035195C" w:rsidRPr="00491634" w:rsidRDefault="00374BB1" w:rsidP="00491634">
            <w:pPr>
              <w:tabs>
                <w:tab w:val="left" w:leader="dot" w:pos="2300"/>
              </w:tabs>
              <w:spacing w:before="0"/>
              <w:ind w:firstLine="0"/>
              <w:rPr>
                <w:sz w:val="20"/>
                <w:szCs w:val="20"/>
              </w:rPr>
            </w:pPr>
            <w:r w:rsidRPr="00491634">
              <w:rPr>
                <w:sz w:val="20"/>
                <w:szCs w:val="20"/>
              </w:rPr>
              <w:t>Sub-section 6</w:t>
            </w:r>
            <w:r w:rsidR="00491634" w:rsidRPr="00491634">
              <w:rPr>
                <w:sz w:val="20"/>
                <w:szCs w:val="20"/>
              </w:rPr>
              <w:t xml:space="preserve"> </w:t>
            </w:r>
            <w:r w:rsidRPr="00491634">
              <w:rPr>
                <w:sz w:val="20"/>
                <w:szCs w:val="20"/>
              </w:rPr>
              <w:t>(3)</w:t>
            </w:r>
            <w:r w:rsidR="0048171A" w:rsidRPr="00491634">
              <w:rPr>
                <w:sz w:val="20"/>
                <w:szCs w:val="20"/>
              </w:rPr>
              <w:tab/>
            </w:r>
          </w:p>
        </w:tc>
        <w:tc>
          <w:tcPr>
            <w:tcW w:w="3252" w:type="pct"/>
            <w:tcBorders>
              <w:top w:val="single" w:sz="6" w:space="0" w:color="auto"/>
            </w:tcBorders>
          </w:tcPr>
          <w:p w14:paraId="38AC0189" w14:textId="0CFAC1E6" w:rsidR="0035195C" w:rsidRPr="00491634" w:rsidRDefault="00374BB1" w:rsidP="00491634">
            <w:pPr>
              <w:spacing w:before="0"/>
              <w:ind w:left="302" w:hanging="302"/>
              <w:rPr>
                <w:sz w:val="20"/>
                <w:szCs w:val="20"/>
              </w:rPr>
            </w:pPr>
            <w:r w:rsidRPr="00491634">
              <w:rPr>
                <w:sz w:val="20"/>
                <w:szCs w:val="20"/>
              </w:rPr>
              <w:t xml:space="preserve">(a) Omit </w:t>
            </w:r>
            <w:r w:rsidR="00FF20C5" w:rsidRPr="00491634">
              <w:rPr>
                <w:sz w:val="20"/>
                <w:szCs w:val="20"/>
              </w:rPr>
              <w:t>“</w:t>
            </w:r>
            <w:r w:rsidRPr="00491634">
              <w:rPr>
                <w:sz w:val="20"/>
                <w:szCs w:val="20"/>
              </w:rPr>
              <w:t>1 per centum</w:t>
            </w:r>
            <w:r w:rsidR="00FF20C5" w:rsidRPr="00491634">
              <w:rPr>
                <w:sz w:val="20"/>
                <w:szCs w:val="20"/>
              </w:rPr>
              <w:t>”</w:t>
            </w:r>
            <w:r w:rsidRPr="00491634">
              <w:rPr>
                <w:sz w:val="20"/>
                <w:szCs w:val="20"/>
              </w:rPr>
              <w:t xml:space="preserve"> (wherever occurring), substitute </w:t>
            </w:r>
            <w:r w:rsidR="00FF20C5" w:rsidRPr="00491634">
              <w:rPr>
                <w:sz w:val="20"/>
                <w:szCs w:val="20"/>
              </w:rPr>
              <w:t>“</w:t>
            </w:r>
            <w:r w:rsidRPr="00491634">
              <w:rPr>
                <w:sz w:val="20"/>
                <w:szCs w:val="20"/>
              </w:rPr>
              <w:t>l</w:t>
            </w:r>
            <w:r w:rsidR="00491634">
              <w:rPr>
                <w:sz w:val="20"/>
                <w:szCs w:val="20"/>
              </w:rPr>
              <w:t>%</w:t>
            </w:r>
            <w:r w:rsidR="00FF20C5" w:rsidRPr="00491634">
              <w:rPr>
                <w:sz w:val="20"/>
                <w:szCs w:val="20"/>
              </w:rPr>
              <w:t>”</w:t>
            </w:r>
            <w:r w:rsidRPr="00491634">
              <w:rPr>
                <w:sz w:val="20"/>
                <w:szCs w:val="20"/>
              </w:rPr>
              <w:t>.</w:t>
            </w:r>
          </w:p>
        </w:tc>
      </w:tr>
      <w:tr w:rsidR="0035195C" w:rsidRPr="00491634" w14:paraId="54013DE6" w14:textId="77777777" w:rsidTr="009C738E">
        <w:trPr>
          <w:trHeight w:val="20"/>
        </w:trPr>
        <w:tc>
          <w:tcPr>
            <w:tcW w:w="1748" w:type="pct"/>
          </w:tcPr>
          <w:p w14:paraId="226C1B44" w14:textId="77777777" w:rsidR="0035195C" w:rsidRPr="00491634" w:rsidRDefault="006F1092" w:rsidP="0048171A">
            <w:pPr>
              <w:tabs>
                <w:tab w:val="left" w:leader="dot" w:pos="2300"/>
              </w:tabs>
              <w:spacing w:before="0"/>
              <w:ind w:firstLine="0"/>
              <w:rPr>
                <w:sz w:val="20"/>
                <w:szCs w:val="20"/>
              </w:rPr>
            </w:pPr>
          </w:p>
        </w:tc>
        <w:tc>
          <w:tcPr>
            <w:tcW w:w="3252" w:type="pct"/>
          </w:tcPr>
          <w:p w14:paraId="285EB2E2" w14:textId="5262D171" w:rsidR="0035195C" w:rsidRPr="00491634" w:rsidRDefault="00374BB1" w:rsidP="00491634">
            <w:pPr>
              <w:spacing w:before="0"/>
              <w:ind w:left="302" w:hanging="302"/>
              <w:rPr>
                <w:sz w:val="20"/>
                <w:szCs w:val="20"/>
              </w:rPr>
            </w:pPr>
            <w:r w:rsidRPr="00491634">
              <w:rPr>
                <w:sz w:val="20"/>
                <w:szCs w:val="20"/>
              </w:rPr>
              <w:t xml:space="preserve">(b) Omit </w:t>
            </w:r>
            <w:r w:rsidR="00FF20C5" w:rsidRPr="00491634">
              <w:rPr>
                <w:sz w:val="20"/>
                <w:szCs w:val="20"/>
              </w:rPr>
              <w:t>“</w:t>
            </w:r>
            <w:r w:rsidRPr="00491634">
              <w:rPr>
                <w:sz w:val="20"/>
                <w:szCs w:val="20"/>
              </w:rPr>
              <w:t>100 per centum</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100</w:t>
            </w:r>
            <w:r w:rsidR="00491634">
              <w:rPr>
                <w:sz w:val="20"/>
                <w:szCs w:val="20"/>
              </w:rPr>
              <w:t>%</w:t>
            </w:r>
            <w:r w:rsidR="00FF20C5" w:rsidRPr="00491634">
              <w:rPr>
                <w:sz w:val="20"/>
                <w:szCs w:val="20"/>
              </w:rPr>
              <w:t>”</w:t>
            </w:r>
            <w:r w:rsidRPr="00491634">
              <w:rPr>
                <w:sz w:val="20"/>
                <w:szCs w:val="20"/>
              </w:rPr>
              <w:t>.</w:t>
            </w:r>
          </w:p>
        </w:tc>
      </w:tr>
      <w:tr w:rsidR="0035195C" w:rsidRPr="00491634" w14:paraId="61F8BBC6" w14:textId="77777777" w:rsidTr="009C738E">
        <w:trPr>
          <w:trHeight w:val="20"/>
        </w:trPr>
        <w:tc>
          <w:tcPr>
            <w:tcW w:w="1748" w:type="pct"/>
          </w:tcPr>
          <w:p w14:paraId="4EB08A6E" w14:textId="4C0315AA" w:rsidR="0035195C" w:rsidRPr="00491634" w:rsidRDefault="00374BB1" w:rsidP="00491634">
            <w:pPr>
              <w:tabs>
                <w:tab w:val="left" w:leader="dot" w:pos="2300"/>
              </w:tabs>
              <w:spacing w:before="0"/>
              <w:ind w:firstLine="0"/>
              <w:rPr>
                <w:sz w:val="20"/>
                <w:szCs w:val="20"/>
              </w:rPr>
            </w:pPr>
            <w:r w:rsidRPr="00491634">
              <w:rPr>
                <w:sz w:val="20"/>
                <w:szCs w:val="20"/>
              </w:rPr>
              <w:t>Sub-section 6</w:t>
            </w:r>
            <w:r w:rsidR="00491634">
              <w:rPr>
                <w:sz w:val="20"/>
                <w:szCs w:val="20"/>
              </w:rPr>
              <w:t xml:space="preserve"> </w:t>
            </w:r>
            <w:r w:rsidRPr="00491634">
              <w:rPr>
                <w:sz w:val="20"/>
                <w:szCs w:val="20"/>
              </w:rPr>
              <w:t>(4)</w:t>
            </w:r>
            <w:r w:rsidR="0048171A" w:rsidRPr="00491634">
              <w:rPr>
                <w:sz w:val="20"/>
                <w:szCs w:val="20"/>
              </w:rPr>
              <w:tab/>
            </w:r>
          </w:p>
        </w:tc>
        <w:tc>
          <w:tcPr>
            <w:tcW w:w="3252" w:type="pct"/>
          </w:tcPr>
          <w:p w14:paraId="65BB6AAF" w14:textId="53E2A39B" w:rsidR="0035195C" w:rsidRPr="00491634" w:rsidRDefault="00374BB1" w:rsidP="00491634">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fifty-five per centum</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55</w:t>
            </w:r>
            <w:r w:rsidR="00491634">
              <w:rPr>
                <w:sz w:val="20"/>
                <w:szCs w:val="20"/>
              </w:rPr>
              <w:t>%</w:t>
            </w:r>
            <w:r w:rsidRPr="00491634">
              <w:rPr>
                <w:sz w:val="20"/>
                <w:szCs w:val="20"/>
              </w:rPr>
              <w:t>;</w:t>
            </w:r>
            <w:r w:rsidR="00FF20C5" w:rsidRPr="00491634">
              <w:rPr>
                <w:sz w:val="20"/>
                <w:szCs w:val="20"/>
              </w:rPr>
              <w:t>”</w:t>
            </w:r>
            <w:r w:rsidRPr="00491634">
              <w:rPr>
                <w:sz w:val="20"/>
                <w:szCs w:val="20"/>
              </w:rPr>
              <w:t>.</w:t>
            </w:r>
          </w:p>
        </w:tc>
      </w:tr>
      <w:tr w:rsidR="0035195C" w:rsidRPr="00491634" w14:paraId="2BC15E7D" w14:textId="77777777" w:rsidTr="009C738E">
        <w:trPr>
          <w:trHeight w:val="20"/>
        </w:trPr>
        <w:tc>
          <w:tcPr>
            <w:tcW w:w="1748" w:type="pct"/>
          </w:tcPr>
          <w:p w14:paraId="1E4892F8" w14:textId="1D527088" w:rsidR="0035195C" w:rsidRPr="00491634" w:rsidRDefault="00374BB1" w:rsidP="00491634">
            <w:pPr>
              <w:tabs>
                <w:tab w:val="left" w:leader="dot" w:pos="2300"/>
              </w:tabs>
              <w:spacing w:before="0"/>
              <w:ind w:firstLine="0"/>
              <w:rPr>
                <w:sz w:val="20"/>
                <w:szCs w:val="20"/>
              </w:rPr>
            </w:pPr>
            <w:r w:rsidRPr="00491634">
              <w:rPr>
                <w:sz w:val="20"/>
                <w:szCs w:val="20"/>
              </w:rPr>
              <w:t>Suh-section 6</w:t>
            </w:r>
            <w:r w:rsidR="00491634">
              <w:rPr>
                <w:sz w:val="20"/>
                <w:szCs w:val="20"/>
              </w:rPr>
              <w:t xml:space="preserve"> </w:t>
            </w:r>
            <w:r w:rsidRPr="00491634">
              <w:rPr>
                <w:sz w:val="20"/>
                <w:szCs w:val="20"/>
              </w:rPr>
              <w:t>(5)</w:t>
            </w:r>
            <w:r w:rsidR="0048171A" w:rsidRPr="00491634">
              <w:rPr>
                <w:sz w:val="20"/>
                <w:szCs w:val="20"/>
              </w:rPr>
              <w:tab/>
            </w:r>
          </w:p>
        </w:tc>
        <w:tc>
          <w:tcPr>
            <w:tcW w:w="3252" w:type="pct"/>
          </w:tcPr>
          <w:p w14:paraId="613AE71E"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the last two preceding sub-sections</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sub-sections (3) and (4)</w:t>
            </w:r>
            <w:r w:rsidR="00FF20C5" w:rsidRPr="00491634">
              <w:rPr>
                <w:sz w:val="20"/>
                <w:szCs w:val="20"/>
              </w:rPr>
              <w:t>”</w:t>
            </w:r>
            <w:r w:rsidRPr="00491634">
              <w:rPr>
                <w:sz w:val="20"/>
                <w:szCs w:val="20"/>
              </w:rPr>
              <w:t>.</w:t>
            </w:r>
          </w:p>
        </w:tc>
      </w:tr>
      <w:tr w:rsidR="0035195C" w:rsidRPr="00491634" w14:paraId="78120EAD" w14:textId="77777777" w:rsidTr="009C738E">
        <w:trPr>
          <w:trHeight w:val="20"/>
        </w:trPr>
        <w:tc>
          <w:tcPr>
            <w:tcW w:w="1748" w:type="pct"/>
          </w:tcPr>
          <w:p w14:paraId="3452AD2A" w14:textId="5B5D59BF" w:rsidR="0035195C" w:rsidRPr="00491634" w:rsidRDefault="00374BB1" w:rsidP="00491634">
            <w:pPr>
              <w:tabs>
                <w:tab w:val="left" w:leader="dot" w:pos="2300"/>
              </w:tabs>
              <w:spacing w:before="0"/>
              <w:ind w:firstLine="0"/>
              <w:rPr>
                <w:sz w:val="20"/>
                <w:szCs w:val="20"/>
              </w:rPr>
            </w:pPr>
            <w:r w:rsidRPr="00491634">
              <w:rPr>
                <w:sz w:val="20"/>
                <w:szCs w:val="20"/>
              </w:rPr>
              <w:t>Sub-section 11</w:t>
            </w:r>
            <w:r w:rsidR="00491634">
              <w:rPr>
                <w:sz w:val="20"/>
                <w:szCs w:val="20"/>
              </w:rPr>
              <w:t xml:space="preserve"> </w:t>
            </w:r>
            <w:r w:rsidRPr="00491634">
              <w:rPr>
                <w:sz w:val="20"/>
                <w:szCs w:val="20"/>
              </w:rPr>
              <w:t>(1)</w:t>
            </w:r>
            <w:r w:rsidR="0048171A" w:rsidRPr="00491634">
              <w:rPr>
                <w:sz w:val="20"/>
                <w:szCs w:val="20"/>
              </w:rPr>
              <w:tab/>
            </w:r>
          </w:p>
        </w:tc>
        <w:tc>
          <w:tcPr>
            <w:tcW w:w="3252" w:type="pct"/>
          </w:tcPr>
          <w:p w14:paraId="62C9F03C"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connexion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connection</w:t>
            </w:r>
            <w:r w:rsidR="00FF20C5" w:rsidRPr="00491634">
              <w:rPr>
                <w:sz w:val="20"/>
                <w:szCs w:val="20"/>
              </w:rPr>
              <w:t>”</w:t>
            </w:r>
            <w:r w:rsidRPr="00491634">
              <w:rPr>
                <w:sz w:val="20"/>
                <w:szCs w:val="20"/>
              </w:rPr>
              <w:t>.</w:t>
            </w:r>
          </w:p>
        </w:tc>
      </w:tr>
      <w:tr w:rsidR="0035195C" w:rsidRPr="00491634" w14:paraId="69DD2CD7" w14:textId="77777777" w:rsidTr="009C738E">
        <w:trPr>
          <w:trHeight w:val="20"/>
        </w:trPr>
        <w:tc>
          <w:tcPr>
            <w:tcW w:w="1748" w:type="pct"/>
          </w:tcPr>
          <w:p w14:paraId="67C9FDBA" w14:textId="77777777" w:rsidR="0035195C" w:rsidRPr="00491634" w:rsidRDefault="00374BB1" w:rsidP="0048171A">
            <w:pPr>
              <w:tabs>
                <w:tab w:val="left" w:leader="dot" w:pos="2300"/>
              </w:tabs>
              <w:spacing w:before="0"/>
              <w:ind w:firstLine="0"/>
              <w:rPr>
                <w:sz w:val="20"/>
                <w:szCs w:val="20"/>
              </w:rPr>
            </w:pPr>
            <w:r w:rsidRPr="00491634">
              <w:rPr>
                <w:sz w:val="20"/>
                <w:szCs w:val="20"/>
              </w:rPr>
              <w:t>Sub-s</w:t>
            </w:r>
            <w:r w:rsidR="0048171A" w:rsidRPr="00491634">
              <w:rPr>
                <w:sz w:val="20"/>
                <w:szCs w:val="20"/>
              </w:rPr>
              <w:t>e</w:t>
            </w:r>
            <w:r w:rsidRPr="00491634">
              <w:rPr>
                <w:sz w:val="20"/>
                <w:szCs w:val="20"/>
              </w:rPr>
              <w:t>c</w:t>
            </w:r>
            <w:r w:rsidR="0048171A" w:rsidRPr="00491634">
              <w:rPr>
                <w:sz w:val="20"/>
                <w:szCs w:val="20"/>
              </w:rPr>
              <w:t>t</w:t>
            </w:r>
            <w:r w:rsidRPr="00491634">
              <w:rPr>
                <w:sz w:val="20"/>
                <w:szCs w:val="20"/>
              </w:rPr>
              <w:t>ion 11 (9)</w:t>
            </w:r>
            <w:r w:rsidR="0048171A" w:rsidRPr="00491634">
              <w:rPr>
                <w:sz w:val="20"/>
                <w:szCs w:val="20"/>
              </w:rPr>
              <w:tab/>
            </w:r>
          </w:p>
        </w:tc>
        <w:tc>
          <w:tcPr>
            <w:tcW w:w="3252" w:type="pct"/>
          </w:tcPr>
          <w:p w14:paraId="4B17C494" w14:textId="17BD067F" w:rsidR="0035195C" w:rsidRPr="00491634" w:rsidRDefault="00374BB1" w:rsidP="00491634">
            <w:pPr>
              <w:spacing w:before="0"/>
              <w:ind w:left="302" w:hanging="302"/>
              <w:rPr>
                <w:sz w:val="20"/>
                <w:szCs w:val="20"/>
              </w:rPr>
            </w:pPr>
            <w:r w:rsidRPr="00491634">
              <w:rPr>
                <w:sz w:val="20"/>
                <w:szCs w:val="20"/>
              </w:rPr>
              <w:t>(a) Omi</w:t>
            </w:r>
            <w:r w:rsidR="00491634">
              <w:rPr>
                <w:sz w:val="20"/>
                <w:szCs w:val="20"/>
              </w:rPr>
              <w:t>t</w:t>
            </w:r>
            <w:r w:rsidR="009C738E" w:rsidRPr="00491634">
              <w:rPr>
                <w:sz w:val="20"/>
                <w:szCs w:val="20"/>
              </w:rPr>
              <w:t xml:space="preserve"> “</w:t>
            </w:r>
            <w:r w:rsidRPr="00491634">
              <w:rPr>
                <w:sz w:val="20"/>
                <w:szCs w:val="20"/>
              </w:rPr>
              <w:t>190l-1964</w:t>
            </w:r>
            <w:r w:rsidR="00FF20C5" w:rsidRPr="00491634">
              <w:rPr>
                <w:sz w:val="20"/>
                <w:szCs w:val="20"/>
              </w:rPr>
              <w:t>”</w:t>
            </w:r>
            <w:r w:rsidRPr="00491634">
              <w:rPr>
                <w:sz w:val="20"/>
                <w:szCs w:val="20"/>
              </w:rPr>
              <w:t>, substi</w:t>
            </w:r>
            <w:r w:rsidR="009A2730" w:rsidRPr="00491634">
              <w:rPr>
                <w:sz w:val="20"/>
                <w:szCs w:val="20"/>
              </w:rPr>
              <w:t>t</w:t>
            </w:r>
            <w:r w:rsidRPr="00491634">
              <w:rPr>
                <w:sz w:val="20"/>
                <w:szCs w:val="20"/>
              </w:rPr>
              <w:t xml:space="preserve">ute </w:t>
            </w:r>
            <w:r w:rsidR="00FF20C5" w:rsidRPr="00491634">
              <w:rPr>
                <w:sz w:val="20"/>
                <w:szCs w:val="20"/>
              </w:rPr>
              <w:t>“</w:t>
            </w:r>
            <w:r w:rsidRPr="00491634">
              <w:rPr>
                <w:i/>
                <w:sz w:val="20"/>
                <w:szCs w:val="20"/>
              </w:rPr>
              <w:t>190</w:t>
            </w:r>
            <w:r w:rsidR="00491634" w:rsidRPr="00491634">
              <w:rPr>
                <w:i/>
                <w:sz w:val="20"/>
                <w:szCs w:val="20"/>
              </w:rPr>
              <w:t>1</w:t>
            </w:r>
            <w:r w:rsidR="00FF20C5" w:rsidRPr="00491634">
              <w:rPr>
                <w:sz w:val="20"/>
                <w:szCs w:val="20"/>
              </w:rPr>
              <w:t>”</w:t>
            </w:r>
            <w:r w:rsidRPr="00491634">
              <w:rPr>
                <w:sz w:val="20"/>
                <w:szCs w:val="20"/>
              </w:rPr>
              <w:t>.</w:t>
            </w:r>
          </w:p>
        </w:tc>
      </w:tr>
      <w:tr w:rsidR="0035195C" w:rsidRPr="00491634" w14:paraId="1917C5AF" w14:textId="77777777" w:rsidTr="009C738E">
        <w:trPr>
          <w:trHeight w:val="20"/>
        </w:trPr>
        <w:tc>
          <w:tcPr>
            <w:tcW w:w="1748" w:type="pct"/>
          </w:tcPr>
          <w:p w14:paraId="650E3475" w14:textId="77777777" w:rsidR="0035195C" w:rsidRPr="00491634" w:rsidRDefault="006F1092" w:rsidP="0048171A">
            <w:pPr>
              <w:tabs>
                <w:tab w:val="left" w:leader="dot" w:pos="2300"/>
              </w:tabs>
              <w:spacing w:before="0"/>
              <w:ind w:firstLine="0"/>
              <w:rPr>
                <w:sz w:val="20"/>
                <w:szCs w:val="20"/>
              </w:rPr>
            </w:pPr>
          </w:p>
        </w:tc>
        <w:tc>
          <w:tcPr>
            <w:tcW w:w="3252" w:type="pct"/>
          </w:tcPr>
          <w:p w14:paraId="6CFF4C1C" w14:textId="77777777" w:rsidR="0035195C" w:rsidRPr="00491634" w:rsidRDefault="00374BB1" w:rsidP="0048171A">
            <w:pPr>
              <w:spacing w:before="0"/>
              <w:ind w:left="302" w:hanging="302"/>
              <w:rPr>
                <w:sz w:val="20"/>
                <w:szCs w:val="20"/>
              </w:rPr>
            </w:pPr>
            <w:r w:rsidRPr="00491634">
              <w:rPr>
                <w:sz w:val="20"/>
                <w:szCs w:val="20"/>
              </w:rPr>
              <w:t xml:space="preserve">(b) Omit </w:t>
            </w:r>
            <w:r w:rsidR="00FF20C5" w:rsidRPr="00491634">
              <w:rPr>
                <w:sz w:val="20"/>
                <w:szCs w:val="20"/>
              </w:rPr>
              <w:t>“</w:t>
            </w:r>
            <w:r w:rsidRPr="00491634">
              <w:rPr>
                <w:sz w:val="20"/>
                <w:szCs w:val="20"/>
              </w:rPr>
              <w:t>the last preceding sub-section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sub-section (8)</w:t>
            </w:r>
            <w:r w:rsidR="00FF20C5" w:rsidRPr="00491634">
              <w:rPr>
                <w:sz w:val="20"/>
                <w:szCs w:val="20"/>
              </w:rPr>
              <w:t>”</w:t>
            </w:r>
            <w:r w:rsidRPr="00491634">
              <w:rPr>
                <w:sz w:val="20"/>
                <w:szCs w:val="20"/>
              </w:rPr>
              <w:t>.</w:t>
            </w:r>
          </w:p>
        </w:tc>
      </w:tr>
      <w:tr w:rsidR="0035195C" w:rsidRPr="00491634" w14:paraId="75B155D8" w14:textId="77777777" w:rsidTr="009C738E">
        <w:trPr>
          <w:trHeight w:val="20"/>
        </w:trPr>
        <w:tc>
          <w:tcPr>
            <w:tcW w:w="1748" w:type="pct"/>
          </w:tcPr>
          <w:p w14:paraId="400799A0" w14:textId="77777777" w:rsidR="0035195C" w:rsidRPr="00491634" w:rsidRDefault="00374BB1" w:rsidP="0048171A">
            <w:pPr>
              <w:tabs>
                <w:tab w:val="left" w:leader="dot" w:pos="2300"/>
              </w:tabs>
              <w:spacing w:before="0"/>
              <w:ind w:firstLine="0"/>
              <w:rPr>
                <w:sz w:val="20"/>
                <w:szCs w:val="20"/>
              </w:rPr>
            </w:pPr>
            <w:r w:rsidRPr="00491634">
              <w:rPr>
                <w:sz w:val="20"/>
                <w:szCs w:val="20"/>
              </w:rPr>
              <w:t>Sub-section 14 (2)</w:t>
            </w:r>
            <w:r w:rsidR="0048171A" w:rsidRPr="00491634">
              <w:rPr>
                <w:sz w:val="20"/>
                <w:szCs w:val="20"/>
              </w:rPr>
              <w:tab/>
            </w:r>
          </w:p>
        </w:tc>
        <w:tc>
          <w:tcPr>
            <w:tcW w:w="3252" w:type="pct"/>
            <w:vMerge w:val="restart"/>
          </w:tcPr>
          <w:p w14:paraId="7E9D5ACD"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paragraph (b) of the last preceding sub-section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paragraph (1) (b)</w:t>
            </w:r>
            <w:r w:rsidR="00FF20C5" w:rsidRPr="00491634">
              <w:rPr>
                <w:sz w:val="20"/>
                <w:szCs w:val="20"/>
              </w:rPr>
              <w:t>”</w:t>
            </w:r>
            <w:r w:rsidRPr="00491634">
              <w:rPr>
                <w:sz w:val="20"/>
                <w:szCs w:val="20"/>
              </w:rPr>
              <w:t>.</w:t>
            </w:r>
          </w:p>
        </w:tc>
      </w:tr>
      <w:tr w:rsidR="0035195C" w:rsidRPr="00491634" w14:paraId="1FFCAA60" w14:textId="77777777" w:rsidTr="009C738E">
        <w:trPr>
          <w:trHeight w:val="20"/>
        </w:trPr>
        <w:tc>
          <w:tcPr>
            <w:tcW w:w="1748" w:type="pct"/>
          </w:tcPr>
          <w:p w14:paraId="2F37248C" w14:textId="77777777" w:rsidR="0035195C" w:rsidRPr="00491634" w:rsidRDefault="006F1092" w:rsidP="0048171A">
            <w:pPr>
              <w:tabs>
                <w:tab w:val="left" w:leader="dot" w:pos="2300"/>
              </w:tabs>
              <w:spacing w:before="0"/>
              <w:ind w:firstLine="0"/>
              <w:rPr>
                <w:sz w:val="20"/>
                <w:szCs w:val="20"/>
              </w:rPr>
            </w:pPr>
          </w:p>
        </w:tc>
        <w:tc>
          <w:tcPr>
            <w:tcW w:w="3252" w:type="pct"/>
            <w:vMerge/>
          </w:tcPr>
          <w:p w14:paraId="7181EA0B" w14:textId="77777777" w:rsidR="0035195C" w:rsidRPr="00491634" w:rsidRDefault="006F1092" w:rsidP="0048171A">
            <w:pPr>
              <w:spacing w:before="0"/>
              <w:ind w:left="302" w:hanging="302"/>
              <w:rPr>
                <w:sz w:val="20"/>
                <w:szCs w:val="20"/>
              </w:rPr>
            </w:pPr>
          </w:p>
        </w:tc>
      </w:tr>
      <w:tr w:rsidR="0035195C" w:rsidRPr="00491634" w14:paraId="3F32727A" w14:textId="77777777" w:rsidTr="009C738E">
        <w:trPr>
          <w:trHeight w:val="20"/>
        </w:trPr>
        <w:tc>
          <w:tcPr>
            <w:tcW w:w="1748" w:type="pct"/>
          </w:tcPr>
          <w:p w14:paraId="3B20DA73" w14:textId="77777777" w:rsidR="0035195C" w:rsidRPr="00491634" w:rsidRDefault="00374BB1" w:rsidP="0048171A">
            <w:pPr>
              <w:tabs>
                <w:tab w:val="left" w:leader="dot" w:pos="2300"/>
              </w:tabs>
              <w:spacing w:before="0"/>
              <w:ind w:firstLine="0"/>
              <w:rPr>
                <w:sz w:val="20"/>
                <w:szCs w:val="20"/>
              </w:rPr>
            </w:pPr>
            <w:r w:rsidRPr="00491634">
              <w:rPr>
                <w:sz w:val="20"/>
                <w:szCs w:val="20"/>
              </w:rPr>
              <w:t>Section 14</w:t>
            </w:r>
            <w:r w:rsidR="0048171A" w:rsidRPr="00491634">
              <w:rPr>
                <w:sz w:val="20"/>
                <w:szCs w:val="20"/>
              </w:rPr>
              <w:tab/>
            </w:r>
          </w:p>
        </w:tc>
        <w:tc>
          <w:tcPr>
            <w:tcW w:w="3252" w:type="pct"/>
          </w:tcPr>
          <w:p w14:paraId="766942BE"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One hundred dollars</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$100</w:t>
            </w:r>
            <w:r w:rsidR="00FF20C5" w:rsidRPr="00491634">
              <w:rPr>
                <w:sz w:val="20"/>
                <w:szCs w:val="20"/>
              </w:rPr>
              <w:t>”</w:t>
            </w:r>
            <w:r w:rsidRPr="00491634">
              <w:rPr>
                <w:sz w:val="20"/>
                <w:szCs w:val="20"/>
              </w:rPr>
              <w:t>.</w:t>
            </w:r>
          </w:p>
        </w:tc>
      </w:tr>
      <w:tr w:rsidR="0035195C" w:rsidRPr="00491634" w14:paraId="7A481398" w14:textId="77777777" w:rsidTr="009C738E">
        <w:trPr>
          <w:trHeight w:val="20"/>
        </w:trPr>
        <w:tc>
          <w:tcPr>
            <w:tcW w:w="1748" w:type="pct"/>
          </w:tcPr>
          <w:p w14:paraId="0D5E8B1D" w14:textId="407643CF" w:rsidR="0035195C" w:rsidRPr="00491634" w:rsidRDefault="00374BB1" w:rsidP="00491634">
            <w:pPr>
              <w:tabs>
                <w:tab w:val="left" w:leader="dot" w:pos="2300"/>
              </w:tabs>
              <w:spacing w:before="0"/>
              <w:ind w:firstLine="0"/>
              <w:rPr>
                <w:sz w:val="20"/>
                <w:szCs w:val="20"/>
              </w:rPr>
            </w:pPr>
            <w:r w:rsidRPr="00491634">
              <w:rPr>
                <w:sz w:val="20"/>
                <w:szCs w:val="20"/>
              </w:rPr>
              <w:t>Sub-section 15</w:t>
            </w:r>
            <w:r w:rsidR="00491634">
              <w:rPr>
                <w:sz w:val="20"/>
                <w:szCs w:val="20"/>
              </w:rPr>
              <w:t xml:space="preserve"> </w:t>
            </w:r>
            <w:r w:rsidRPr="00491634">
              <w:rPr>
                <w:sz w:val="20"/>
                <w:szCs w:val="20"/>
              </w:rPr>
              <w:t>(3)</w:t>
            </w:r>
            <w:r w:rsidR="0048171A" w:rsidRPr="00491634">
              <w:rPr>
                <w:sz w:val="20"/>
                <w:szCs w:val="20"/>
              </w:rPr>
              <w:tab/>
            </w:r>
          </w:p>
        </w:tc>
        <w:tc>
          <w:tcPr>
            <w:tcW w:w="3252" w:type="pct"/>
            <w:vMerge w:val="restart"/>
          </w:tcPr>
          <w:p w14:paraId="7F0B9460" w14:textId="65CA2993" w:rsidR="0035195C" w:rsidRPr="00491634" w:rsidRDefault="00374BB1" w:rsidP="00491634">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paragraph (c) of sub-section (1), or paragraph (c) of sub-section (2) of section 18</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paragraph 18 (1) (c) or</w:t>
            </w:r>
            <w:r w:rsidR="009C738E" w:rsidRPr="00491634">
              <w:rPr>
                <w:sz w:val="20"/>
                <w:szCs w:val="20"/>
              </w:rPr>
              <w:t xml:space="preserve"> </w:t>
            </w:r>
            <w:r w:rsidRPr="00491634">
              <w:rPr>
                <w:sz w:val="20"/>
                <w:szCs w:val="20"/>
              </w:rPr>
              <w:t>(2)</w:t>
            </w:r>
            <w:r w:rsidR="009C738E" w:rsidRPr="00491634">
              <w:rPr>
                <w:sz w:val="20"/>
                <w:szCs w:val="20"/>
              </w:rPr>
              <w:t xml:space="preserve"> </w:t>
            </w:r>
            <w:r w:rsidRPr="00491634">
              <w:rPr>
                <w:sz w:val="20"/>
                <w:szCs w:val="20"/>
              </w:rPr>
              <w:t>(c)</w:t>
            </w:r>
            <w:r w:rsidR="00FF20C5" w:rsidRPr="00491634">
              <w:rPr>
                <w:sz w:val="20"/>
                <w:szCs w:val="20"/>
              </w:rPr>
              <w:t>”</w:t>
            </w:r>
            <w:r w:rsidRPr="00491634">
              <w:rPr>
                <w:sz w:val="20"/>
                <w:szCs w:val="20"/>
              </w:rPr>
              <w:t>.</w:t>
            </w:r>
          </w:p>
        </w:tc>
      </w:tr>
      <w:tr w:rsidR="0035195C" w:rsidRPr="00491634" w14:paraId="52617408" w14:textId="77777777" w:rsidTr="009C738E">
        <w:trPr>
          <w:trHeight w:val="20"/>
        </w:trPr>
        <w:tc>
          <w:tcPr>
            <w:tcW w:w="1748" w:type="pct"/>
          </w:tcPr>
          <w:p w14:paraId="3A249DA3" w14:textId="77777777" w:rsidR="0035195C" w:rsidRPr="00491634" w:rsidRDefault="006F1092" w:rsidP="0048171A">
            <w:pPr>
              <w:tabs>
                <w:tab w:val="left" w:leader="dot" w:pos="2300"/>
              </w:tabs>
              <w:spacing w:before="0"/>
              <w:ind w:firstLine="0"/>
              <w:rPr>
                <w:sz w:val="20"/>
                <w:szCs w:val="20"/>
              </w:rPr>
            </w:pPr>
          </w:p>
        </w:tc>
        <w:tc>
          <w:tcPr>
            <w:tcW w:w="3252" w:type="pct"/>
            <w:vMerge/>
          </w:tcPr>
          <w:p w14:paraId="29C053F4" w14:textId="77777777" w:rsidR="0035195C" w:rsidRPr="00491634" w:rsidRDefault="006F1092" w:rsidP="0048171A">
            <w:pPr>
              <w:spacing w:before="0"/>
              <w:ind w:left="302" w:hanging="302"/>
              <w:rPr>
                <w:sz w:val="20"/>
                <w:szCs w:val="20"/>
              </w:rPr>
            </w:pPr>
          </w:p>
        </w:tc>
      </w:tr>
      <w:tr w:rsidR="0035195C" w:rsidRPr="00491634" w14:paraId="47F70B51" w14:textId="77777777" w:rsidTr="009C738E">
        <w:trPr>
          <w:trHeight w:val="20"/>
        </w:trPr>
        <w:tc>
          <w:tcPr>
            <w:tcW w:w="1748" w:type="pct"/>
          </w:tcPr>
          <w:p w14:paraId="7FAD402D" w14:textId="2B39E727" w:rsidR="0035195C" w:rsidRPr="00491634" w:rsidRDefault="00374BB1" w:rsidP="00491634">
            <w:pPr>
              <w:tabs>
                <w:tab w:val="left" w:leader="dot" w:pos="2300"/>
              </w:tabs>
              <w:spacing w:before="0"/>
              <w:ind w:firstLine="0"/>
              <w:rPr>
                <w:sz w:val="20"/>
                <w:szCs w:val="20"/>
              </w:rPr>
            </w:pPr>
            <w:r w:rsidRPr="00491634">
              <w:rPr>
                <w:sz w:val="20"/>
                <w:szCs w:val="20"/>
              </w:rPr>
              <w:t>Sub-section 16</w:t>
            </w:r>
            <w:r w:rsidR="00491634">
              <w:rPr>
                <w:sz w:val="20"/>
                <w:szCs w:val="20"/>
              </w:rPr>
              <w:t xml:space="preserve"> </w:t>
            </w:r>
            <w:r w:rsidRPr="00491634">
              <w:rPr>
                <w:sz w:val="20"/>
                <w:szCs w:val="20"/>
              </w:rPr>
              <w:t>(1)</w:t>
            </w:r>
            <w:r w:rsidR="0048171A" w:rsidRPr="00491634">
              <w:rPr>
                <w:sz w:val="20"/>
                <w:szCs w:val="20"/>
              </w:rPr>
              <w:tab/>
            </w:r>
          </w:p>
        </w:tc>
        <w:tc>
          <w:tcPr>
            <w:tcW w:w="3252" w:type="pct"/>
          </w:tcPr>
          <w:p w14:paraId="3484066B"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the last preceding section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section 15</w:t>
            </w:r>
            <w:r w:rsidR="00FF20C5" w:rsidRPr="00491634">
              <w:rPr>
                <w:sz w:val="20"/>
                <w:szCs w:val="20"/>
              </w:rPr>
              <w:t>”</w:t>
            </w:r>
            <w:r w:rsidRPr="00491634">
              <w:rPr>
                <w:sz w:val="20"/>
                <w:szCs w:val="20"/>
              </w:rPr>
              <w:t>.</w:t>
            </w:r>
          </w:p>
        </w:tc>
      </w:tr>
      <w:tr w:rsidR="0035195C" w:rsidRPr="00491634" w14:paraId="239A30A2" w14:textId="77777777" w:rsidTr="009C738E">
        <w:trPr>
          <w:trHeight w:val="20"/>
        </w:trPr>
        <w:tc>
          <w:tcPr>
            <w:tcW w:w="1748" w:type="pct"/>
          </w:tcPr>
          <w:p w14:paraId="6B79F119" w14:textId="77777777" w:rsidR="0035195C" w:rsidRPr="00491634" w:rsidRDefault="00374BB1" w:rsidP="0048171A">
            <w:pPr>
              <w:tabs>
                <w:tab w:val="left" w:leader="dot" w:pos="2300"/>
              </w:tabs>
              <w:spacing w:before="0"/>
              <w:ind w:firstLine="0"/>
              <w:rPr>
                <w:sz w:val="20"/>
                <w:szCs w:val="20"/>
              </w:rPr>
            </w:pPr>
            <w:r w:rsidRPr="00491634">
              <w:rPr>
                <w:sz w:val="20"/>
                <w:szCs w:val="20"/>
              </w:rPr>
              <w:t>Sub-section 18 (1)</w:t>
            </w:r>
            <w:r w:rsidR="0048171A" w:rsidRPr="00491634">
              <w:rPr>
                <w:sz w:val="20"/>
                <w:szCs w:val="20"/>
              </w:rPr>
              <w:tab/>
            </w:r>
          </w:p>
        </w:tc>
        <w:tc>
          <w:tcPr>
            <w:tcW w:w="3252" w:type="pct"/>
          </w:tcPr>
          <w:p w14:paraId="402341A5"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One hundred dollars</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$100</w:t>
            </w:r>
            <w:r w:rsidR="00FF20C5" w:rsidRPr="00491634">
              <w:rPr>
                <w:sz w:val="20"/>
                <w:szCs w:val="20"/>
              </w:rPr>
              <w:t>”</w:t>
            </w:r>
            <w:r w:rsidRPr="00491634">
              <w:rPr>
                <w:sz w:val="20"/>
                <w:szCs w:val="20"/>
              </w:rPr>
              <w:t>.</w:t>
            </w:r>
          </w:p>
        </w:tc>
      </w:tr>
      <w:tr w:rsidR="0035195C" w:rsidRPr="00491634" w14:paraId="0C8BCF2E" w14:textId="77777777" w:rsidTr="009C738E">
        <w:trPr>
          <w:trHeight w:val="20"/>
        </w:trPr>
        <w:tc>
          <w:tcPr>
            <w:tcW w:w="1748" w:type="pct"/>
          </w:tcPr>
          <w:p w14:paraId="6D487A96" w14:textId="77777777" w:rsidR="0035195C" w:rsidRPr="00491634" w:rsidRDefault="00374BB1" w:rsidP="0048171A">
            <w:pPr>
              <w:tabs>
                <w:tab w:val="left" w:leader="dot" w:pos="2300"/>
              </w:tabs>
              <w:spacing w:before="0"/>
              <w:ind w:firstLine="0"/>
              <w:rPr>
                <w:sz w:val="20"/>
                <w:szCs w:val="20"/>
              </w:rPr>
            </w:pPr>
            <w:r w:rsidRPr="00491634">
              <w:rPr>
                <w:sz w:val="20"/>
                <w:szCs w:val="20"/>
              </w:rPr>
              <w:t>Sub-section 18 (2)</w:t>
            </w:r>
            <w:r w:rsidR="0048171A" w:rsidRPr="00491634">
              <w:rPr>
                <w:sz w:val="20"/>
                <w:szCs w:val="20"/>
              </w:rPr>
              <w:tab/>
            </w:r>
          </w:p>
        </w:tc>
        <w:tc>
          <w:tcPr>
            <w:tcW w:w="3252" w:type="pct"/>
          </w:tcPr>
          <w:p w14:paraId="1093AE21" w14:textId="77777777" w:rsidR="0035195C" w:rsidRPr="00491634" w:rsidRDefault="00374BB1" w:rsidP="0048171A">
            <w:pPr>
              <w:spacing w:before="0"/>
              <w:ind w:left="302" w:hanging="302"/>
              <w:rPr>
                <w:sz w:val="20"/>
                <w:szCs w:val="20"/>
              </w:rPr>
            </w:pPr>
            <w:r w:rsidRPr="00491634">
              <w:rPr>
                <w:sz w:val="20"/>
                <w:szCs w:val="20"/>
              </w:rPr>
              <w:t xml:space="preserve">(a) Omit </w:t>
            </w:r>
            <w:r w:rsidR="00FF20C5" w:rsidRPr="00491634">
              <w:rPr>
                <w:sz w:val="20"/>
                <w:szCs w:val="20"/>
              </w:rPr>
              <w:t>“</w:t>
            </w:r>
            <w:r w:rsidRPr="00491634">
              <w:rPr>
                <w:sz w:val="20"/>
                <w:szCs w:val="20"/>
              </w:rPr>
              <w:t>One thousand dollars</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$1,000</w:t>
            </w:r>
            <w:r w:rsidR="00FF20C5" w:rsidRPr="00491634">
              <w:rPr>
                <w:sz w:val="20"/>
                <w:szCs w:val="20"/>
              </w:rPr>
              <w:t>”</w:t>
            </w:r>
            <w:r w:rsidRPr="00491634">
              <w:rPr>
                <w:sz w:val="20"/>
                <w:szCs w:val="20"/>
              </w:rPr>
              <w:t>.</w:t>
            </w:r>
          </w:p>
        </w:tc>
      </w:tr>
      <w:tr w:rsidR="0035195C" w:rsidRPr="00491634" w14:paraId="328F1BAC" w14:textId="77777777" w:rsidTr="009C738E">
        <w:trPr>
          <w:trHeight w:val="20"/>
        </w:trPr>
        <w:tc>
          <w:tcPr>
            <w:tcW w:w="1748" w:type="pct"/>
          </w:tcPr>
          <w:p w14:paraId="6A97CB1C" w14:textId="77777777" w:rsidR="0035195C" w:rsidRPr="00491634" w:rsidRDefault="006F1092" w:rsidP="0048171A">
            <w:pPr>
              <w:tabs>
                <w:tab w:val="left" w:leader="dot" w:pos="2300"/>
              </w:tabs>
              <w:spacing w:before="0"/>
              <w:ind w:firstLine="0"/>
              <w:rPr>
                <w:sz w:val="20"/>
                <w:szCs w:val="20"/>
              </w:rPr>
            </w:pPr>
          </w:p>
        </w:tc>
        <w:tc>
          <w:tcPr>
            <w:tcW w:w="3252" w:type="pct"/>
          </w:tcPr>
          <w:p w14:paraId="5C57E23D" w14:textId="77777777" w:rsidR="0035195C" w:rsidRPr="00491634" w:rsidRDefault="00374BB1" w:rsidP="0048171A">
            <w:pPr>
              <w:spacing w:before="0"/>
              <w:ind w:left="302" w:hanging="302"/>
              <w:rPr>
                <w:sz w:val="20"/>
                <w:szCs w:val="20"/>
              </w:rPr>
            </w:pPr>
            <w:r w:rsidRPr="00491634">
              <w:rPr>
                <w:sz w:val="20"/>
                <w:szCs w:val="20"/>
              </w:rPr>
              <w:t xml:space="preserve">(b) Omit </w:t>
            </w:r>
            <w:r w:rsidR="00FF20C5" w:rsidRPr="00491634">
              <w:rPr>
                <w:sz w:val="20"/>
                <w:szCs w:val="20"/>
              </w:rPr>
              <w:t>“</w:t>
            </w:r>
            <w:r w:rsidRPr="00491634">
              <w:rPr>
                <w:sz w:val="20"/>
                <w:szCs w:val="20"/>
              </w:rPr>
              <w:t>twelve</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12</w:t>
            </w:r>
            <w:r w:rsidR="00FF20C5" w:rsidRPr="00491634">
              <w:rPr>
                <w:sz w:val="20"/>
                <w:szCs w:val="20"/>
              </w:rPr>
              <w:t>”</w:t>
            </w:r>
            <w:r w:rsidRPr="00491634">
              <w:rPr>
                <w:sz w:val="20"/>
                <w:szCs w:val="20"/>
              </w:rPr>
              <w:t>.</w:t>
            </w:r>
          </w:p>
        </w:tc>
      </w:tr>
      <w:tr w:rsidR="0035195C" w:rsidRPr="00491634" w14:paraId="07540D8A" w14:textId="77777777" w:rsidTr="009C738E">
        <w:trPr>
          <w:trHeight w:val="20"/>
        </w:trPr>
        <w:tc>
          <w:tcPr>
            <w:tcW w:w="1748" w:type="pct"/>
          </w:tcPr>
          <w:p w14:paraId="37256356" w14:textId="77777777" w:rsidR="0035195C" w:rsidRPr="00491634" w:rsidRDefault="00374BB1" w:rsidP="0048171A">
            <w:pPr>
              <w:tabs>
                <w:tab w:val="left" w:leader="dot" w:pos="2300"/>
              </w:tabs>
              <w:spacing w:before="0"/>
              <w:ind w:firstLine="0"/>
              <w:rPr>
                <w:sz w:val="20"/>
                <w:szCs w:val="20"/>
              </w:rPr>
            </w:pPr>
            <w:r w:rsidRPr="00491634">
              <w:rPr>
                <w:sz w:val="20"/>
                <w:szCs w:val="20"/>
              </w:rPr>
              <w:t>Sub-section 18 (3)</w:t>
            </w:r>
            <w:r w:rsidR="0048171A" w:rsidRPr="00491634">
              <w:rPr>
                <w:sz w:val="20"/>
                <w:szCs w:val="20"/>
              </w:rPr>
              <w:tab/>
            </w:r>
          </w:p>
        </w:tc>
        <w:tc>
          <w:tcPr>
            <w:tcW w:w="3252" w:type="pct"/>
          </w:tcPr>
          <w:p w14:paraId="3060A985"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the last preceding sub-section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sub-section (2)</w:t>
            </w:r>
            <w:r w:rsidR="00FF20C5" w:rsidRPr="00491634">
              <w:rPr>
                <w:sz w:val="20"/>
                <w:szCs w:val="20"/>
              </w:rPr>
              <w:t>”</w:t>
            </w:r>
            <w:r w:rsidRPr="00491634">
              <w:rPr>
                <w:sz w:val="20"/>
                <w:szCs w:val="20"/>
              </w:rPr>
              <w:t>.</w:t>
            </w:r>
          </w:p>
        </w:tc>
      </w:tr>
      <w:tr w:rsidR="0035195C" w:rsidRPr="00491634" w14:paraId="664527D0" w14:textId="77777777" w:rsidTr="009C738E">
        <w:trPr>
          <w:trHeight w:val="20"/>
        </w:trPr>
        <w:tc>
          <w:tcPr>
            <w:tcW w:w="1748" w:type="pct"/>
          </w:tcPr>
          <w:p w14:paraId="3E981FC7" w14:textId="77777777" w:rsidR="0035195C" w:rsidRPr="00491634" w:rsidRDefault="00374BB1" w:rsidP="0048171A">
            <w:pPr>
              <w:tabs>
                <w:tab w:val="left" w:leader="dot" w:pos="2300"/>
              </w:tabs>
              <w:spacing w:before="0"/>
              <w:ind w:firstLine="0"/>
              <w:rPr>
                <w:sz w:val="20"/>
                <w:szCs w:val="20"/>
              </w:rPr>
            </w:pPr>
            <w:r w:rsidRPr="00491634">
              <w:rPr>
                <w:sz w:val="20"/>
                <w:szCs w:val="20"/>
              </w:rPr>
              <w:t>Sub-section 18 (4)</w:t>
            </w:r>
            <w:r w:rsidR="0048171A" w:rsidRPr="00491634">
              <w:rPr>
                <w:sz w:val="20"/>
                <w:szCs w:val="20"/>
              </w:rPr>
              <w:tab/>
            </w:r>
          </w:p>
        </w:tc>
        <w:tc>
          <w:tcPr>
            <w:tcW w:w="3252" w:type="pct"/>
          </w:tcPr>
          <w:p w14:paraId="6D07FB6B" w14:textId="236E9BD0" w:rsidR="0035195C" w:rsidRPr="00491634" w:rsidRDefault="00374BB1" w:rsidP="00491634">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the last preceding sub-section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su</w:t>
            </w:r>
            <w:r w:rsidR="00491634">
              <w:rPr>
                <w:sz w:val="20"/>
                <w:szCs w:val="20"/>
              </w:rPr>
              <w:t>b</w:t>
            </w:r>
            <w:r w:rsidRPr="00491634">
              <w:rPr>
                <w:sz w:val="20"/>
                <w:szCs w:val="20"/>
              </w:rPr>
              <w:t>-section (3)</w:t>
            </w:r>
            <w:r w:rsidR="00FF20C5" w:rsidRPr="00491634">
              <w:rPr>
                <w:sz w:val="20"/>
                <w:szCs w:val="20"/>
              </w:rPr>
              <w:t>”</w:t>
            </w:r>
            <w:r w:rsidRPr="00491634">
              <w:rPr>
                <w:sz w:val="20"/>
                <w:szCs w:val="20"/>
              </w:rPr>
              <w:t>.</w:t>
            </w:r>
          </w:p>
        </w:tc>
      </w:tr>
      <w:tr w:rsidR="0035195C" w:rsidRPr="00491634" w14:paraId="15DC03C1" w14:textId="77777777" w:rsidTr="009C738E">
        <w:trPr>
          <w:trHeight w:val="20"/>
        </w:trPr>
        <w:tc>
          <w:tcPr>
            <w:tcW w:w="1748" w:type="pct"/>
          </w:tcPr>
          <w:p w14:paraId="06153ECB" w14:textId="77777777" w:rsidR="0035195C" w:rsidRPr="00491634" w:rsidRDefault="00374BB1" w:rsidP="0048171A">
            <w:pPr>
              <w:tabs>
                <w:tab w:val="left" w:leader="dot" w:pos="2300"/>
              </w:tabs>
              <w:spacing w:before="0"/>
              <w:ind w:firstLine="0"/>
              <w:rPr>
                <w:sz w:val="20"/>
                <w:szCs w:val="20"/>
              </w:rPr>
            </w:pPr>
            <w:r w:rsidRPr="00491634">
              <w:rPr>
                <w:sz w:val="20"/>
                <w:szCs w:val="20"/>
              </w:rPr>
              <w:t>Sub-section 19 (2)</w:t>
            </w:r>
            <w:r w:rsidR="0048171A" w:rsidRPr="00491634">
              <w:rPr>
                <w:sz w:val="20"/>
                <w:szCs w:val="20"/>
              </w:rPr>
              <w:tab/>
            </w:r>
          </w:p>
        </w:tc>
        <w:tc>
          <w:tcPr>
            <w:tcW w:w="3252" w:type="pct"/>
          </w:tcPr>
          <w:p w14:paraId="78169842" w14:textId="77777777" w:rsidR="0035195C" w:rsidRPr="00491634" w:rsidRDefault="00374BB1" w:rsidP="0048171A">
            <w:pPr>
              <w:spacing w:before="0"/>
              <w:ind w:left="302" w:hanging="302"/>
              <w:rPr>
                <w:sz w:val="20"/>
                <w:szCs w:val="20"/>
              </w:rPr>
            </w:pPr>
            <w:r w:rsidRPr="00491634">
              <w:rPr>
                <w:sz w:val="20"/>
                <w:szCs w:val="20"/>
              </w:rPr>
              <w:t xml:space="preserve">Omit </w:t>
            </w:r>
            <w:r w:rsidR="00FF20C5" w:rsidRPr="00491634">
              <w:rPr>
                <w:sz w:val="20"/>
                <w:szCs w:val="20"/>
              </w:rPr>
              <w:t>“</w:t>
            </w:r>
            <w:r w:rsidRPr="00491634">
              <w:rPr>
                <w:sz w:val="20"/>
                <w:szCs w:val="20"/>
              </w:rPr>
              <w:t>fifteen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15</w:t>
            </w:r>
            <w:r w:rsidR="00FF20C5" w:rsidRPr="00491634">
              <w:rPr>
                <w:sz w:val="20"/>
                <w:szCs w:val="20"/>
              </w:rPr>
              <w:t>”</w:t>
            </w:r>
            <w:r w:rsidRPr="00491634">
              <w:rPr>
                <w:sz w:val="20"/>
                <w:szCs w:val="20"/>
              </w:rPr>
              <w:t>.</w:t>
            </w:r>
          </w:p>
        </w:tc>
      </w:tr>
      <w:tr w:rsidR="0035195C" w:rsidRPr="00491634" w14:paraId="56800049" w14:textId="77777777" w:rsidTr="009C738E">
        <w:trPr>
          <w:trHeight w:val="20"/>
        </w:trPr>
        <w:tc>
          <w:tcPr>
            <w:tcW w:w="1748" w:type="pct"/>
          </w:tcPr>
          <w:p w14:paraId="3488CC9E" w14:textId="2AB1694D" w:rsidR="0035195C" w:rsidRPr="00491634" w:rsidRDefault="00374BB1" w:rsidP="00491634">
            <w:pPr>
              <w:tabs>
                <w:tab w:val="left" w:leader="dot" w:pos="2300"/>
              </w:tabs>
              <w:spacing w:before="0"/>
              <w:ind w:firstLine="0"/>
              <w:rPr>
                <w:sz w:val="20"/>
                <w:szCs w:val="20"/>
              </w:rPr>
            </w:pPr>
            <w:r w:rsidRPr="00491634">
              <w:rPr>
                <w:sz w:val="20"/>
                <w:szCs w:val="20"/>
              </w:rPr>
              <w:t xml:space="preserve">Section </w:t>
            </w:r>
            <w:r w:rsidR="000C6ACF" w:rsidRPr="00491634">
              <w:rPr>
                <w:sz w:val="20"/>
                <w:szCs w:val="20"/>
              </w:rPr>
              <w:t>22</w:t>
            </w:r>
            <w:r w:rsidR="0048171A" w:rsidRPr="00491634">
              <w:rPr>
                <w:i/>
                <w:sz w:val="20"/>
                <w:szCs w:val="20"/>
              </w:rPr>
              <w:tab/>
            </w:r>
          </w:p>
        </w:tc>
        <w:tc>
          <w:tcPr>
            <w:tcW w:w="3252" w:type="pct"/>
          </w:tcPr>
          <w:p w14:paraId="7F1EAA81" w14:textId="77777777" w:rsidR="0035195C" w:rsidRPr="00491634" w:rsidRDefault="00374BB1" w:rsidP="0048171A">
            <w:pPr>
              <w:spacing w:before="0"/>
              <w:ind w:left="302" w:hanging="302"/>
              <w:rPr>
                <w:sz w:val="20"/>
                <w:szCs w:val="20"/>
              </w:rPr>
            </w:pPr>
            <w:r w:rsidRPr="00491634">
              <w:rPr>
                <w:sz w:val="20"/>
                <w:szCs w:val="20"/>
              </w:rPr>
              <w:t xml:space="preserve">(a) Omit </w:t>
            </w:r>
            <w:r w:rsidR="00FF20C5" w:rsidRPr="00491634">
              <w:rPr>
                <w:sz w:val="20"/>
                <w:szCs w:val="20"/>
              </w:rPr>
              <w:t>“</w:t>
            </w:r>
            <w:r w:rsidRPr="00491634">
              <w:rPr>
                <w:sz w:val="20"/>
                <w:szCs w:val="20"/>
              </w:rPr>
              <w:t>connexion</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connection</w:t>
            </w:r>
            <w:r w:rsidR="00FF20C5" w:rsidRPr="00491634">
              <w:rPr>
                <w:sz w:val="20"/>
                <w:szCs w:val="20"/>
              </w:rPr>
              <w:t>”</w:t>
            </w:r>
            <w:r w:rsidRPr="00491634">
              <w:rPr>
                <w:sz w:val="20"/>
                <w:szCs w:val="20"/>
              </w:rPr>
              <w:t>.</w:t>
            </w:r>
          </w:p>
        </w:tc>
      </w:tr>
      <w:tr w:rsidR="0035195C" w:rsidRPr="00491634" w14:paraId="6B5D232E" w14:textId="77777777" w:rsidTr="009C738E">
        <w:trPr>
          <w:trHeight w:val="20"/>
        </w:trPr>
        <w:tc>
          <w:tcPr>
            <w:tcW w:w="1748" w:type="pct"/>
          </w:tcPr>
          <w:p w14:paraId="0797E03E" w14:textId="77777777" w:rsidR="0035195C" w:rsidRPr="00491634" w:rsidRDefault="006F1092" w:rsidP="00430E97">
            <w:pPr>
              <w:spacing w:before="0"/>
              <w:ind w:firstLine="0"/>
              <w:rPr>
                <w:sz w:val="20"/>
                <w:szCs w:val="20"/>
              </w:rPr>
            </w:pPr>
          </w:p>
        </w:tc>
        <w:tc>
          <w:tcPr>
            <w:tcW w:w="3252" w:type="pct"/>
          </w:tcPr>
          <w:p w14:paraId="68825754" w14:textId="77777777" w:rsidR="0035195C" w:rsidRPr="00491634" w:rsidRDefault="00374BB1" w:rsidP="0048171A">
            <w:pPr>
              <w:spacing w:before="0"/>
              <w:ind w:left="302" w:hanging="302"/>
              <w:rPr>
                <w:sz w:val="20"/>
                <w:szCs w:val="20"/>
              </w:rPr>
            </w:pPr>
            <w:r w:rsidRPr="00491634">
              <w:rPr>
                <w:sz w:val="20"/>
                <w:szCs w:val="20"/>
              </w:rPr>
              <w:t xml:space="preserve">(b) Omit </w:t>
            </w:r>
            <w:r w:rsidR="00FF20C5" w:rsidRPr="00491634">
              <w:rPr>
                <w:sz w:val="20"/>
                <w:szCs w:val="20"/>
              </w:rPr>
              <w:t>“</w:t>
            </w:r>
            <w:r w:rsidRPr="00491634">
              <w:rPr>
                <w:sz w:val="20"/>
                <w:szCs w:val="20"/>
              </w:rPr>
              <w:t>One hundred dollars</w:t>
            </w:r>
            <w:r w:rsidR="00FF20C5" w:rsidRPr="00491634">
              <w:rPr>
                <w:sz w:val="20"/>
                <w:szCs w:val="20"/>
              </w:rPr>
              <w:t>”</w:t>
            </w:r>
            <w:r w:rsidRPr="00491634">
              <w:rPr>
                <w:sz w:val="20"/>
                <w:szCs w:val="20"/>
              </w:rPr>
              <w:t xml:space="preserve">, substitute </w:t>
            </w:r>
            <w:r w:rsidR="00FF20C5" w:rsidRPr="00491634">
              <w:rPr>
                <w:sz w:val="20"/>
                <w:szCs w:val="20"/>
              </w:rPr>
              <w:t>“</w:t>
            </w:r>
            <w:r w:rsidRPr="00491634">
              <w:rPr>
                <w:sz w:val="20"/>
                <w:szCs w:val="20"/>
              </w:rPr>
              <w:t>$100</w:t>
            </w:r>
            <w:r w:rsidR="00FF20C5" w:rsidRPr="00491634">
              <w:rPr>
                <w:sz w:val="20"/>
                <w:szCs w:val="20"/>
              </w:rPr>
              <w:t>”</w:t>
            </w:r>
            <w:r w:rsidRPr="00491634">
              <w:rPr>
                <w:sz w:val="20"/>
                <w:szCs w:val="20"/>
              </w:rPr>
              <w:t>.</w:t>
            </w:r>
          </w:p>
        </w:tc>
      </w:tr>
    </w:tbl>
    <w:p w14:paraId="6F1B8A9A" w14:textId="77777777" w:rsidR="0048171A" w:rsidRDefault="0048171A" w:rsidP="0048171A">
      <w:pPr>
        <w:pStyle w:val="Heading1"/>
        <w:pBdr>
          <w:bottom w:val="single" w:sz="12" w:space="1" w:color="auto"/>
        </w:pBdr>
      </w:pPr>
    </w:p>
    <w:p w14:paraId="0EA12F8F" w14:textId="77777777" w:rsidR="0035195C" w:rsidRPr="00E60C0B" w:rsidRDefault="00374BB1" w:rsidP="0048171A">
      <w:pPr>
        <w:pStyle w:val="Heading1"/>
        <w:rPr>
          <w:sz w:val="22"/>
        </w:rPr>
      </w:pPr>
      <w:r w:rsidRPr="00E60C0B">
        <w:rPr>
          <w:sz w:val="22"/>
        </w:rPr>
        <w:t>NOTE</w:t>
      </w:r>
    </w:p>
    <w:p w14:paraId="58AA2CEE" w14:textId="77777777" w:rsidR="0035195C" w:rsidRPr="00513101" w:rsidRDefault="00374BB1" w:rsidP="0048171A">
      <w:pPr>
        <w:pStyle w:val="note"/>
      </w:pPr>
      <w:r w:rsidRPr="00513101">
        <w:t>1. No. 82, 1966. as amended. For previous amendments, see No. 86, 1970; No. 71, 1972; No. 57, 1973; No. 216, 1973 (as amended by No. 20, 1974); No. 30, 1977; No. 108, 1978; and No. 26, 1982.</w:t>
      </w:r>
    </w:p>
    <w:sectPr w:rsidR="0035195C" w:rsidRPr="00513101" w:rsidSect="00430E97">
      <w:headerReference w:type="default" r:id="rId9"/>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347BB8" w15:done="0"/>
  <w15:commentEx w15:paraId="52EB0200" w15:done="0"/>
  <w15:commentEx w15:paraId="41FD1FB8" w15:done="0"/>
  <w15:commentEx w15:paraId="1311BC81" w15:done="0"/>
  <w15:commentEx w15:paraId="5E659E5E" w15:done="0"/>
  <w15:commentEx w15:paraId="26D000A0" w15:done="0"/>
  <w15:commentEx w15:paraId="3B5807CE" w15:done="0"/>
  <w15:commentEx w15:paraId="37AF27A6" w15:done="0"/>
  <w15:commentEx w15:paraId="608670E2" w15:done="0"/>
  <w15:commentEx w15:paraId="2E179CBF" w15:done="0"/>
  <w15:commentEx w15:paraId="40C8477E" w15:done="0"/>
  <w15:commentEx w15:paraId="499F262E" w15:done="0"/>
  <w15:commentEx w15:paraId="4BA7DAAC" w15:done="0"/>
  <w15:commentEx w15:paraId="16952A05" w15:done="0"/>
  <w15:commentEx w15:paraId="4528D3FD" w15:done="0"/>
  <w15:commentEx w15:paraId="65FDF0A0" w15:done="0"/>
  <w15:commentEx w15:paraId="4DA7B651" w15:done="0"/>
  <w15:commentEx w15:paraId="322B7B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347BB8" w16cid:durableId="1FDB541F"/>
  <w16cid:commentId w16cid:paraId="52EB0200" w16cid:durableId="1FDB542F"/>
  <w16cid:commentId w16cid:paraId="41FD1FB8" w16cid:durableId="1FDB5444"/>
  <w16cid:commentId w16cid:paraId="1311BC81" w16cid:durableId="1FDB544A"/>
  <w16cid:commentId w16cid:paraId="5E659E5E" w16cid:durableId="1FDB5464"/>
  <w16cid:commentId w16cid:paraId="26D000A0" w16cid:durableId="1FDB54A6"/>
  <w16cid:commentId w16cid:paraId="3B5807CE" w16cid:durableId="1FDB54B2"/>
  <w16cid:commentId w16cid:paraId="37AF27A6" w16cid:durableId="1FDB546D"/>
  <w16cid:commentId w16cid:paraId="608670E2" w16cid:durableId="1FDB54B9"/>
  <w16cid:commentId w16cid:paraId="2E179CBF" w16cid:durableId="1FDB5473"/>
  <w16cid:commentId w16cid:paraId="40C8477E" w16cid:durableId="1FDB5479"/>
  <w16cid:commentId w16cid:paraId="499F262E" w16cid:durableId="1FDB54CA"/>
  <w16cid:commentId w16cid:paraId="4BA7DAAC" w16cid:durableId="1FDB54D9"/>
  <w16cid:commentId w16cid:paraId="16952A05" w16cid:durableId="1FDB5481"/>
  <w16cid:commentId w16cid:paraId="4528D3FD" w16cid:durableId="1FDB54F9"/>
  <w16cid:commentId w16cid:paraId="65FDF0A0" w16cid:durableId="1FDB5488"/>
  <w16cid:commentId w16cid:paraId="4DA7B651" w16cid:durableId="1FDB5510"/>
  <w16cid:commentId w16cid:paraId="322B7B0C" w16cid:durableId="1FDB54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A772" w14:textId="77777777" w:rsidR="00646BDE" w:rsidRDefault="00646BDE" w:rsidP="00430E97">
      <w:pPr>
        <w:spacing w:before="0"/>
      </w:pPr>
      <w:r>
        <w:separator/>
      </w:r>
    </w:p>
  </w:endnote>
  <w:endnote w:type="continuationSeparator" w:id="0">
    <w:p w14:paraId="35EFD110" w14:textId="77777777" w:rsidR="00646BDE" w:rsidRDefault="00646BDE" w:rsidP="00430E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DD264" w14:textId="77777777" w:rsidR="00646BDE" w:rsidRDefault="00646BDE" w:rsidP="00430E97">
      <w:pPr>
        <w:spacing w:before="0"/>
      </w:pPr>
      <w:r>
        <w:separator/>
      </w:r>
    </w:p>
  </w:footnote>
  <w:footnote w:type="continuationSeparator" w:id="0">
    <w:p w14:paraId="63ACD5C9" w14:textId="77777777" w:rsidR="00646BDE" w:rsidRDefault="00646BDE" w:rsidP="00430E9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CE23" w14:textId="77777777" w:rsidR="00430E97" w:rsidRPr="00430E97" w:rsidRDefault="00430E97" w:rsidP="00430E97">
    <w:pPr>
      <w:ind w:firstLine="0"/>
      <w:jc w:val="center"/>
      <w:rPr>
        <w:sz w:val="20"/>
      </w:rPr>
    </w:pPr>
    <w:r w:rsidRPr="00430E97">
      <w:rPr>
        <w:i/>
        <w:sz w:val="20"/>
      </w:rPr>
      <w:t>Bounty (Agricultural Tractors) Amendment</w:t>
    </w:r>
    <w:r w:rsidRPr="00430E97">
      <w:rPr>
        <w:i/>
        <w:sz w:val="20"/>
      </w:rPr>
      <w:tab/>
      <w:t>No. 76, 1983</w:t>
    </w:r>
  </w:p>
  <w:p w14:paraId="708FC1BE" w14:textId="77777777" w:rsidR="00430E97" w:rsidRDefault="00430E9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5637"/>
    <w:rsid w:val="000C4C2C"/>
    <w:rsid w:val="000C6ACF"/>
    <w:rsid w:val="00304A47"/>
    <w:rsid w:val="00374BB1"/>
    <w:rsid w:val="003B5637"/>
    <w:rsid w:val="00430E97"/>
    <w:rsid w:val="0048171A"/>
    <w:rsid w:val="00491634"/>
    <w:rsid w:val="00513101"/>
    <w:rsid w:val="005B0284"/>
    <w:rsid w:val="005E7B47"/>
    <w:rsid w:val="00646BDE"/>
    <w:rsid w:val="006F1092"/>
    <w:rsid w:val="007A4AE2"/>
    <w:rsid w:val="008A7581"/>
    <w:rsid w:val="009A2730"/>
    <w:rsid w:val="009C738E"/>
    <w:rsid w:val="00A709A6"/>
    <w:rsid w:val="00C24C05"/>
    <w:rsid w:val="00E17603"/>
    <w:rsid w:val="00E60C0B"/>
    <w:rsid w:val="00EF61B0"/>
    <w:rsid w:val="00FF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DA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47"/>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5E7B47"/>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5E7B47"/>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5E7B47"/>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5E7B47"/>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E7B47"/>
    <w:rPr>
      <w:rFonts w:eastAsia="Times New Roman"/>
      <w:sz w:val="20"/>
      <w:szCs w:val="20"/>
    </w:rPr>
  </w:style>
  <w:style w:type="paragraph" w:customStyle="1" w:styleId="Style1">
    <w:name w:val="Style1"/>
    <w:basedOn w:val="Normal"/>
    <w:uiPriority w:val="99"/>
    <w:rsid w:val="005E7B47"/>
    <w:rPr>
      <w:rFonts w:eastAsia="Times New Roman"/>
      <w:sz w:val="20"/>
      <w:szCs w:val="20"/>
    </w:rPr>
  </w:style>
  <w:style w:type="paragraph" w:customStyle="1" w:styleId="Style31">
    <w:name w:val="Style31"/>
    <w:basedOn w:val="Normal"/>
    <w:rsid w:val="000C4C2C"/>
    <w:rPr>
      <w:rFonts w:eastAsia="Times New Roman"/>
      <w:sz w:val="20"/>
      <w:szCs w:val="20"/>
    </w:rPr>
  </w:style>
  <w:style w:type="paragraph" w:customStyle="1" w:styleId="Style32">
    <w:name w:val="Style32"/>
    <w:basedOn w:val="Normal"/>
    <w:rsid w:val="000C4C2C"/>
    <w:rPr>
      <w:rFonts w:eastAsia="Times New Roman"/>
      <w:sz w:val="20"/>
      <w:szCs w:val="20"/>
    </w:rPr>
  </w:style>
  <w:style w:type="paragraph" w:customStyle="1" w:styleId="Style33">
    <w:name w:val="Style33"/>
    <w:basedOn w:val="Normal"/>
    <w:rsid w:val="000C4C2C"/>
    <w:rPr>
      <w:rFonts w:eastAsia="Times New Roman"/>
      <w:sz w:val="20"/>
      <w:szCs w:val="20"/>
    </w:rPr>
  </w:style>
  <w:style w:type="paragraph" w:customStyle="1" w:styleId="Style35">
    <w:name w:val="Style35"/>
    <w:basedOn w:val="Normal"/>
    <w:rsid w:val="000C4C2C"/>
    <w:rPr>
      <w:rFonts w:eastAsia="Times New Roman"/>
      <w:sz w:val="20"/>
      <w:szCs w:val="20"/>
    </w:rPr>
  </w:style>
  <w:style w:type="paragraph" w:customStyle="1" w:styleId="Style59">
    <w:name w:val="Style59"/>
    <w:basedOn w:val="Normal"/>
    <w:rsid w:val="000C4C2C"/>
    <w:rPr>
      <w:rFonts w:eastAsia="Times New Roman"/>
      <w:sz w:val="20"/>
      <w:szCs w:val="20"/>
    </w:rPr>
  </w:style>
  <w:style w:type="paragraph" w:customStyle="1" w:styleId="Style45">
    <w:name w:val="Style45"/>
    <w:basedOn w:val="Normal"/>
    <w:rsid w:val="005E7B47"/>
    <w:rPr>
      <w:rFonts w:eastAsia="Times New Roman"/>
      <w:sz w:val="20"/>
      <w:szCs w:val="20"/>
    </w:rPr>
  </w:style>
  <w:style w:type="paragraph" w:customStyle="1" w:styleId="Style75">
    <w:name w:val="Style75"/>
    <w:basedOn w:val="Normal"/>
    <w:rsid w:val="000C4C2C"/>
    <w:rPr>
      <w:rFonts w:eastAsia="Times New Roman"/>
      <w:sz w:val="20"/>
      <w:szCs w:val="20"/>
    </w:rPr>
  </w:style>
  <w:style w:type="paragraph" w:customStyle="1" w:styleId="Style1658">
    <w:name w:val="Style1658"/>
    <w:basedOn w:val="Normal"/>
    <w:rsid w:val="000C4C2C"/>
    <w:rPr>
      <w:rFonts w:eastAsia="Times New Roman"/>
      <w:sz w:val="20"/>
      <w:szCs w:val="20"/>
    </w:rPr>
  </w:style>
  <w:style w:type="paragraph" w:customStyle="1" w:styleId="Style2101">
    <w:name w:val="Style2101"/>
    <w:basedOn w:val="Normal"/>
    <w:rsid w:val="000C4C2C"/>
    <w:rPr>
      <w:rFonts w:eastAsia="Times New Roman"/>
      <w:sz w:val="20"/>
      <w:szCs w:val="20"/>
    </w:rPr>
  </w:style>
  <w:style w:type="paragraph" w:customStyle="1" w:styleId="Style1810">
    <w:name w:val="Style1810"/>
    <w:basedOn w:val="Normal"/>
    <w:rsid w:val="000C4C2C"/>
    <w:rPr>
      <w:rFonts w:eastAsia="Times New Roman"/>
      <w:sz w:val="20"/>
      <w:szCs w:val="20"/>
    </w:rPr>
  </w:style>
  <w:style w:type="paragraph" w:customStyle="1" w:styleId="Style1991">
    <w:name w:val="Style1991"/>
    <w:basedOn w:val="Normal"/>
    <w:rsid w:val="000C4C2C"/>
    <w:rPr>
      <w:rFonts w:eastAsia="Times New Roman"/>
      <w:sz w:val="20"/>
      <w:szCs w:val="20"/>
    </w:rPr>
  </w:style>
  <w:style w:type="paragraph" w:customStyle="1" w:styleId="Style1803">
    <w:name w:val="Style1803"/>
    <w:basedOn w:val="Normal"/>
    <w:rsid w:val="000C4C2C"/>
    <w:rPr>
      <w:rFonts w:eastAsia="Times New Roman"/>
      <w:sz w:val="20"/>
      <w:szCs w:val="20"/>
    </w:rPr>
  </w:style>
  <w:style w:type="paragraph" w:customStyle="1" w:styleId="Style1929">
    <w:name w:val="Style1929"/>
    <w:basedOn w:val="Normal"/>
    <w:rsid w:val="000C4C2C"/>
    <w:rPr>
      <w:rFonts w:eastAsia="Times New Roman"/>
      <w:sz w:val="20"/>
      <w:szCs w:val="20"/>
    </w:rPr>
  </w:style>
  <w:style w:type="paragraph" w:customStyle="1" w:styleId="Style1807">
    <w:name w:val="Style1807"/>
    <w:basedOn w:val="Normal"/>
    <w:rsid w:val="000C4C2C"/>
    <w:rPr>
      <w:rFonts w:eastAsia="Times New Roman"/>
      <w:sz w:val="20"/>
      <w:szCs w:val="20"/>
    </w:rPr>
  </w:style>
  <w:style w:type="character" w:customStyle="1" w:styleId="CharStyle5">
    <w:name w:val="CharStyle5"/>
    <w:basedOn w:val="DefaultParagraphFont"/>
    <w:rsid w:val="005E7B47"/>
    <w:rPr>
      <w:rFonts w:ascii="Times New Roman" w:eastAsia="Times New Roman" w:hAnsi="Times New Roman" w:cs="Times New Roman"/>
      <w:b/>
      <w:bCs/>
      <w:i w:val="0"/>
      <w:iCs w:val="0"/>
      <w:smallCaps w:val="0"/>
      <w:sz w:val="14"/>
      <w:szCs w:val="14"/>
    </w:rPr>
  </w:style>
  <w:style w:type="character" w:customStyle="1" w:styleId="CharStyle7">
    <w:name w:val="CharStyle7"/>
    <w:basedOn w:val="DefaultParagraphFont"/>
    <w:rsid w:val="005E7B47"/>
    <w:rPr>
      <w:rFonts w:ascii="Times New Roman" w:eastAsia="Times New Roman" w:hAnsi="Times New Roman" w:cs="Times New Roman"/>
      <w:b/>
      <w:bCs/>
      <w:i w:val="0"/>
      <w:iCs w:val="0"/>
      <w:smallCaps w:val="0"/>
      <w:sz w:val="24"/>
      <w:szCs w:val="24"/>
    </w:rPr>
  </w:style>
  <w:style w:type="character" w:customStyle="1" w:styleId="CharStyle101">
    <w:name w:val="CharStyle101"/>
    <w:basedOn w:val="DefaultParagraphFont"/>
    <w:rsid w:val="000C4C2C"/>
    <w:rPr>
      <w:rFonts w:ascii="Times New Roman" w:eastAsia="Times New Roman" w:hAnsi="Times New Roman" w:cs="Times New Roman"/>
      <w:b w:val="0"/>
      <w:bCs w:val="0"/>
      <w:i/>
      <w:iCs/>
      <w:smallCaps w:val="0"/>
      <w:sz w:val="20"/>
      <w:szCs w:val="20"/>
    </w:rPr>
  </w:style>
  <w:style w:type="character" w:customStyle="1" w:styleId="CharStyle245">
    <w:name w:val="CharStyle245"/>
    <w:basedOn w:val="DefaultParagraphFont"/>
    <w:rsid w:val="000C4C2C"/>
    <w:rPr>
      <w:rFonts w:ascii="Times New Roman" w:eastAsia="Times New Roman" w:hAnsi="Times New Roman" w:cs="Times New Roman"/>
      <w:b/>
      <w:bCs/>
      <w:i w:val="0"/>
      <w:iCs w:val="0"/>
      <w:smallCaps w:val="0"/>
      <w:sz w:val="14"/>
      <w:szCs w:val="14"/>
    </w:rPr>
  </w:style>
  <w:style w:type="character" w:customStyle="1" w:styleId="CharStyle247">
    <w:name w:val="CharStyle247"/>
    <w:basedOn w:val="DefaultParagraphFont"/>
    <w:rsid w:val="000C4C2C"/>
    <w:rPr>
      <w:rFonts w:ascii="Times New Roman" w:eastAsia="Times New Roman" w:hAnsi="Times New Roman" w:cs="Times New Roman"/>
      <w:b/>
      <w:bCs/>
      <w:i w:val="0"/>
      <w:iCs w:val="0"/>
      <w:smallCaps w:val="0"/>
      <w:sz w:val="16"/>
      <w:szCs w:val="16"/>
    </w:rPr>
  </w:style>
  <w:style w:type="character" w:customStyle="1" w:styleId="CharStyle270">
    <w:name w:val="CharStyle270"/>
    <w:basedOn w:val="DefaultParagraphFont"/>
    <w:rsid w:val="000C4C2C"/>
    <w:rPr>
      <w:rFonts w:ascii="Times New Roman" w:eastAsia="Times New Roman" w:hAnsi="Times New Roman" w:cs="Times New Roman"/>
      <w:b/>
      <w:bCs/>
      <w:i w:val="0"/>
      <w:iCs w:val="0"/>
      <w:smallCaps w:val="0"/>
      <w:sz w:val="20"/>
      <w:szCs w:val="20"/>
    </w:rPr>
  </w:style>
  <w:style w:type="character" w:customStyle="1" w:styleId="CharStyle276">
    <w:name w:val="CharStyle276"/>
    <w:basedOn w:val="DefaultParagraphFont"/>
    <w:rsid w:val="000C4C2C"/>
    <w:rPr>
      <w:rFonts w:ascii="Times New Roman" w:eastAsia="Times New Roman" w:hAnsi="Times New Roman" w:cs="Times New Roman"/>
      <w:b/>
      <w:bCs/>
      <w:i w:val="0"/>
      <w:iCs w:val="0"/>
      <w:smallCaps w:val="0"/>
      <w:sz w:val="20"/>
      <w:szCs w:val="20"/>
    </w:rPr>
  </w:style>
  <w:style w:type="character" w:customStyle="1" w:styleId="CharStyle283">
    <w:name w:val="CharStyle283"/>
    <w:basedOn w:val="DefaultParagraphFont"/>
    <w:rsid w:val="000C4C2C"/>
    <w:rPr>
      <w:rFonts w:ascii="Times New Roman" w:eastAsia="Times New Roman" w:hAnsi="Times New Roman" w:cs="Times New Roman"/>
      <w:b w:val="0"/>
      <w:bCs w:val="0"/>
      <w:i w:val="0"/>
      <w:iCs w:val="0"/>
      <w:smallCaps w:val="0"/>
      <w:sz w:val="20"/>
      <w:szCs w:val="20"/>
    </w:rPr>
  </w:style>
  <w:style w:type="character" w:customStyle="1" w:styleId="CharStyle299">
    <w:name w:val="CharStyle299"/>
    <w:basedOn w:val="DefaultParagraphFont"/>
    <w:rsid w:val="000C4C2C"/>
    <w:rPr>
      <w:rFonts w:ascii="Times New Roman" w:eastAsia="Times New Roman" w:hAnsi="Times New Roman" w:cs="Times New Roman"/>
      <w:b/>
      <w:bCs/>
      <w:i/>
      <w:iCs/>
      <w:smallCaps w:val="0"/>
      <w:sz w:val="16"/>
      <w:szCs w:val="16"/>
    </w:rPr>
  </w:style>
  <w:style w:type="character" w:customStyle="1" w:styleId="CharStyle306">
    <w:name w:val="CharStyle306"/>
    <w:basedOn w:val="DefaultParagraphFont"/>
    <w:rsid w:val="000C4C2C"/>
    <w:rPr>
      <w:rFonts w:ascii="Times New Roman" w:eastAsia="Times New Roman" w:hAnsi="Times New Roman" w:cs="Times New Roman"/>
      <w:b/>
      <w:bCs/>
      <w:i w:val="0"/>
      <w:iCs w:val="0"/>
      <w:smallCaps w:val="0"/>
      <w:sz w:val="26"/>
      <w:szCs w:val="26"/>
    </w:rPr>
  </w:style>
  <w:style w:type="character" w:customStyle="1" w:styleId="CharStyle1764">
    <w:name w:val="CharStyle1764"/>
    <w:basedOn w:val="DefaultParagraphFont"/>
    <w:rsid w:val="000C4C2C"/>
    <w:rPr>
      <w:rFonts w:ascii="Times New Roman" w:eastAsia="Times New Roman" w:hAnsi="Times New Roman" w:cs="Times New Roman"/>
      <w:b w:val="0"/>
      <w:bCs w:val="0"/>
      <w:i/>
      <w:iCs/>
      <w:smallCaps w:val="0"/>
      <w:spacing w:val="20"/>
      <w:sz w:val="14"/>
      <w:szCs w:val="14"/>
    </w:rPr>
  </w:style>
  <w:style w:type="character" w:customStyle="1" w:styleId="Heading1Char">
    <w:name w:val="Heading 1 Char"/>
    <w:basedOn w:val="DefaultParagraphFont"/>
    <w:link w:val="Heading1"/>
    <w:uiPriority w:val="9"/>
    <w:rsid w:val="005E7B47"/>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5E7B47"/>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5E7B47"/>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5E7B47"/>
    <w:rPr>
      <w:rFonts w:ascii="Times New Roman" w:hAnsi="Times New Roman" w:cs="Times New Roman"/>
      <w:b/>
      <w:bCs/>
      <w:i/>
      <w:sz w:val="24"/>
      <w:szCs w:val="28"/>
    </w:rPr>
  </w:style>
  <w:style w:type="paragraph" w:customStyle="1" w:styleId="Style19">
    <w:name w:val="Style19"/>
    <w:basedOn w:val="Normal"/>
    <w:rsid w:val="005E7B47"/>
    <w:rPr>
      <w:rFonts w:eastAsia="Times New Roman"/>
      <w:sz w:val="20"/>
      <w:szCs w:val="20"/>
    </w:rPr>
  </w:style>
  <w:style w:type="paragraph" w:customStyle="1" w:styleId="Style12">
    <w:name w:val="Style12"/>
    <w:basedOn w:val="Normal"/>
    <w:rsid w:val="005E7B47"/>
    <w:rPr>
      <w:rFonts w:eastAsia="Times New Roman"/>
      <w:sz w:val="20"/>
      <w:szCs w:val="20"/>
    </w:rPr>
  </w:style>
  <w:style w:type="paragraph" w:customStyle="1" w:styleId="Style41">
    <w:name w:val="Style41"/>
    <w:basedOn w:val="Normal"/>
    <w:rsid w:val="005E7B47"/>
    <w:rPr>
      <w:rFonts w:eastAsia="Times New Roman"/>
      <w:sz w:val="20"/>
      <w:szCs w:val="20"/>
    </w:rPr>
  </w:style>
  <w:style w:type="paragraph" w:customStyle="1" w:styleId="Style39">
    <w:name w:val="Style39"/>
    <w:basedOn w:val="Normal"/>
    <w:rsid w:val="005E7B47"/>
    <w:rPr>
      <w:rFonts w:eastAsia="Times New Roman"/>
      <w:sz w:val="20"/>
      <w:szCs w:val="20"/>
    </w:rPr>
  </w:style>
  <w:style w:type="paragraph" w:customStyle="1" w:styleId="Style38">
    <w:name w:val="Style38"/>
    <w:basedOn w:val="Normal"/>
    <w:rsid w:val="005E7B47"/>
    <w:rPr>
      <w:rFonts w:eastAsia="Times New Roman"/>
      <w:sz w:val="20"/>
      <w:szCs w:val="20"/>
    </w:rPr>
  </w:style>
  <w:style w:type="paragraph" w:customStyle="1" w:styleId="Style211">
    <w:name w:val="Style211"/>
    <w:basedOn w:val="Normal"/>
    <w:rsid w:val="005E7B47"/>
    <w:rPr>
      <w:rFonts w:eastAsia="Times New Roman"/>
      <w:sz w:val="20"/>
      <w:szCs w:val="20"/>
    </w:rPr>
  </w:style>
  <w:style w:type="paragraph" w:customStyle="1" w:styleId="Style44">
    <w:name w:val="Style44"/>
    <w:basedOn w:val="Normal"/>
    <w:rsid w:val="005E7B47"/>
    <w:rPr>
      <w:rFonts w:eastAsia="Times New Roman"/>
      <w:sz w:val="20"/>
      <w:szCs w:val="20"/>
    </w:rPr>
  </w:style>
  <w:style w:type="paragraph" w:customStyle="1" w:styleId="Style46">
    <w:name w:val="Style46"/>
    <w:basedOn w:val="Normal"/>
    <w:rsid w:val="005E7B47"/>
    <w:rPr>
      <w:rFonts w:eastAsia="Times New Roman"/>
      <w:sz w:val="20"/>
      <w:szCs w:val="20"/>
    </w:rPr>
  </w:style>
  <w:style w:type="paragraph" w:customStyle="1" w:styleId="Style51">
    <w:name w:val="Style51"/>
    <w:basedOn w:val="Normal"/>
    <w:rsid w:val="005E7B47"/>
    <w:rPr>
      <w:rFonts w:eastAsia="Times New Roman"/>
      <w:sz w:val="20"/>
      <w:szCs w:val="20"/>
    </w:rPr>
  </w:style>
  <w:style w:type="paragraph" w:customStyle="1" w:styleId="Style49">
    <w:name w:val="Style49"/>
    <w:basedOn w:val="Normal"/>
    <w:rsid w:val="005E7B47"/>
    <w:rPr>
      <w:rFonts w:eastAsia="Times New Roman"/>
      <w:sz w:val="20"/>
      <w:szCs w:val="20"/>
    </w:rPr>
  </w:style>
  <w:style w:type="paragraph" w:customStyle="1" w:styleId="Style50">
    <w:name w:val="Style50"/>
    <w:basedOn w:val="Normal"/>
    <w:rsid w:val="005E7B47"/>
    <w:rPr>
      <w:rFonts w:eastAsia="Times New Roman"/>
      <w:sz w:val="20"/>
      <w:szCs w:val="20"/>
    </w:rPr>
  </w:style>
  <w:style w:type="paragraph" w:customStyle="1" w:styleId="Style52">
    <w:name w:val="Style52"/>
    <w:basedOn w:val="Normal"/>
    <w:rsid w:val="005E7B47"/>
    <w:rPr>
      <w:rFonts w:eastAsia="Times New Roman"/>
      <w:sz w:val="20"/>
      <w:szCs w:val="20"/>
    </w:rPr>
  </w:style>
  <w:style w:type="paragraph" w:customStyle="1" w:styleId="Style54">
    <w:name w:val="Style54"/>
    <w:basedOn w:val="Normal"/>
    <w:rsid w:val="005E7B47"/>
    <w:rPr>
      <w:rFonts w:eastAsia="Times New Roman"/>
      <w:sz w:val="20"/>
      <w:szCs w:val="20"/>
    </w:rPr>
  </w:style>
  <w:style w:type="paragraph" w:customStyle="1" w:styleId="Style77">
    <w:name w:val="Style77"/>
    <w:basedOn w:val="Normal"/>
    <w:rsid w:val="005E7B47"/>
    <w:rPr>
      <w:rFonts w:eastAsia="Times New Roman"/>
      <w:sz w:val="20"/>
      <w:szCs w:val="20"/>
    </w:rPr>
  </w:style>
  <w:style w:type="paragraph" w:customStyle="1" w:styleId="Style61">
    <w:name w:val="Style61"/>
    <w:basedOn w:val="Normal"/>
    <w:rsid w:val="005E7B47"/>
    <w:rPr>
      <w:rFonts w:eastAsia="Times New Roman"/>
      <w:sz w:val="20"/>
      <w:szCs w:val="20"/>
    </w:rPr>
  </w:style>
  <w:style w:type="paragraph" w:customStyle="1" w:styleId="Style64">
    <w:name w:val="Style64"/>
    <w:basedOn w:val="Normal"/>
    <w:rsid w:val="005E7B47"/>
    <w:rPr>
      <w:rFonts w:eastAsia="Times New Roman"/>
      <w:sz w:val="20"/>
      <w:szCs w:val="20"/>
    </w:rPr>
  </w:style>
  <w:style w:type="paragraph" w:customStyle="1" w:styleId="Style185">
    <w:name w:val="Style185"/>
    <w:basedOn w:val="Normal"/>
    <w:rsid w:val="005E7B47"/>
    <w:rPr>
      <w:rFonts w:eastAsia="Times New Roman"/>
      <w:sz w:val="20"/>
      <w:szCs w:val="20"/>
    </w:rPr>
  </w:style>
  <w:style w:type="paragraph" w:customStyle="1" w:styleId="Style84">
    <w:name w:val="Style84"/>
    <w:basedOn w:val="Normal"/>
    <w:rsid w:val="005E7B47"/>
    <w:rPr>
      <w:rFonts w:eastAsia="Times New Roman"/>
      <w:sz w:val="20"/>
      <w:szCs w:val="20"/>
    </w:rPr>
  </w:style>
  <w:style w:type="paragraph" w:customStyle="1" w:styleId="Style88">
    <w:name w:val="Style88"/>
    <w:basedOn w:val="Normal"/>
    <w:rsid w:val="005E7B47"/>
    <w:rPr>
      <w:rFonts w:eastAsia="Times New Roman"/>
      <w:sz w:val="20"/>
      <w:szCs w:val="20"/>
    </w:rPr>
  </w:style>
  <w:style w:type="paragraph" w:customStyle="1" w:styleId="Style122">
    <w:name w:val="Style122"/>
    <w:basedOn w:val="Normal"/>
    <w:rsid w:val="005E7B47"/>
    <w:rPr>
      <w:rFonts w:eastAsia="Times New Roman"/>
      <w:sz w:val="20"/>
      <w:szCs w:val="20"/>
    </w:rPr>
  </w:style>
  <w:style w:type="paragraph" w:customStyle="1" w:styleId="Style128">
    <w:name w:val="Style128"/>
    <w:basedOn w:val="Normal"/>
    <w:rsid w:val="005E7B47"/>
    <w:rPr>
      <w:rFonts w:eastAsia="Times New Roman"/>
      <w:sz w:val="20"/>
      <w:szCs w:val="20"/>
    </w:rPr>
  </w:style>
  <w:style w:type="paragraph" w:customStyle="1" w:styleId="Style277">
    <w:name w:val="Style277"/>
    <w:basedOn w:val="Normal"/>
    <w:rsid w:val="005E7B47"/>
    <w:rPr>
      <w:rFonts w:eastAsia="Times New Roman"/>
      <w:sz w:val="20"/>
      <w:szCs w:val="20"/>
    </w:rPr>
  </w:style>
  <w:style w:type="character" w:customStyle="1" w:styleId="CharStyle6">
    <w:name w:val="CharStyle6"/>
    <w:basedOn w:val="DefaultParagraphFont"/>
    <w:rsid w:val="005E7B47"/>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5E7B47"/>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5E7B47"/>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5E7B47"/>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5E7B47"/>
    <w:rPr>
      <w:rFonts w:ascii="Times New Roman" w:eastAsia="Times New Roman" w:hAnsi="Times New Roman" w:cs="Times New Roman"/>
      <w:b/>
      <w:bCs/>
      <w:i/>
      <w:iCs/>
      <w:smallCaps w:val="0"/>
      <w:sz w:val="14"/>
      <w:szCs w:val="14"/>
    </w:rPr>
  </w:style>
  <w:style w:type="paragraph" w:customStyle="1" w:styleId="note">
    <w:name w:val="note"/>
    <w:basedOn w:val="hanging"/>
    <w:qFormat/>
    <w:rsid w:val="005E7B47"/>
    <w:pPr>
      <w:ind w:left="216" w:hanging="216"/>
    </w:pPr>
    <w:rPr>
      <w:sz w:val="20"/>
    </w:rPr>
  </w:style>
  <w:style w:type="paragraph" w:styleId="Title">
    <w:name w:val="Title"/>
    <w:basedOn w:val="Normal"/>
    <w:next w:val="Normal"/>
    <w:link w:val="TitleChar"/>
    <w:uiPriority w:val="10"/>
    <w:qFormat/>
    <w:rsid w:val="005E7B47"/>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5E7B47"/>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5E7B47"/>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5E7B47"/>
    <w:rPr>
      <w:rFonts w:ascii="Times New Roman" w:eastAsiaTheme="majorEastAsia" w:hAnsi="Times New Roman" w:cs="Times New Roman"/>
      <w:b/>
      <w:sz w:val="28"/>
      <w:szCs w:val="24"/>
    </w:rPr>
  </w:style>
  <w:style w:type="paragraph" w:customStyle="1" w:styleId="nonindent">
    <w:name w:val="nonindent"/>
    <w:basedOn w:val="Normal"/>
    <w:qFormat/>
    <w:rsid w:val="005E7B47"/>
    <w:pPr>
      <w:ind w:firstLine="0"/>
    </w:pPr>
  </w:style>
  <w:style w:type="paragraph" w:customStyle="1" w:styleId="intro">
    <w:name w:val="intro"/>
    <w:basedOn w:val="Normal"/>
    <w:qFormat/>
    <w:rsid w:val="005E7B47"/>
    <w:pPr>
      <w:spacing w:before="120" w:after="60"/>
      <w:ind w:firstLine="0"/>
      <w:jc w:val="center"/>
    </w:pPr>
    <w:rPr>
      <w:b/>
      <w:sz w:val="26"/>
    </w:rPr>
  </w:style>
  <w:style w:type="paragraph" w:customStyle="1" w:styleId="introright">
    <w:name w:val="intro_right"/>
    <w:basedOn w:val="Normal"/>
    <w:qFormat/>
    <w:rsid w:val="005E7B47"/>
    <w:pPr>
      <w:spacing w:after="60"/>
      <w:ind w:firstLine="0"/>
      <w:jc w:val="right"/>
    </w:pPr>
    <w:rPr>
      <w:i/>
      <w:sz w:val="26"/>
    </w:rPr>
  </w:style>
  <w:style w:type="paragraph" w:customStyle="1" w:styleId="intro1">
    <w:name w:val="intro1"/>
    <w:basedOn w:val="Normal"/>
    <w:qFormat/>
    <w:rsid w:val="005E7B47"/>
    <w:pPr>
      <w:spacing w:after="60"/>
    </w:pPr>
    <w:rPr>
      <w:sz w:val="24"/>
    </w:rPr>
  </w:style>
  <w:style w:type="paragraph" w:customStyle="1" w:styleId="heading">
    <w:name w:val="heading"/>
    <w:basedOn w:val="Normal"/>
    <w:qFormat/>
    <w:rsid w:val="005E7B47"/>
    <w:pPr>
      <w:spacing w:before="120" w:after="60"/>
      <w:ind w:firstLine="0"/>
      <w:jc w:val="left"/>
    </w:pPr>
    <w:rPr>
      <w:b/>
      <w:sz w:val="20"/>
    </w:rPr>
  </w:style>
  <w:style w:type="paragraph" w:customStyle="1" w:styleId="hanging">
    <w:name w:val="hanging"/>
    <w:basedOn w:val="Normal"/>
    <w:qFormat/>
    <w:rsid w:val="005E7B47"/>
    <w:pPr>
      <w:ind w:left="864" w:hanging="432"/>
    </w:pPr>
  </w:style>
  <w:style w:type="paragraph" w:customStyle="1" w:styleId="list2">
    <w:name w:val="list2"/>
    <w:basedOn w:val="hanging"/>
    <w:qFormat/>
    <w:rsid w:val="005E7B47"/>
    <w:pPr>
      <w:ind w:left="1339" w:hanging="331"/>
    </w:pPr>
  </w:style>
  <w:style w:type="paragraph" w:customStyle="1" w:styleId="list1">
    <w:name w:val="list1"/>
    <w:basedOn w:val="Normal"/>
    <w:qFormat/>
    <w:rsid w:val="005E7B47"/>
    <w:pPr>
      <w:ind w:left="576" w:hanging="288"/>
    </w:pPr>
  </w:style>
  <w:style w:type="paragraph" w:styleId="Header">
    <w:name w:val="header"/>
    <w:basedOn w:val="Normal"/>
    <w:link w:val="HeaderChar"/>
    <w:uiPriority w:val="99"/>
    <w:unhideWhenUsed/>
    <w:rsid w:val="005E7B47"/>
    <w:pPr>
      <w:tabs>
        <w:tab w:val="center" w:pos="4680"/>
        <w:tab w:val="right" w:pos="9360"/>
      </w:tabs>
    </w:pPr>
  </w:style>
  <w:style w:type="character" w:customStyle="1" w:styleId="HeaderChar">
    <w:name w:val="Header Char"/>
    <w:basedOn w:val="DefaultParagraphFont"/>
    <w:link w:val="Header"/>
    <w:uiPriority w:val="99"/>
    <w:rsid w:val="005E7B47"/>
    <w:rPr>
      <w:rFonts w:ascii="Times New Roman" w:hAnsi="Times New Roman" w:cs="Times New Roman"/>
      <w:szCs w:val="24"/>
    </w:rPr>
  </w:style>
  <w:style w:type="paragraph" w:styleId="Footer">
    <w:name w:val="footer"/>
    <w:basedOn w:val="Normal"/>
    <w:link w:val="FooterChar"/>
    <w:uiPriority w:val="99"/>
    <w:unhideWhenUsed/>
    <w:rsid w:val="005E7B47"/>
    <w:pPr>
      <w:tabs>
        <w:tab w:val="center" w:pos="4680"/>
        <w:tab w:val="right" w:pos="9360"/>
      </w:tabs>
    </w:pPr>
  </w:style>
  <w:style w:type="character" w:customStyle="1" w:styleId="FooterChar">
    <w:name w:val="Footer Char"/>
    <w:basedOn w:val="DefaultParagraphFont"/>
    <w:link w:val="Footer"/>
    <w:uiPriority w:val="99"/>
    <w:rsid w:val="005E7B47"/>
    <w:rPr>
      <w:rFonts w:ascii="Times New Roman" w:hAnsi="Times New Roman" w:cs="Times New Roman"/>
      <w:szCs w:val="24"/>
    </w:rPr>
  </w:style>
  <w:style w:type="paragraph" w:customStyle="1" w:styleId="indent1">
    <w:name w:val="indent1"/>
    <w:basedOn w:val="Normal"/>
    <w:qFormat/>
    <w:rsid w:val="005E7B47"/>
    <w:pPr>
      <w:ind w:left="576"/>
    </w:pPr>
  </w:style>
  <w:style w:type="paragraph" w:customStyle="1" w:styleId="List3">
    <w:name w:val="List3"/>
    <w:basedOn w:val="list2"/>
    <w:qFormat/>
    <w:rsid w:val="005E7B47"/>
    <w:pPr>
      <w:ind w:left="1915"/>
    </w:pPr>
  </w:style>
  <w:style w:type="paragraph" w:customStyle="1" w:styleId="hanging1">
    <w:name w:val="hanging1"/>
    <w:basedOn w:val="hanging"/>
    <w:qFormat/>
    <w:rsid w:val="005E7B47"/>
    <w:pPr>
      <w:ind w:left="1224"/>
    </w:pPr>
  </w:style>
  <w:style w:type="paragraph" w:customStyle="1" w:styleId="Style2">
    <w:name w:val="Style2"/>
    <w:basedOn w:val="Normal"/>
    <w:uiPriority w:val="99"/>
    <w:rsid w:val="005E7B47"/>
    <w:pPr>
      <w:spacing w:before="0"/>
      <w:ind w:firstLine="0"/>
      <w:jc w:val="left"/>
    </w:pPr>
    <w:rPr>
      <w:sz w:val="24"/>
    </w:rPr>
  </w:style>
  <w:style w:type="paragraph" w:customStyle="1" w:styleId="Style3">
    <w:name w:val="Style3"/>
    <w:basedOn w:val="Normal"/>
    <w:uiPriority w:val="99"/>
    <w:rsid w:val="005E7B47"/>
    <w:pPr>
      <w:spacing w:before="0"/>
      <w:ind w:firstLine="0"/>
      <w:jc w:val="left"/>
    </w:pPr>
    <w:rPr>
      <w:sz w:val="24"/>
    </w:rPr>
  </w:style>
  <w:style w:type="character" w:customStyle="1" w:styleId="FontStyle11">
    <w:name w:val="Font Style11"/>
    <w:basedOn w:val="DefaultParagraphFont"/>
    <w:uiPriority w:val="99"/>
    <w:rsid w:val="005E7B47"/>
    <w:rPr>
      <w:rFonts w:ascii="Times New Roman" w:hAnsi="Times New Roman" w:cs="Times New Roman"/>
      <w:b/>
      <w:bCs/>
      <w:sz w:val="14"/>
      <w:szCs w:val="14"/>
    </w:rPr>
  </w:style>
  <w:style w:type="character" w:customStyle="1" w:styleId="FontStyle12">
    <w:name w:val="Font Style12"/>
    <w:basedOn w:val="DefaultParagraphFont"/>
    <w:uiPriority w:val="99"/>
    <w:rsid w:val="005E7B47"/>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A709A6"/>
    <w:rPr>
      <w:sz w:val="16"/>
      <w:szCs w:val="16"/>
    </w:rPr>
  </w:style>
  <w:style w:type="paragraph" w:styleId="CommentText">
    <w:name w:val="annotation text"/>
    <w:basedOn w:val="Normal"/>
    <w:link w:val="CommentTextChar"/>
    <w:uiPriority w:val="99"/>
    <w:semiHidden/>
    <w:unhideWhenUsed/>
    <w:rsid w:val="00A709A6"/>
    <w:rPr>
      <w:sz w:val="20"/>
      <w:szCs w:val="20"/>
    </w:rPr>
  </w:style>
  <w:style w:type="character" w:customStyle="1" w:styleId="CommentTextChar">
    <w:name w:val="Comment Text Char"/>
    <w:basedOn w:val="DefaultParagraphFont"/>
    <w:link w:val="CommentText"/>
    <w:uiPriority w:val="99"/>
    <w:semiHidden/>
    <w:rsid w:val="00A709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9A6"/>
    <w:rPr>
      <w:b/>
      <w:bCs/>
    </w:rPr>
  </w:style>
  <w:style w:type="character" w:customStyle="1" w:styleId="CommentSubjectChar">
    <w:name w:val="Comment Subject Char"/>
    <w:basedOn w:val="CommentTextChar"/>
    <w:link w:val="CommentSubject"/>
    <w:uiPriority w:val="99"/>
    <w:semiHidden/>
    <w:rsid w:val="00A709A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709A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A6"/>
    <w:rPr>
      <w:rFonts w:ascii="Segoe UI" w:hAnsi="Segoe UI" w:cs="Segoe UI"/>
      <w:sz w:val="18"/>
      <w:szCs w:val="18"/>
    </w:rPr>
  </w:style>
  <w:style w:type="paragraph" w:styleId="Revision">
    <w:name w:val="Revision"/>
    <w:hidden/>
    <w:uiPriority w:val="99"/>
    <w:semiHidden/>
    <w:rsid w:val="00C24C05"/>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28698">
      <w:bodyDiv w:val="1"/>
      <w:marLeft w:val="0"/>
      <w:marRight w:val="0"/>
      <w:marTop w:val="0"/>
      <w:marBottom w:val="0"/>
      <w:divBdr>
        <w:top w:val="none" w:sz="0" w:space="0" w:color="auto"/>
        <w:left w:val="none" w:sz="0" w:space="0" w:color="auto"/>
        <w:bottom w:val="none" w:sz="0" w:space="0" w:color="auto"/>
        <w:right w:val="none" w:sz="0" w:space="0" w:color="auto"/>
      </w:divBdr>
    </w:div>
    <w:div w:id="736634625">
      <w:bodyDiv w:val="1"/>
      <w:marLeft w:val="0"/>
      <w:marRight w:val="0"/>
      <w:marTop w:val="0"/>
      <w:marBottom w:val="0"/>
      <w:divBdr>
        <w:top w:val="none" w:sz="0" w:space="0" w:color="auto"/>
        <w:left w:val="none" w:sz="0" w:space="0" w:color="auto"/>
        <w:bottom w:val="none" w:sz="0" w:space="0" w:color="auto"/>
        <w:right w:val="none" w:sz="0" w:space="0" w:color="auto"/>
      </w:divBdr>
    </w:div>
    <w:div w:id="194106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B9956-EA6D-41AA-991F-013D1783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4</TotalTime>
  <Pages>3</Pages>
  <Words>728</Words>
  <Characters>3568</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9</cp:revision>
  <dcterms:created xsi:type="dcterms:W3CDTF">2019-01-05T06:09:00Z</dcterms:created>
  <dcterms:modified xsi:type="dcterms:W3CDTF">2019-09-17T05:40:00Z</dcterms:modified>
</cp:coreProperties>
</file>