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FC" w:rsidRDefault="00925E23">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2647CE" w:rsidRDefault="002647CE" w:rsidP="002647CE"/>
    <w:p w:rsidR="002647CE" w:rsidRDefault="002647CE" w:rsidP="002647CE">
      <w:pPr>
        <w:spacing w:line="240" w:lineRule="auto"/>
      </w:pPr>
    </w:p>
    <w:p w:rsidR="002647CE" w:rsidRDefault="002647CE" w:rsidP="002647CE"/>
    <w:p w:rsidR="002647CE" w:rsidRDefault="002647CE" w:rsidP="002647CE"/>
    <w:p w:rsidR="002647CE" w:rsidRDefault="002647CE" w:rsidP="002647CE"/>
    <w:p w:rsidR="002647CE" w:rsidRDefault="002647CE" w:rsidP="002647CE"/>
    <w:p w:rsidR="005B25FC" w:rsidRDefault="008E37D2" w:rsidP="002647CE">
      <w:pPr>
        <w:pStyle w:val="ShortT"/>
        <w:spacing w:before="120"/>
      </w:pPr>
      <w:r>
        <w:t>Remuneration and Allowances Alteration Act 1986</w:t>
      </w:r>
    </w:p>
    <w:p w:rsidR="002647CE" w:rsidRPr="002647CE" w:rsidRDefault="002647CE" w:rsidP="002647CE"/>
    <w:p w:rsidR="005B25FC" w:rsidRPr="002647CE" w:rsidRDefault="008E37D2" w:rsidP="002647CE">
      <w:pPr>
        <w:pStyle w:val="Actno"/>
        <w:spacing w:before="400"/>
        <w:rPr>
          <w:color w:val="000000"/>
          <w:sz w:val="32"/>
          <w:szCs w:val="32"/>
        </w:rPr>
      </w:pPr>
      <w:r w:rsidRPr="002647CE">
        <w:rPr>
          <w:sz w:val="32"/>
          <w:szCs w:val="32"/>
        </w:rPr>
        <w:t>No. 105</w:t>
      </w:r>
      <w:r w:rsidRPr="002647CE">
        <w:rPr>
          <w:color w:val="000000"/>
          <w:sz w:val="32"/>
          <w:szCs w:val="32"/>
        </w:rPr>
        <w:t xml:space="preserve"> of 1986</w:t>
      </w:r>
    </w:p>
    <w:p w:rsidR="002647CE" w:rsidRPr="00E2740B" w:rsidRDefault="002647CE" w:rsidP="002647CE"/>
    <w:p w:rsidR="002647CE" w:rsidRDefault="002647CE" w:rsidP="002647CE"/>
    <w:p w:rsidR="002647CE" w:rsidRDefault="002647CE" w:rsidP="002647CE"/>
    <w:p w:rsidR="002647CE" w:rsidRDefault="002647CE" w:rsidP="002647CE"/>
    <w:p w:rsidR="002647CE" w:rsidRDefault="002647CE" w:rsidP="002647CE"/>
    <w:p w:rsidR="002647CE" w:rsidRDefault="002647CE" w:rsidP="002647CE">
      <w:pPr>
        <w:pStyle w:val="LongT"/>
        <w:rPr>
          <w:i/>
          <w:iCs/>
        </w:rPr>
      </w:pPr>
      <w:r>
        <w:t>An Act relating to certain remuneration and allowances</w:t>
      </w:r>
    </w:p>
    <w:p w:rsidR="005B25FC" w:rsidRDefault="008E37D2">
      <w:pPr>
        <w:pStyle w:val="Header"/>
      </w:pPr>
      <w:r>
        <w:rPr>
          <w:rStyle w:val="CharChapNo"/>
        </w:rPr>
        <w:t xml:space="preserve"> </w:t>
      </w:r>
      <w:r>
        <w:rPr>
          <w:rStyle w:val="CharChapText"/>
        </w:rPr>
        <w:t xml:space="preserve"> </w:t>
      </w:r>
    </w:p>
    <w:p w:rsidR="005B25FC" w:rsidRDefault="008E37D2">
      <w:pPr>
        <w:pStyle w:val="Header"/>
      </w:pPr>
      <w:r>
        <w:rPr>
          <w:rStyle w:val="CharPartNo"/>
        </w:rPr>
        <w:t xml:space="preserve"> </w:t>
      </w:r>
      <w:r>
        <w:rPr>
          <w:rStyle w:val="CharPartText"/>
        </w:rPr>
        <w:t xml:space="preserve"> </w:t>
      </w:r>
    </w:p>
    <w:p w:rsidR="005B25FC" w:rsidRDefault="008E37D2">
      <w:pPr>
        <w:pStyle w:val="Header"/>
      </w:pPr>
      <w:r>
        <w:rPr>
          <w:rStyle w:val="CharDivNo"/>
        </w:rPr>
        <w:t xml:space="preserve"> </w:t>
      </w:r>
      <w:r>
        <w:rPr>
          <w:rStyle w:val="CharDivText"/>
        </w:rPr>
        <w:t xml:space="preserve"> </w:t>
      </w:r>
    </w:p>
    <w:p w:rsidR="005B25FC" w:rsidRDefault="005B25FC">
      <w:pPr>
        <w:sectPr w:rsidR="005B25FC">
          <w:headerReference w:type="even" r:id="rId10"/>
          <w:headerReference w:type="default" r:id="rId11"/>
          <w:footerReference w:type="even" r:id="rId12"/>
          <w:footerReference w:type="default" r:id="rId13"/>
          <w:pgSz w:w="11906" w:h="16838" w:code="9"/>
          <w:pgMar w:top="2268" w:right="2410" w:bottom="3827" w:left="2410" w:header="567" w:footer="3119" w:gutter="0"/>
          <w:pgNumType w:fmt="lowerRoman"/>
          <w:cols w:space="708"/>
          <w:titlePg/>
          <w:docGrid w:linePitch="360"/>
        </w:sectPr>
      </w:pPr>
    </w:p>
    <w:p w:rsidR="005B25FC" w:rsidRDefault="008E37D2">
      <w:pPr>
        <w:pStyle w:val="Contents"/>
      </w:pPr>
      <w:r>
        <w:lastRenderedPageBreak/>
        <w:t>Contents</w:t>
      </w:r>
    </w:p>
    <w:p w:rsidR="008E37D2" w:rsidRDefault="008E37D2">
      <w:pPr>
        <w:pStyle w:val="TOC2"/>
        <w:rPr>
          <w:rFonts w:asciiTheme="minorHAnsi" w:hAnsiTheme="minorHAnsi" w:cstheme="minorBidi"/>
          <w:b w:val="0"/>
          <w:bCs w:val="0"/>
          <w:noProof/>
          <w:kern w:val="0"/>
          <w:sz w:val="22"/>
          <w:szCs w:val="22"/>
        </w:rPr>
      </w:pPr>
      <w:r>
        <w:rPr>
          <w:b w:val="0"/>
          <w:bCs w:val="0"/>
        </w:rPr>
        <w:fldChar w:fldCharType="begin"/>
      </w:r>
      <w:r>
        <w:rPr>
          <w:b w:val="0"/>
          <w:bCs w:val="0"/>
        </w:rPr>
        <w:instrText xml:space="preserve"> TOC \o "1-4" \h \z \u \t "Heading 5,5" </w:instrText>
      </w:r>
      <w:r>
        <w:rPr>
          <w:b w:val="0"/>
          <w:bCs w:val="0"/>
        </w:rPr>
        <w:fldChar w:fldCharType="separate"/>
      </w:r>
      <w:hyperlink w:anchor="_Toc426027970" w:history="1">
        <w:r w:rsidRPr="00E06B76">
          <w:rPr>
            <w:rStyle w:val="Hyperlink"/>
            <w:noProof/>
          </w:rPr>
          <w:t>Part I—Preliminary</w:t>
        </w:r>
        <w:r>
          <w:rPr>
            <w:noProof/>
            <w:webHidden/>
          </w:rPr>
          <w:tab/>
        </w:r>
        <w:r>
          <w:rPr>
            <w:noProof/>
            <w:webHidden/>
          </w:rPr>
          <w:fldChar w:fldCharType="begin"/>
        </w:r>
        <w:r>
          <w:rPr>
            <w:noProof/>
            <w:webHidden/>
          </w:rPr>
          <w:instrText xml:space="preserve"> PAGEREF _Toc426027970 \h </w:instrText>
        </w:r>
        <w:r>
          <w:rPr>
            <w:noProof/>
            <w:webHidden/>
          </w:rPr>
        </w:r>
        <w:r>
          <w:rPr>
            <w:noProof/>
            <w:webHidden/>
          </w:rPr>
          <w:fldChar w:fldCharType="separate"/>
        </w:r>
        <w:r>
          <w:rPr>
            <w:noProof/>
            <w:webHidden/>
          </w:rPr>
          <w:t>2</w:t>
        </w:r>
        <w:r>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71" w:history="1">
        <w:r w:rsidR="008E37D2" w:rsidRPr="00E06B76">
          <w:rPr>
            <w:rStyle w:val="Hyperlink"/>
            <w:noProof/>
          </w:rPr>
          <w:t>1  Short title</w:t>
        </w:r>
        <w:r w:rsidR="008E37D2">
          <w:rPr>
            <w:noProof/>
            <w:webHidden/>
          </w:rPr>
          <w:tab/>
        </w:r>
        <w:r w:rsidR="008E37D2">
          <w:rPr>
            <w:noProof/>
            <w:webHidden/>
          </w:rPr>
          <w:fldChar w:fldCharType="begin"/>
        </w:r>
        <w:r w:rsidR="008E37D2">
          <w:rPr>
            <w:noProof/>
            <w:webHidden/>
          </w:rPr>
          <w:instrText xml:space="preserve"> PAGEREF _Toc426027971 \h </w:instrText>
        </w:r>
        <w:r w:rsidR="008E37D2">
          <w:rPr>
            <w:noProof/>
            <w:webHidden/>
          </w:rPr>
        </w:r>
        <w:r w:rsidR="008E37D2">
          <w:rPr>
            <w:noProof/>
            <w:webHidden/>
          </w:rPr>
          <w:fldChar w:fldCharType="separate"/>
        </w:r>
        <w:r w:rsidR="008E37D2">
          <w:rPr>
            <w:noProof/>
            <w:webHidden/>
          </w:rPr>
          <w:t>2</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72" w:history="1">
        <w:r w:rsidR="008E37D2" w:rsidRPr="00E06B76">
          <w:rPr>
            <w:rStyle w:val="Hyperlink"/>
            <w:noProof/>
          </w:rPr>
          <w:t>2  Commencement</w:t>
        </w:r>
        <w:r w:rsidR="008E37D2">
          <w:rPr>
            <w:noProof/>
            <w:webHidden/>
          </w:rPr>
          <w:tab/>
        </w:r>
        <w:r w:rsidR="008E37D2">
          <w:rPr>
            <w:noProof/>
            <w:webHidden/>
          </w:rPr>
          <w:fldChar w:fldCharType="begin"/>
        </w:r>
        <w:r w:rsidR="008E37D2">
          <w:rPr>
            <w:noProof/>
            <w:webHidden/>
          </w:rPr>
          <w:instrText xml:space="preserve"> PAGEREF _Toc426027972 \h </w:instrText>
        </w:r>
        <w:r w:rsidR="008E37D2">
          <w:rPr>
            <w:noProof/>
            <w:webHidden/>
          </w:rPr>
        </w:r>
        <w:r w:rsidR="008E37D2">
          <w:rPr>
            <w:noProof/>
            <w:webHidden/>
          </w:rPr>
          <w:fldChar w:fldCharType="separate"/>
        </w:r>
        <w:r w:rsidR="008E37D2">
          <w:rPr>
            <w:noProof/>
            <w:webHidden/>
          </w:rPr>
          <w:t>2</w:t>
        </w:r>
        <w:r w:rsidR="008E37D2">
          <w:rPr>
            <w:noProof/>
            <w:webHidden/>
          </w:rPr>
          <w:fldChar w:fldCharType="end"/>
        </w:r>
      </w:hyperlink>
    </w:p>
    <w:p w:rsidR="008E37D2" w:rsidRDefault="00FB66A7">
      <w:pPr>
        <w:pStyle w:val="TOC2"/>
        <w:rPr>
          <w:rFonts w:asciiTheme="minorHAnsi" w:hAnsiTheme="minorHAnsi" w:cstheme="minorBidi"/>
          <w:b w:val="0"/>
          <w:bCs w:val="0"/>
          <w:noProof/>
          <w:kern w:val="0"/>
          <w:sz w:val="22"/>
          <w:szCs w:val="22"/>
        </w:rPr>
      </w:pPr>
      <w:hyperlink w:anchor="_Toc426027973" w:history="1">
        <w:r w:rsidR="008E37D2" w:rsidRPr="00E06B76">
          <w:rPr>
            <w:rStyle w:val="Hyperlink"/>
            <w:noProof/>
          </w:rPr>
          <w:t>Part II—Modifications of determinations of the Remuneration Tribunal</w:t>
        </w:r>
        <w:r w:rsidR="008E37D2">
          <w:rPr>
            <w:noProof/>
            <w:webHidden/>
          </w:rPr>
          <w:tab/>
        </w:r>
        <w:r w:rsidR="008E37D2">
          <w:rPr>
            <w:noProof/>
            <w:webHidden/>
          </w:rPr>
          <w:fldChar w:fldCharType="begin"/>
        </w:r>
        <w:r w:rsidR="008E37D2">
          <w:rPr>
            <w:noProof/>
            <w:webHidden/>
          </w:rPr>
          <w:instrText xml:space="preserve"> PAGEREF _Toc426027973 \h </w:instrText>
        </w:r>
        <w:r w:rsidR="008E37D2">
          <w:rPr>
            <w:noProof/>
            <w:webHidden/>
          </w:rPr>
        </w:r>
        <w:r w:rsidR="008E37D2">
          <w:rPr>
            <w:noProof/>
            <w:webHidden/>
          </w:rPr>
          <w:fldChar w:fldCharType="separate"/>
        </w:r>
        <w:r w:rsidR="008E37D2">
          <w:rPr>
            <w:noProof/>
            <w:webHidden/>
          </w:rPr>
          <w:t>3</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74" w:history="1">
        <w:r w:rsidR="008E37D2" w:rsidRPr="00E06B76">
          <w:rPr>
            <w:rStyle w:val="Hyperlink"/>
            <w:noProof/>
          </w:rPr>
          <w:t>3  Allowances to be paid to office holders of the Parliament</w:t>
        </w:r>
        <w:r w:rsidR="008E37D2">
          <w:rPr>
            <w:noProof/>
            <w:webHidden/>
          </w:rPr>
          <w:tab/>
        </w:r>
        <w:r w:rsidR="008E37D2">
          <w:rPr>
            <w:noProof/>
            <w:webHidden/>
          </w:rPr>
          <w:fldChar w:fldCharType="begin"/>
        </w:r>
        <w:r w:rsidR="008E37D2">
          <w:rPr>
            <w:noProof/>
            <w:webHidden/>
          </w:rPr>
          <w:instrText xml:space="preserve"> PAGEREF _Toc426027974 \h </w:instrText>
        </w:r>
        <w:r w:rsidR="008E37D2">
          <w:rPr>
            <w:noProof/>
            <w:webHidden/>
          </w:rPr>
        </w:r>
        <w:r w:rsidR="008E37D2">
          <w:rPr>
            <w:noProof/>
            <w:webHidden/>
          </w:rPr>
          <w:fldChar w:fldCharType="separate"/>
        </w:r>
        <w:r w:rsidR="008E37D2">
          <w:rPr>
            <w:noProof/>
            <w:webHidden/>
          </w:rPr>
          <w:t>3</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75" w:history="1">
        <w:r w:rsidR="008E37D2" w:rsidRPr="00E06B76">
          <w:rPr>
            <w:rStyle w:val="Hyperlink"/>
            <w:noProof/>
          </w:rPr>
          <w:t>4  Allowances to be paid to members of the Parliament</w:t>
        </w:r>
        <w:r w:rsidR="008E37D2">
          <w:rPr>
            <w:noProof/>
            <w:webHidden/>
          </w:rPr>
          <w:tab/>
        </w:r>
        <w:r w:rsidR="008E37D2">
          <w:rPr>
            <w:noProof/>
            <w:webHidden/>
          </w:rPr>
          <w:fldChar w:fldCharType="begin"/>
        </w:r>
        <w:r w:rsidR="008E37D2">
          <w:rPr>
            <w:noProof/>
            <w:webHidden/>
          </w:rPr>
          <w:instrText xml:space="preserve"> PAGEREF _Toc426027975 \h </w:instrText>
        </w:r>
        <w:r w:rsidR="008E37D2">
          <w:rPr>
            <w:noProof/>
            <w:webHidden/>
          </w:rPr>
        </w:r>
        <w:r w:rsidR="008E37D2">
          <w:rPr>
            <w:noProof/>
            <w:webHidden/>
          </w:rPr>
          <w:fldChar w:fldCharType="separate"/>
        </w:r>
        <w:r w:rsidR="008E37D2">
          <w:rPr>
            <w:noProof/>
            <w:webHidden/>
          </w:rPr>
          <w:t>6</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76" w:history="1">
        <w:r w:rsidR="008E37D2" w:rsidRPr="00E06B76">
          <w:rPr>
            <w:rStyle w:val="Hyperlink"/>
            <w:noProof/>
          </w:rPr>
          <w:t>5  Entitlements of members of the Parliament</w:t>
        </w:r>
        <w:r w:rsidR="008E37D2">
          <w:rPr>
            <w:noProof/>
            <w:webHidden/>
          </w:rPr>
          <w:tab/>
        </w:r>
        <w:r w:rsidR="008E37D2">
          <w:rPr>
            <w:noProof/>
            <w:webHidden/>
          </w:rPr>
          <w:fldChar w:fldCharType="begin"/>
        </w:r>
        <w:r w:rsidR="008E37D2">
          <w:rPr>
            <w:noProof/>
            <w:webHidden/>
          </w:rPr>
          <w:instrText xml:space="preserve"> PAGEREF _Toc426027976 \h </w:instrText>
        </w:r>
        <w:r w:rsidR="008E37D2">
          <w:rPr>
            <w:noProof/>
            <w:webHidden/>
          </w:rPr>
        </w:r>
        <w:r w:rsidR="008E37D2">
          <w:rPr>
            <w:noProof/>
            <w:webHidden/>
          </w:rPr>
          <w:fldChar w:fldCharType="separate"/>
        </w:r>
        <w:r w:rsidR="008E37D2">
          <w:rPr>
            <w:noProof/>
            <w:webHidden/>
          </w:rPr>
          <w:t>6</w:t>
        </w:r>
        <w:r w:rsidR="008E37D2">
          <w:rPr>
            <w:noProof/>
            <w:webHidden/>
          </w:rPr>
          <w:fldChar w:fldCharType="end"/>
        </w:r>
      </w:hyperlink>
    </w:p>
    <w:p w:rsidR="008E37D2" w:rsidRDefault="00FB66A7">
      <w:pPr>
        <w:pStyle w:val="TOC2"/>
        <w:rPr>
          <w:rFonts w:asciiTheme="minorHAnsi" w:hAnsiTheme="minorHAnsi" w:cstheme="minorBidi"/>
          <w:b w:val="0"/>
          <w:bCs w:val="0"/>
          <w:noProof/>
          <w:kern w:val="0"/>
          <w:sz w:val="22"/>
          <w:szCs w:val="22"/>
        </w:rPr>
      </w:pPr>
      <w:hyperlink w:anchor="_Toc426027977" w:history="1">
        <w:r w:rsidR="008E37D2" w:rsidRPr="00E06B76">
          <w:rPr>
            <w:rStyle w:val="Hyperlink"/>
            <w:noProof/>
          </w:rPr>
          <w:t>Part III—Amendments of the Judicial and Statutory Officers (Remuneration and Allowances) Act 1984</w:t>
        </w:r>
        <w:r w:rsidR="008E37D2">
          <w:rPr>
            <w:noProof/>
            <w:webHidden/>
          </w:rPr>
          <w:tab/>
        </w:r>
        <w:r w:rsidR="008E37D2">
          <w:rPr>
            <w:noProof/>
            <w:webHidden/>
          </w:rPr>
          <w:fldChar w:fldCharType="begin"/>
        </w:r>
        <w:r w:rsidR="008E37D2">
          <w:rPr>
            <w:noProof/>
            <w:webHidden/>
          </w:rPr>
          <w:instrText xml:space="preserve"> PAGEREF _Toc426027977 \h </w:instrText>
        </w:r>
        <w:r w:rsidR="008E37D2">
          <w:rPr>
            <w:noProof/>
            <w:webHidden/>
          </w:rPr>
        </w:r>
        <w:r w:rsidR="008E37D2">
          <w:rPr>
            <w:noProof/>
            <w:webHidden/>
          </w:rPr>
          <w:fldChar w:fldCharType="separate"/>
        </w:r>
        <w:r w:rsidR="008E37D2">
          <w:rPr>
            <w:noProof/>
            <w:webHidden/>
          </w:rPr>
          <w:t>7</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78" w:history="1">
        <w:r w:rsidR="008E37D2" w:rsidRPr="00E06B76">
          <w:rPr>
            <w:rStyle w:val="Hyperlink"/>
            <w:noProof/>
          </w:rPr>
          <w:t>6  Principal Act</w:t>
        </w:r>
        <w:r w:rsidR="008E37D2">
          <w:rPr>
            <w:noProof/>
            <w:webHidden/>
          </w:rPr>
          <w:tab/>
        </w:r>
        <w:r w:rsidR="008E37D2">
          <w:rPr>
            <w:noProof/>
            <w:webHidden/>
          </w:rPr>
          <w:fldChar w:fldCharType="begin"/>
        </w:r>
        <w:r w:rsidR="008E37D2">
          <w:rPr>
            <w:noProof/>
            <w:webHidden/>
          </w:rPr>
          <w:instrText xml:space="preserve"> PAGEREF _Toc426027978 \h </w:instrText>
        </w:r>
        <w:r w:rsidR="008E37D2">
          <w:rPr>
            <w:noProof/>
            <w:webHidden/>
          </w:rPr>
        </w:r>
        <w:r w:rsidR="008E37D2">
          <w:rPr>
            <w:noProof/>
            <w:webHidden/>
          </w:rPr>
          <w:fldChar w:fldCharType="separate"/>
        </w:r>
        <w:r w:rsidR="008E37D2">
          <w:rPr>
            <w:noProof/>
            <w:webHidden/>
          </w:rPr>
          <w:t>7</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79" w:history="1">
        <w:r w:rsidR="008E37D2" w:rsidRPr="00E06B76">
          <w:rPr>
            <w:rStyle w:val="Hyperlink"/>
            <w:noProof/>
          </w:rPr>
          <w:t>7  Salaries and expenses of office allowances</w:t>
        </w:r>
        <w:r w:rsidR="008E37D2">
          <w:rPr>
            <w:noProof/>
            <w:webHidden/>
          </w:rPr>
          <w:tab/>
        </w:r>
        <w:r w:rsidR="008E37D2">
          <w:rPr>
            <w:noProof/>
            <w:webHidden/>
          </w:rPr>
          <w:fldChar w:fldCharType="begin"/>
        </w:r>
        <w:r w:rsidR="008E37D2">
          <w:rPr>
            <w:noProof/>
            <w:webHidden/>
          </w:rPr>
          <w:instrText xml:space="preserve"> PAGEREF _Toc426027979 \h </w:instrText>
        </w:r>
        <w:r w:rsidR="008E37D2">
          <w:rPr>
            <w:noProof/>
            <w:webHidden/>
          </w:rPr>
        </w:r>
        <w:r w:rsidR="008E37D2">
          <w:rPr>
            <w:noProof/>
            <w:webHidden/>
          </w:rPr>
          <w:fldChar w:fldCharType="separate"/>
        </w:r>
        <w:r w:rsidR="008E37D2">
          <w:rPr>
            <w:noProof/>
            <w:webHidden/>
          </w:rPr>
          <w:t>7</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80" w:history="1">
        <w:r w:rsidR="008E37D2" w:rsidRPr="00E06B76">
          <w:rPr>
            <w:rStyle w:val="Hyperlink"/>
            <w:noProof/>
          </w:rPr>
          <w:t>8  Travelling allowances payable to Justices of the High Court</w:t>
        </w:r>
        <w:r w:rsidR="008E37D2">
          <w:rPr>
            <w:noProof/>
            <w:webHidden/>
          </w:rPr>
          <w:tab/>
        </w:r>
        <w:r w:rsidR="008E37D2">
          <w:rPr>
            <w:noProof/>
            <w:webHidden/>
          </w:rPr>
          <w:fldChar w:fldCharType="begin"/>
        </w:r>
        <w:r w:rsidR="008E37D2">
          <w:rPr>
            <w:noProof/>
            <w:webHidden/>
          </w:rPr>
          <w:instrText xml:space="preserve"> PAGEREF _Toc426027980 \h </w:instrText>
        </w:r>
        <w:r w:rsidR="008E37D2">
          <w:rPr>
            <w:noProof/>
            <w:webHidden/>
          </w:rPr>
        </w:r>
        <w:r w:rsidR="008E37D2">
          <w:rPr>
            <w:noProof/>
            <w:webHidden/>
          </w:rPr>
          <w:fldChar w:fldCharType="separate"/>
        </w:r>
        <w:r w:rsidR="008E37D2">
          <w:rPr>
            <w:noProof/>
            <w:webHidden/>
          </w:rPr>
          <w:t>7</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81" w:history="1">
        <w:r w:rsidR="008E37D2" w:rsidRPr="00E06B76">
          <w:rPr>
            <w:rStyle w:val="Hyperlink"/>
            <w:noProof/>
          </w:rPr>
          <w:t>9  Additional allowance payable to certain Justices of the High Court</w:t>
        </w:r>
        <w:r w:rsidR="008E37D2">
          <w:rPr>
            <w:noProof/>
            <w:webHidden/>
          </w:rPr>
          <w:tab/>
        </w:r>
        <w:r w:rsidR="008E37D2">
          <w:rPr>
            <w:noProof/>
            <w:webHidden/>
          </w:rPr>
          <w:fldChar w:fldCharType="begin"/>
        </w:r>
        <w:r w:rsidR="008E37D2">
          <w:rPr>
            <w:noProof/>
            <w:webHidden/>
          </w:rPr>
          <w:instrText xml:space="preserve"> PAGEREF _Toc426027981 \h </w:instrText>
        </w:r>
        <w:r w:rsidR="008E37D2">
          <w:rPr>
            <w:noProof/>
            <w:webHidden/>
          </w:rPr>
        </w:r>
        <w:r w:rsidR="008E37D2">
          <w:rPr>
            <w:noProof/>
            <w:webHidden/>
          </w:rPr>
          <w:fldChar w:fldCharType="separate"/>
        </w:r>
        <w:r w:rsidR="008E37D2">
          <w:rPr>
            <w:noProof/>
            <w:webHidden/>
          </w:rPr>
          <w:t>8</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82" w:history="1">
        <w:r w:rsidR="008E37D2" w:rsidRPr="00E06B76">
          <w:rPr>
            <w:rStyle w:val="Hyperlink"/>
            <w:noProof/>
          </w:rPr>
          <w:t>10  Travelling allowances payable to holders of certain offices</w:t>
        </w:r>
        <w:r w:rsidR="008E37D2">
          <w:rPr>
            <w:noProof/>
            <w:webHidden/>
          </w:rPr>
          <w:tab/>
        </w:r>
        <w:r w:rsidR="008E37D2">
          <w:rPr>
            <w:noProof/>
            <w:webHidden/>
          </w:rPr>
          <w:fldChar w:fldCharType="begin"/>
        </w:r>
        <w:r w:rsidR="008E37D2">
          <w:rPr>
            <w:noProof/>
            <w:webHidden/>
          </w:rPr>
          <w:instrText xml:space="preserve"> PAGEREF _Toc426027982 \h </w:instrText>
        </w:r>
        <w:r w:rsidR="008E37D2">
          <w:rPr>
            <w:noProof/>
            <w:webHidden/>
          </w:rPr>
        </w:r>
        <w:r w:rsidR="008E37D2">
          <w:rPr>
            <w:noProof/>
            <w:webHidden/>
          </w:rPr>
          <w:fldChar w:fldCharType="separate"/>
        </w:r>
        <w:r w:rsidR="008E37D2">
          <w:rPr>
            <w:noProof/>
            <w:webHidden/>
          </w:rPr>
          <w:t>8</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83" w:history="1">
        <w:r w:rsidR="008E37D2" w:rsidRPr="00E06B76">
          <w:rPr>
            <w:rStyle w:val="Hyperlink"/>
            <w:noProof/>
          </w:rPr>
          <w:t>11  Travelling allowances payable to members of the Inter-State Commission</w:t>
        </w:r>
        <w:r w:rsidR="008E37D2">
          <w:rPr>
            <w:noProof/>
            <w:webHidden/>
          </w:rPr>
          <w:tab/>
        </w:r>
        <w:r w:rsidR="008E37D2">
          <w:rPr>
            <w:noProof/>
            <w:webHidden/>
          </w:rPr>
          <w:fldChar w:fldCharType="begin"/>
        </w:r>
        <w:r w:rsidR="008E37D2">
          <w:rPr>
            <w:noProof/>
            <w:webHidden/>
          </w:rPr>
          <w:instrText xml:space="preserve"> PAGEREF _Toc426027983 \h </w:instrText>
        </w:r>
        <w:r w:rsidR="008E37D2">
          <w:rPr>
            <w:noProof/>
            <w:webHidden/>
          </w:rPr>
        </w:r>
        <w:r w:rsidR="008E37D2">
          <w:rPr>
            <w:noProof/>
            <w:webHidden/>
          </w:rPr>
          <w:fldChar w:fldCharType="separate"/>
        </w:r>
        <w:r w:rsidR="008E37D2">
          <w:rPr>
            <w:noProof/>
            <w:webHidden/>
          </w:rPr>
          <w:t>8</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84" w:history="1">
        <w:r w:rsidR="008E37D2" w:rsidRPr="00E06B76">
          <w:rPr>
            <w:rStyle w:val="Hyperlink"/>
            <w:noProof/>
          </w:rPr>
          <w:t>12  Allowance payable to Solicitor-General</w:t>
        </w:r>
        <w:r w:rsidR="008E37D2">
          <w:rPr>
            <w:noProof/>
            <w:webHidden/>
          </w:rPr>
          <w:tab/>
        </w:r>
        <w:r w:rsidR="008E37D2">
          <w:rPr>
            <w:noProof/>
            <w:webHidden/>
          </w:rPr>
          <w:fldChar w:fldCharType="begin"/>
        </w:r>
        <w:r w:rsidR="008E37D2">
          <w:rPr>
            <w:noProof/>
            <w:webHidden/>
          </w:rPr>
          <w:instrText xml:space="preserve"> PAGEREF _Toc426027984 \h </w:instrText>
        </w:r>
        <w:r w:rsidR="008E37D2">
          <w:rPr>
            <w:noProof/>
            <w:webHidden/>
          </w:rPr>
        </w:r>
        <w:r w:rsidR="008E37D2">
          <w:rPr>
            <w:noProof/>
            <w:webHidden/>
          </w:rPr>
          <w:fldChar w:fldCharType="separate"/>
        </w:r>
        <w:r w:rsidR="008E37D2">
          <w:rPr>
            <w:noProof/>
            <w:webHidden/>
          </w:rPr>
          <w:t>8</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85" w:history="1">
        <w:r w:rsidR="008E37D2" w:rsidRPr="00E06B76">
          <w:rPr>
            <w:rStyle w:val="Hyperlink"/>
            <w:noProof/>
          </w:rPr>
          <w:t>13  Schedule</w:t>
        </w:r>
        <w:r w:rsidR="008E37D2">
          <w:rPr>
            <w:noProof/>
            <w:webHidden/>
          </w:rPr>
          <w:tab/>
        </w:r>
        <w:r w:rsidR="008E37D2">
          <w:rPr>
            <w:noProof/>
            <w:webHidden/>
          </w:rPr>
          <w:fldChar w:fldCharType="begin"/>
        </w:r>
        <w:r w:rsidR="008E37D2">
          <w:rPr>
            <w:noProof/>
            <w:webHidden/>
          </w:rPr>
          <w:instrText xml:space="preserve"> PAGEREF _Toc426027985 \h </w:instrText>
        </w:r>
        <w:r w:rsidR="008E37D2">
          <w:rPr>
            <w:noProof/>
            <w:webHidden/>
          </w:rPr>
        </w:r>
        <w:r w:rsidR="008E37D2">
          <w:rPr>
            <w:noProof/>
            <w:webHidden/>
          </w:rPr>
          <w:fldChar w:fldCharType="separate"/>
        </w:r>
        <w:r w:rsidR="008E37D2">
          <w:rPr>
            <w:noProof/>
            <w:webHidden/>
          </w:rPr>
          <w:t>9</w:t>
        </w:r>
        <w:r w:rsidR="008E37D2">
          <w:rPr>
            <w:noProof/>
            <w:webHidden/>
          </w:rPr>
          <w:fldChar w:fldCharType="end"/>
        </w:r>
      </w:hyperlink>
    </w:p>
    <w:p w:rsidR="008E37D2" w:rsidRDefault="00FB66A7">
      <w:pPr>
        <w:pStyle w:val="TOC2"/>
        <w:rPr>
          <w:rFonts w:asciiTheme="minorHAnsi" w:hAnsiTheme="minorHAnsi" w:cstheme="minorBidi"/>
          <w:b w:val="0"/>
          <w:bCs w:val="0"/>
          <w:noProof/>
          <w:kern w:val="0"/>
          <w:sz w:val="22"/>
          <w:szCs w:val="22"/>
        </w:rPr>
      </w:pPr>
      <w:hyperlink w:anchor="_Toc426027986" w:history="1">
        <w:r w:rsidR="008E37D2" w:rsidRPr="00E06B76">
          <w:rPr>
            <w:rStyle w:val="Hyperlink"/>
            <w:noProof/>
          </w:rPr>
          <w:t>Part IV—Miscellaneous</w:t>
        </w:r>
        <w:r w:rsidR="008E37D2">
          <w:rPr>
            <w:noProof/>
            <w:webHidden/>
          </w:rPr>
          <w:tab/>
        </w:r>
        <w:r w:rsidR="008E37D2">
          <w:rPr>
            <w:noProof/>
            <w:webHidden/>
          </w:rPr>
          <w:fldChar w:fldCharType="begin"/>
        </w:r>
        <w:r w:rsidR="008E37D2">
          <w:rPr>
            <w:noProof/>
            <w:webHidden/>
          </w:rPr>
          <w:instrText xml:space="preserve"> PAGEREF _Toc426027986 \h </w:instrText>
        </w:r>
        <w:r w:rsidR="008E37D2">
          <w:rPr>
            <w:noProof/>
            <w:webHidden/>
          </w:rPr>
        </w:r>
        <w:r w:rsidR="008E37D2">
          <w:rPr>
            <w:noProof/>
            <w:webHidden/>
          </w:rPr>
          <w:fldChar w:fldCharType="separate"/>
        </w:r>
        <w:r w:rsidR="008E37D2">
          <w:rPr>
            <w:noProof/>
            <w:webHidden/>
          </w:rPr>
          <w:t>10</w:t>
        </w:r>
        <w:r w:rsidR="008E37D2">
          <w:rPr>
            <w:noProof/>
            <w:webHidden/>
          </w:rPr>
          <w:fldChar w:fldCharType="end"/>
        </w:r>
      </w:hyperlink>
    </w:p>
    <w:p w:rsidR="008E37D2" w:rsidRDefault="00FB66A7">
      <w:pPr>
        <w:pStyle w:val="TOC5"/>
        <w:rPr>
          <w:rFonts w:asciiTheme="minorHAnsi" w:hAnsiTheme="minorHAnsi" w:cstheme="minorBidi"/>
          <w:noProof/>
          <w:kern w:val="0"/>
          <w:sz w:val="22"/>
          <w:szCs w:val="22"/>
        </w:rPr>
      </w:pPr>
      <w:hyperlink w:anchor="_Toc426027987" w:history="1">
        <w:r w:rsidR="008E37D2" w:rsidRPr="00E06B76">
          <w:rPr>
            <w:rStyle w:val="Hyperlink"/>
            <w:noProof/>
          </w:rPr>
          <w:t xml:space="preserve">14  Exclusion of subsection 7(8) of the </w:t>
        </w:r>
        <w:r w:rsidR="008E37D2" w:rsidRPr="00E06B76">
          <w:rPr>
            <w:rStyle w:val="Hyperlink"/>
            <w:i/>
            <w:iCs/>
            <w:noProof/>
          </w:rPr>
          <w:t>Remuneration Tribunals Act 1973</w:t>
        </w:r>
        <w:r w:rsidR="008E37D2">
          <w:rPr>
            <w:noProof/>
            <w:webHidden/>
          </w:rPr>
          <w:tab/>
        </w:r>
        <w:r w:rsidR="008E37D2">
          <w:rPr>
            <w:noProof/>
            <w:webHidden/>
          </w:rPr>
          <w:fldChar w:fldCharType="begin"/>
        </w:r>
        <w:r w:rsidR="008E37D2">
          <w:rPr>
            <w:noProof/>
            <w:webHidden/>
          </w:rPr>
          <w:instrText xml:space="preserve"> PAGEREF _Toc426027987 \h </w:instrText>
        </w:r>
        <w:r w:rsidR="008E37D2">
          <w:rPr>
            <w:noProof/>
            <w:webHidden/>
          </w:rPr>
        </w:r>
        <w:r w:rsidR="008E37D2">
          <w:rPr>
            <w:noProof/>
            <w:webHidden/>
          </w:rPr>
          <w:fldChar w:fldCharType="separate"/>
        </w:r>
        <w:r w:rsidR="008E37D2">
          <w:rPr>
            <w:noProof/>
            <w:webHidden/>
          </w:rPr>
          <w:t>10</w:t>
        </w:r>
        <w:r w:rsidR="008E37D2">
          <w:rPr>
            <w:noProof/>
            <w:webHidden/>
          </w:rPr>
          <w:fldChar w:fldCharType="end"/>
        </w:r>
      </w:hyperlink>
    </w:p>
    <w:p w:rsidR="005B25FC" w:rsidRDefault="008E37D2">
      <w:r>
        <w:rPr>
          <w:b/>
          <w:bCs/>
          <w:kern w:val="28"/>
          <w:sz w:val="24"/>
          <w:szCs w:val="24"/>
        </w:rPr>
        <w:fldChar w:fldCharType="end"/>
      </w:r>
    </w:p>
    <w:p w:rsidR="005B25FC" w:rsidRDefault="005B25FC">
      <w:pPr>
        <w:sectPr w:rsidR="005B25FC" w:rsidSect="002647CE">
          <w:headerReference w:type="even" r:id="rId14"/>
          <w:headerReference w:type="default" r:id="rId15"/>
          <w:footerReference w:type="default" r:id="rId16"/>
          <w:pgSz w:w="11906" w:h="16838" w:code="9"/>
          <w:pgMar w:top="2268" w:right="2410" w:bottom="3827" w:left="2410" w:header="567" w:footer="3119" w:gutter="0"/>
          <w:pgNumType w:fmt="lowerRoman" w:start="1"/>
          <w:cols w:space="709"/>
        </w:sectPr>
      </w:pPr>
    </w:p>
    <w:p w:rsidR="002647CE" w:rsidRDefault="002647CE" w:rsidP="002647CE">
      <w:r>
        <w:rPr>
          <w:noProof/>
        </w:rPr>
        <w:lastRenderedPageBreak/>
        <w:drawing>
          <wp:inline distT="0" distB="0" distL="0" distR="0" wp14:anchorId="49D9C037" wp14:editId="41AFE23C">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2647CE" w:rsidRDefault="002647CE" w:rsidP="002647CE"/>
    <w:p w:rsidR="002647CE" w:rsidRDefault="002647CE" w:rsidP="002647CE"/>
    <w:p w:rsidR="002647CE" w:rsidRDefault="002647CE" w:rsidP="002647CE">
      <w:pPr>
        <w:pStyle w:val="ShortT"/>
        <w:spacing w:before="800"/>
      </w:pPr>
      <w:r>
        <w:t>Remuneration and Allowances Alteration Act 1986</w:t>
      </w:r>
    </w:p>
    <w:p w:rsidR="002647CE" w:rsidRPr="002647CE" w:rsidRDefault="002647CE" w:rsidP="002647CE">
      <w:pPr>
        <w:pStyle w:val="Actno"/>
        <w:spacing w:before="800"/>
        <w:rPr>
          <w:color w:val="000000"/>
          <w:sz w:val="28"/>
          <w:szCs w:val="28"/>
        </w:rPr>
      </w:pPr>
      <w:bookmarkStart w:id="0" w:name="_GoBack"/>
      <w:bookmarkEnd w:id="0"/>
      <w:r w:rsidRPr="002647CE">
        <w:rPr>
          <w:sz w:val="28"/>
          <w:szCs w:val="28"/>
        </w:rPr>
        <w:t>No. 105</w:t>
      </w:r>
      <w:r w:rsidRPr="002647CE">
        <w:rPr>
          <w:color w:val="000000"/>
          <w:sz w:val="28"/>
          <w:szCs w:val="28"/>
        </w:rPr>
        <w:t xml:space="preserve"> of 1986</w:t>
      </w:r>
    </w:p>
    <w:p w:rsidR="002647CE" w:rsidRPr="009A0728" w:rsidRDefault="002647CE" w:rsidP="002647CE">
      <w:pPr>
        <w:pBdr>
          <w:bottom w:val="single" w:sz="6" w:space="0" w:color="auto"/>
        </w:pBdr>
        <w:spacing w:before="400" w:line="240" w:lineRule="auto"/>
        <w:rPr>
          <w:rFonts w:eastAsia="Times New Roman"/>
          <w:b/>
          <w:sz w:val="28"/>
        </w:rPr>
      </w:pPr>
    </w:p>
    <w:p w:rsidR="002647CE" w:rsidRPr="009A0728" w:rsidRDefault="002647CE" w:rsidP="002647CE">
      <w:pPr>
        <w:spacing w:line="40" w:lineRule="exact"/>
        <w:rPr>
          <w:rFonts w:eastAsia="Calibri"/>
          <w:b/>
          <w:sz w:val="28"/>
        </w:rPr>
      </w:pPr>
    </w:p>
    <w:p w:rsidR="002647CE" w:rsidRPr="009A0728" w:rsidRDefault="002647CE" w:rsidP="002647CE">
      <w:pPr>
        <w:pBdr>
          <w:top w:val="single" w:sz="12" w:space="0" w:color="auto"/>
        </w:pBdr>
        <w:spacing w:line="240" w:lineRule="auto"/>
        <w:rPr>
          <w:rFonts w:eastAsia="Times New Roman"/>
          <w:b/>
          <w:sz w:val="28"/>
        </w:rPr>
      </w:pPr>
    </w:p>
    <w:p w:rsidR="005B25FC" w:rsidRDefault="008E37D2" w:rsidP="002647CE">
      <w:pPr>
        <w:pStyle w:val="LongT"/>
        <w:spacing w:before="400"/>
        <w:rPr>
          <w:i/>
          <w:iCs/>
        </w:rPr>
      </w:pPr>
      <w:r>
        <w:t>An Act relating to certain remuneration and allowances</w:t>
      </w:r>
    </w:p>
    <w:p w:rsidR="002647CE" w:rsidRDefault="002647CE" w:rsidP="002647CE">
      <w:pPr>
        <w:pStyle w:val="AssentDt"/>
        <w:spacing w:before="240"/>
        <w:rPr>
          <w:sz w:val="24"/>
        </w:rPr>
      </w:pPr>
      <w:r>
        <w:rPr>
          <w:sz w:val="24"/>
        </w:rPr>
        <w:t>[</w:t>
      </w:r>
      <w:r>
        <w:rPr>
          <w:i/>
          <w:sz w:val="24"/>
        </w:rPr>
        <w:t>Assented to 23 October 1986</w:t>
      </w:r>
      <w:r>
        <w:rPr>
          <w:sz w:val="24"/>
        </w:rPr>
        <w:t>]</w:t>
      </w:r>
    </w:p>
    <w:p w:rsidR="002647CE" w:rsidRPr="00E2740B" w:rsidRDefault="002647CE" w:rsidP="002647CE">
      <w:pPr>
        <w:spacing w:before="240" w:line="240" w:lineRule="auto"/>
        <w:rPr>
          <w:sz w:val="32"/>
        </w:rPr>
      </w:pPr>
      <w:r w:rsidRPr="00E2740B">
        <w:rPr>
          <w:sz w:val="32"/>
        </w:rPr>
        <w:t>The Parliament of Australia enacts:</w:t>
      </w:r>
    </w:p>
    <w:p w:rsidR="005B25FC" w:rsidRDefault="008E37D2">
      <w:pPr>
        <w:pStyle w:val="Heading2"/>
      </w:pPr>
      <w:bookmarkStart w:id="1" w:name="_Toc426027970"/>
      <w:r>
        <w:rPr>
          <w:rStyle w:val="CharPartNo"/>
        </w:rPr>
        <w:t>Part I</w:t>
      </w:r>
      <w:r>
        <w:t>—</w:t>
      </w:r>
      <w:r>
        <w:rPr>
          <w:rStyle w:val="CharPartText"/>
        </w:rPr>
        <w:t>Preliminary</w:t>
      </w:r>
      <w:bookmarkEnd w:id="1"/>
    </w:p>
    <w:p w:rsidR="005B25FC" w:rsidRDefault="008E37D2">
      <w:pPr>
        <w:pStyle w:val="Header"/>
      </w:pPr>
      <w:r>
        <w:rPr>
          <w:rStyle w:val="CharDivNo"/>
        </w:rPr>
        <w:t xml:space="preserve"> </w:t>
      </w:r>
      <w:r>
        <w:rPr>
          <w:rStyle w:val="CharDivText"/>
        </w:rPr>
        <w:t xml:space="preserve"> </w:t>
      </w:r>
    </w:p>
    <w:p w:rsidR="005B25FC" w:rsidRDefault="008E37D2">
      <w:pPr>
        <w:pStyle w:val="Heading5"/>
      </w:pPr>
      <w:bookmarkStart w:id="2" w:name="_Toc426027971"/>
      <w:r>
        <w:rPr>
          <w:rStyle w:val="CharSectno"/>
        </w:rPr>
        <w:t>1</w:t>
      </w:r>
      <w:r>
        <w:t xml:space="preserve">  Short title</w:t>
      </w:r>
      <w:bookmarkEnd w:id="2"/>
    </w:p>
    <w:p w:rsidR="005B25FC" w:rsidRDefault="008E37D2">
      <w:pPr>
        <w:pStyle w:val="Subsection"/>
      </w:pPr>
      <w:r>
        <w:tab/>
      </w:r>
      <w:r>
        <w:tab/>
        <w:t xml:space="preserve">This Act may be cited as the </w:t>
      </w:r>
      <w:r>
        <w:rPr>
          <w:i/>
          <w:iCs/>
        </w:rPr>
        <w:t>Remuneration and Allowances Alteration Act 1986</w:t>
      </w:r>
      <w:r>
        <w:t>.</w:t>
      </w:r>
    </w:p>
    <w:p w:rsidR="005B25FC" w:rsidRDefault="008E37D2">
      <w:pPr>
        <w:pStyle w:val="Heading5"/>
      </w:pPr>
      <w:bookmarkStart w:id="3" w:name="_Toc426027972"/>
      <w:r>
        <w:rPr>
          <w:rStyle w:val="CharSectno"/>
        </w:rPr>
        <w:lastRenderedPageBreak/>
        <w:t>2</w:t>
      </w:r>
      <w:r>
        <w:t xml:space="preserve">  Commencement</w:t>
      </w:r>
      <w:bookmarkEnd w:id="3"/>
    </w:p>
    <w:p w:rsidR="005B25FC" w:rsidRDefault="008E37D2">
      <w:pPr>
        <w:pStyle w:val="Subsection"/>
      </w:pPr>
      <w:r>
        <w:tab/>
        <w:t>(1)</w:t>
      </w:r>
      <w:r>
        <w:tab/>
        <w:t>Subject to subsection (2), this Act shall come into operation on the day on which it receives the Royal Assent.</w:t>
      </w:r>
    </w:p>
    <w:p w:rsidR="005B25FC" w:rsidRDefault="008E37D2">
      <w:pPr>
        <w:pStyle w:val="Subsection"/>
      </w:pPr>
      <w:r>
        <w:tab/>
        <w:t>(2)</w:t>
      </w:r>
      <w:r>
        <w:tab/>
        <w:t>Parts II and III and section 14 shall be deemed to have come into operation on 1 July 1986.</w:t>
      </w:r>
    </w:p>
    <w:p w:rsidR="005B25FC" w:rsidRDefault="008E37D2">
      <w:pPr>
        <w:pStyle w:val="PageBreak"/>
      </w:pPr>
      <w:r>
        <w:br w:type="page"/>
      </w:r>
    </w:p>
    <w:p w:rsidR="005B25FC" w:rsidRDefault="008E37D2">
      <w:pPr>
        <w:pStyle w:val="Heading2"/>
      </w:pPr>
      <w:bookmarkStart w:id="4" w:name="_Toc426027973"/>
      <w:r>
        <w:rPr>
          <w:rStyle w:val="CharPartNo"/>
        </w:rPr>
        <w:lastRenderedPageBreak/>
        <w:t>Part II</w:t>
      </w:r>
      <w:r>
        <w:t>—</w:t>
      </w:r>
      <w:r>
        <w:rPr>
          <w:rStyle w:val="CharPartText"/>
        </w:rPr>
        <w:t>Modifications of determinations of the Remuneration Tribunal</w:t>
      </w:r>
      <w:bookmarkEnd w:id="4"/>
    </w:p>
    <w:p w:rsidR="005B25FC" w:rsidRDefault="008E37D2">
      <w:pPr>
        <w:pStyle w:val="Header"/>
      </w:pPr>
      <w:r>
        <w:rPr>
          <w:rStyle w:val="CharDivNo"/>
        </w:rPr>
        <w:t xml:space="preserve"> </w:t>
      </w:r>
      <w:r>
        <w:rPr>
          <w:rStyle w:val="CharDivText"/>
        </w:rPr>
        <w:t xml:space="preserve"> </w:t>
      </w:r>
    </w:p>
    <w:p w:rsidR="005B25FC" w:rsidRDefault="008E37D2">
      <w:pPr>
        <w:pStyle w:val="Heading5"/>
      </w:pPr>
      <w:bookmarkStart w:id="5" w:name="_Toc426027974"/>
      <w:r>
        <w:rPr>
          <w:rStyle w:val="CharSectno"/>
        </w:rPr>
        <w:t>3</w:t>
      </w:r>
      <w:r>
        <w:t xml:space="preserve">  Allowances to be paid to office holders of the Parliament</w:t>
      </w:r>
      <w:bookmarkEnd w:id="5"/>
    </w:p>
    <w:p w:rsidR="005B25FC" w:rsidRDefault="008E37D2">
      <w:pPr>
        <w:pStyle w:val="Subsection"/>
      </w:pPr>
      <w:r>
        <w:tab/>
        <w:t>(1)</w:t>
      </w:r>
      <w:r>
        <w:tab/>
        <w:t>Determination No. 7 of 1986 of the Remuneration Tribunal dated 6 June 1986 is modified by omitting paragraph 1 and substituting the following paragraph:</w:t>
      </w:r>
    </w:p>
    <w:p w:rsidR="005B25FC" w:rsidRDefault="008E37D2">
      <w:pPr>
        <w:pStyle w:val="Subsection"/>
      </w:pPr>
      <w:r>
        <w:tab/>
      </w:r>
      <w:r>
        <w:rPr>
          <w:b/>
          <w:bCs/>
        </w:rPr>
        <w:t>1.</w:t>
      </w:r>
      <w:r>
        <w:tab/>
        <w:t>Additional Salary and Expenses of Office Allowance.</w:t>
      </w:r>
    </w:p>
    <w:p w:rsidR="005B25FC" w:rsidRDefault="005B25FC">
      <w:pPr>
        <w:pStyle w:val="Subsection"/>
      </w:pPr>
    </w:p>
    <w:tbl>
      <w:tblPr>
        <w:tblW w:w="0" w:type="auto"/>
        <w:tblInd w:w="108" w:type="dxa"/>
        <w:tblLayout w:type="fixed"/>
        <w:tblLook w:val="0000" w:firstRow="0" w:lastRow="0" w:firstColumn="0" w:lastColumn="0" w:noHBand="0" w:noVBand="0"/>
      </w:tblPr>
      <w:tblGrid>
        <w:gridCol w:w="4140"/>
        <w:gridCol w:w="1618"/>
        <w:gridCol w:w="1262"/>
      </w:tblGrid>
      <w:tr w:rsidR="005B25FC">
        <w:trPr>
          <w:cantSplit/>
          <w:tblHeader/>
        </w:trPr>
        <w:tc>
          <w:tcPr>
            <w:tcW w:w="4140" w:type="dxa"/>
            <w:tcBorders>
              <w:top w:val="single" w:sz="4" w:space="0" w:color="auto"/>
              <w:left w:val="nil"/>
              <w:bottom w:val="single" w:sz="4" w:space="0" w:color="auto"/>
              <w:right w:val="nil"/>
            </w:tcBorders>
          </w:tcPr>
          <w:p w:rsidR="005B25FC" w:rsidRDefault="008E37D2">
            <w:pPr>
              <w:pStyle w:val="Tabletext"/>
              <w:keepNext/>
            </w:pPr>
            <w:r>
              <w:br/>
            </w:r>
            <w:r>
              <w:br/>
            </w:r>
            <w:r>
              <w:br/>
            </w:r>
            <w:r>
              <w:br/>
              <w:t>Office</w:t>
            </w:r>
          </w:p>
        </w:tc>
        <w:tc>
          <w:tcPr>
            <w:tcW w:w="1618" w:type="dxa"/>
            <w:tcBorders>
              <w:top w:val="single" w:sz="4" w:space="0" w:color="auto"/>
              <w:left w:val="nil"/>
              <w:bottom w:val="single" w:sz="4" w:space="0" w:color="auto"/>
              <w:right w:val="nil"/>
            </w:tcBorders>
          </w:tcPr>
          <w:p w:rsidR="005B25FC" w:rsidRDefault="008E37D2">
            <w:pPr>
              <w:pStyle w:val="Tabletext"/>
              <w:keepNext/>
              <w:jc w:val="right"/>
            </w:pPr>
            <w:r>
              <w:br/>
            </w:r>
            <w:r>
              <w:br/>
              <w:t>Rate per annum of Additional Salary</w:t>
            </w:r>
          </w:p>
        </w:tc>
        <w:tc>
          <w:tcPr>
            <w:tcW w:w="1262" w:type="dxa"/>
            <w:tcBorders>
              <w:top w:val="single" w:sz="4" w:space="0" w:color="auto"/>
              <w:left w:val="nil"/>
              <w:bottom w:val="single" w:sz="4" w:space="0" w:color="auto"/>
              <w:right w:val="nil"/>
            </w:tcBorders>
          </w:tcPr>
          <w:p w:rsidR="005B25FC" w:rsidRDefault="008E37D2">
            <w:pPr>
              <w:pStyle w:val="Tabletext"/>
              <w:keepNext/>
              <w:jc w:val="right"/>
            </w:pPr>
            <w:r>
              <w:t>Rate per annum of Expenses of Office Allowance</w:t>
            </w:r>
          </w:p>
        </w:tc>
      </w:tr>
      <w:tr w:rsidR="005B25FC">
        <w:trPr>
          <w:cantSplit/>
          <w:tblHeader/>
        </w:trPr>
        <w:tc>
          <w:tcPr>
            <w:tcW w:w="4140" w:type="dxa"/>
            <w:tcBorders>
              <w:top w:val="single" w:sz="4" w:space="0" w:color="auto"/>
              <w:left w:val="nil"/>
              <w:bottom w:val="nil"/>
              <w:right w:val="nil"/>
            </w:tcBorders>
          </w:tcPr>
          <w:p w:rsidR="005B25FC" w:rsidRDefault="005B25FC">
            <w:pPr>
              <w:pStyle w:val="Tabletext"/>
              <w:tabs>
                <w:tab w:val="right" w:leader="dot" w:pos="4644"/>
              </w:tabs>
              <w:spacing w:before="40"/>
            </w:pPr>
          </w:p>
        </w:tc>
        <w:tc>
          <w:tcPr>
            <w:tcW w:w="1618" w:type="dxa"/>
            <w:tcBorders>
              <w:top w:val="single" w:sz="4" w:space="0" w:color="auto"/>
              <w:left w:val="nil"/>
              <w:bottom w:val="nil"/>
              <w:right w:val="nil"/>
            </w:tcBorders>
          </w:tcPr>
          <w:p w:rsidR="005B25FC" w:rsidRDefault="008E37D2">
            <w:pPr>
              <w:pStyle w:val="Tabletext"/>
              <w:tabs>
                <w:tab w:val="right" w:leader="dot" w:pos="4644"/>
              </w:tabs>
              <w:spacing w:before="40"/>
              <w:jc w:val="center"/>
            </w:pPr>
            <w:r>
              <w:t>$</w:t>
            </w:r>
          </w:p>
        </w:tc>
        <w:tc>
          <w:tcPr>
            <w:tcW w:w="1262" w:type="dxa"/>
            <w:tcBorders>
              <w:top w:val="single" w:sz="4" w:space="0" w:color="auto"/>
              <w:left w:val="nil"/>
              <w:bottom w:val="nil"/>
              <w:right w:val="nil"/>
            </w:tcBorders>
          </w:tcPr>
          <w:p w:rsidR="005B25FC" w:rsidRDefault="008E37D2">
            <w:pPr>
              <w:pStyle w:val="Tabletext"/>
              <w:tabs>
                <w:tab w:val="right" w:leader="dot" w:pos="4644"/>
              </w:tabs>
              <w:spacing w:before="40"/>
              <w:ind w:left="226"/>
              <w:jc w:val="center"/>
            </w:pPr>
            <w:r>
              <w:t>$</w:t>
            </w:r>
          </w:p>
        </w:tc>
      </w:tr>
      <w:tr w:rsidR="005B25FC">
        <w:trPr>
          <w:cantSplit/>
        </w:trPr>
        <w:tc>
          <w:tcPr>
            <w:tcW w:w="4140" w:type="dxa"/>
            <w:tcBorders>
              <w:top w:val="nil"/>
              <w:left w:val="nil"/>
              <w:bottom w:val="nil"/>
              <w:right w:val="nil"/>
            </w:tcBorders>
          </w:tcPr>
          <w:p w:rsidR="005B25FC" w:rsidRDefault="008E37D2">
            <w:pPr>
              <w:pStyle w:val="Tabletext"/>
              <w:tabs>
                <w:tab w:val="right" w:leader="dot" w:pos="3924"/>
              </w:tabs>
              <w:spacing w:before="40"/>
            </w:pPr>
            <w:r>
              <w:t xml:space="preserve">Leader of the Opposition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26,261</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12,068</w:t>
            </w:r>
          </w:p>
        </w:tc>
      </w:tr>
      <w:tr w:rsidR="005B25FC">
        <w:trPr>
          <w:cantSplit/>
        </w:trPr>
        <w:tc>
          <w:tcPr>
            <w:tcW w:w="4140" w:type="dxa"/>
            <w:tcBorders>
              <w:top w:val="nil"/>
              <w:left w:val="nil"/>
              <w:bottom w:val="nil"/>
              <w:right w:val="nil"/>
            </w:tcBorders>
          </w:tcPr>
          <w:p w:rsidR="005B25FC" w:rsidRDefault="008E37D2">
            <w:pPr>
              <w:pStyle w:val="Tabletext"/>
              <w:tabs>
                <w:tab w:val="right" w:leader="dot" w:pos="3924"/>
              </w:tabs>
              <w:spacing w:before="40"/>
            </w:pPr>
            <w:r>
              <w:t xml:space="preserve">President of the Senate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26,261</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9,901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Speaker of the House of Representatives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26,261</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9,901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Deputy Leader of the Opposition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15,024</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9,901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Leader of the Opposition in the Senate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15,024</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9,901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Leader of the Third Party in the House of Representatives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10,015</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9,901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Leader of a recognised non-Government party of at least 5 members not otherwise specified herein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r>
            <w:r>
              <w:br/>
              <w:t>7,986</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r>
            <w:r>
              <w:br/>
              <w:t>9,901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of Committees in the Senate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7,986</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of Committees in the House of Representatives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7,986</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Deputy Leader of the Opposition in the Senate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7,571</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Government Whip in the House of Representatives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7,571</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Opposition Whip in the House of Representatives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6,624</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Government Whip in the Senate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6,211</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Opposition Whip in the Senate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6,211</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Joint Committee of Public Accounts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5,915</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lastRenderedPageBreak/>
              <w:t xml:space="preserve">Chairman, Parliamentary Standing Committee on Public Works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5,915</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Joint Committee on Foreign Affairs and Defence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5,915</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Third Party Whip in the House of Representatives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4,436</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Nil</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Leader in the Senate of the National Party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4,436</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Nil</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Joint Committee on the Australian Capital Territory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Parliamentary Joint Committee on the National Crime Authority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Senate Legislative and General Purpose Standing Committee on Constitutional and Legal Affairs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Senate Legislative and General Purpose Standing Committee on Education and the Arts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Senate Legislative and General Purpose Standing Committee on Finance and Government Operations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Senate Legislative and General Purpose Standing Committee on Foreign Affairs and Defence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Senate Legislative and General Purpose Standing Committee on National Resources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Chairman, Senate Legislative and General Purpose Standing Committee on Science, Technology and the Environment</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Chairman, Senate Legislative and General Purpose Standing Committee on Social Welfare</w:t>
            </w:r>
            <w:r>
              <w:tab/>
              <w:t xml:space="preserv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Senate Legislative and General Purpose Standing Committee on Industry and Trade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House of Representatives Standing </w:t>
            </w:r>
            <w:r>
              <w:lastRenderedPageBreak/>
              <w:t xml:space="preserve">Committee on Aboriginal Affairs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lastRenderedPageBreak/>
              <w:br/>
            </w:r>
            <w:r>
              <w:lastRenderedPageBreak/>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lastRenderedPageBreak/>
              <w:br/>
            </w:r>
            <w:r>
              <w:lastRenderedPageBreak/>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lastRenderedPageBreak/>
              <w:t xml:space="preserve">Chairman, House of Representatives Standing Committee on Environment and Conservation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House of Representatives Standing Committee on Expenditure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House of Representatives Standing Committee on Transport Safety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House of Representatives Standing Committee on Procedure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2,041</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Deputy Government Whip in the House of Representatives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2,218</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Nil</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Chairman of a Parliamentary Committee not otherwise specified herein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1,064</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Nil</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Whip in the Senate of a recognised non-Government party of at least 5 members not otherwise specified herein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r>
            <w:r>
              <w:br/>
              <w:t>1,064</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r>
            <w:r>
              <w:br/>
              <w:t>Nil</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Deputy Government Whip in the Senate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1,064</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Nil</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Deputy Opposition Whip in the Senate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1,064</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Nil</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Deputy Opposition Whip in the House of Representatives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br/>
              <w:t>1,064</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br/>
              <w:t>Nil</w:t>
            </w:r>
          </w:p>
        </w:tc>
      </w:tr>
      <w:tr w:rsidR="005B25FC">
        <w:tc>
          <w:tcPr>
            <w:tcW w:w="4140" w:type="dxa"/>
            <w:tcBorders>
              <w:top w:val="nil"/>
              <w:left w:val="nil"/>
              <w:bottom w:val="nil"/>
              <w:right w:val="nil"/>
            </w:tcBorders>
          </w:tcPr>
          <w:p w:rsidR="005B25FC" w:rsidRDefault="008E37D2">
            <w:pPr>
              <w:pStyle w:val="Tabletext"/>
              <w:tabs>
                <w:tab w:val="right" w:leader="dot" w:pos="3924"/>
              </w:tabs>
              <w:spacing w:before="40"/>
            </w:pPr>
            <w:r>
              <w:t xml:space="preserve">Deputy Chairman of Committees in the Senate </w:t>
            </w:r>
            <w:r>
              <w:tab/>
            </w:r>
          </w:p>
        </w:tc>
        <w:tc>
          <w:tcPr>
            <w:tcW w:w="1618" w:type="dxa"/>
            <w:tcBorders>
              <w:top w:val="nil"/>
              <w:left w:val="nil"/>
              <w:bottom w:val="nil"/>
              <w:right w:val="nil"/>
            </w:tcBorders>
          </w:tcPr>
          <w:p w:rsidR="005B25FC" w:rsidRDefault="008E37D2">
            <w:pPr>
              <w:pStyle w:val="Tabletext"/>
              <w:tabs>
                <w:tab w:val="right" w:leader="dot" w:pos="4644"/>
              </w:tabs>
              <w:spacing w:before="40"/>
              <w:jc w:val="center"/>
            </w:pPr>
            <w:r>
              <w:t>1,064</w:t>
            </w:r>
          </w:p>
        </w:tc>
        <w:tc>
          <w:tcPr>
            <w:tcW w:w="1262" w:type="dxa"/>
            <w:tcBorders>
              <w:top w:val="nil"/>
              <w:left w:val="nil"/>
              <w:bottom w:val="nil"/>
              <w:right w:val="nil"/>
            </w:tcBorders>
          </w:tcPr>
          <w:p w:rsidR="005B25FC" w:rsidRDefault="008E37D2">
            <w:pPr>
              <w:pStyle w:val="Tabletext"/>
              <w:tabs>
                <w:tab w:val="right" w:leader="dot" w:pos="4644"/>
              </w:tabs>
              <w:spacing w:before="40"/>
              <w:jc w:val="right"/>
            </w:pPr>
            <w:r>
              <w:t>Nil</w:t>
            </w:r>
          </w:p>
        </w:tc>
      </w:tr>
      <w:tr w:rsidR="005B25FC">
        <w:tc>
          <w:tcPr>
            <w:tcW w:w="4140" w:type="dxa"/>
            <w:tcBorders>
              <w:top w:val="nil"/>
              <w:left w:val="nil"/>
              <w:bottom w:val="single" w:sz="4" w:space="0" w:color="auto"/>
              <w:right w:val="nil"/>
            </w:tcBorders>
          </w:tcPr>
          <w:p w:rsidR="005B25FC" w:rsidRDefault="008E37D2">
            <w:pPr>
              <w:pStyle w:val="Tabletext"/>
              <w:tabs>
                <w:tab w:val="right" w:leader="dot" w:pos="3924"/>
              </w:tabs>
              <w:spacing w:before="40"/>
            </w:pPr>
            <w:r>
              <w:t xml:space="preserve">Deputy Chairman of Committees in the House of Representatives </w:t>
            </w:r>
            <w:r>
              <w:tab/>
            </w:r>
          </w:p>
        </w:tc>
        <w:tc>
          <w:tcPr>
            <w:tcW w:w="1618" w:type="dxa"/>
            <w:tcBorders>
              <w:top w:val="nil"/>
              <w:left w:val="nil"/>
              <w:bottom w:val="single" w:sz="4" w:space="0" w:color="auto"/>
              <w:right w:val="nil"/>
            </w:tcBorders>
          </w:tcPr>
          <w:p w:rsidR="005B25FC" w:rsidRDefault="008E37D2">
            <w:pPr>
              <w:pStyle w:val="Tabletext"/>
              <w:tabs>
                <w:tab w:val="right" w:leader="dot" w:pos="4644"/>
              </w:tabs>
              <w:spacing w:before="40"/>
              <w:jc w:val="center"/>
            </w:pPr>
            <w:r>
              <w:br/>
              <w:t>1,064</w:t>
            </w:r>
          </w:p>
        </w:tc>
        <w:tc>
          <w:tcPr>
            <w:tcW w:w="1262" w:type="dxa"/>
            <w:tcBorders>
              <w:top w:val="nil"/>
              <w:left w:val="nil"/>
              <w:bottom w:val="single" w:sz="4" w:space="0" w:color="auto"/>
              <w:right w:val="nil"/>
            </w:tcBorders>
          </w:tcPr>
          <w:p w:rsidR="005B25FC" w:rsidRDefault="008E37D2">
            <w:pPr>
              <w:pStyle w:val="Tabletext"/>
              <w:tabs>
                <w:tab w:val="right" w:leader="dot" w:pos="4644"/>
              </w:tabs>
              <w:spacing w:before="40"/>
              <w:jc w:val="right"/>
            </w:pPr>
            <w:r>
              <w:br/>
              <w:t>Nil</w:t>
            </w:r>
          </w:p>
        </w:tc>
      </w:tr>
    </w:tbl>
    <w:p w:rsidR="005B25FC" w:rsidRDefault="008E37D2">
      <w:pPr>
        <w:pStyle w:val="Subsection"/>
      </w:pPr>
      <w:r>
        <w:tab/>
        <w:t>(2)</w:t>
      </w:r>
      <w:r>
        <w:tab/>
        <w:t>Paragraph 3 of Determination No. 7 of the Remuneration Tribunal dated 6 June 1986 shall be taken not to have applied in relation to the decision of the Australian Conciliation and Arbitration Commission given on 26 June 1986 in a National Wage Case.</w:t>
      </w:r>
    </w:p>
    <w:p w:rsidR="005B25FC" w:rsidRDefault="008E37D2">
      <w:pPr>
        <w:pStyle w:val="Subsection"/>
      </w:pPr>
      <w:r>
        <w:tab/>
        <w:t>(3)</w:t>
      </w:r>
      <w:r>
        <w:tab/>
        <w:t>The determination of the Remuneration Tribunal referred to in this section as modified by this section has effect as if it were a determination of the Remuneration Tribunal.</w:t>
      </w:r>
    </w:p>
    <w:p w:rsidR="005B25FC" w:rsidRDefault="008E37D2">
      <w:pPr>
        <w:pStyle w:val="Heading5"/>
      </w:pPr>
      <w:bookmarkStart w:id="6" w:name="_Toc426027975"/>
      <w:r>
        <w:rPr>
          <w:rStyle w:val="CharSectno"/>
        </w:rPr>
        <w:lastRenderedPageBreak/>
        <w:t>4</w:t>
      </w:r>
      <w:r>
        <w:t xml:space="preserve">  Allowances to be paid to members of the Parliament</w:t>
      </w:r>
      <w:bookmarkEnd w:id="6"/>
    </w:p>
    <w:p w:rsidR="005B25FC" w:rsidRDefault="008E37D2">
      <w:pPr>
        <w:pStyle w:val="Subsection"/>
      </w:pPr>
      <w:r>
        <w:tab/>
        <w:t>(1)</w:t>
      </w:r>
      <w:r>
        <w:tab/>
        <w:t>Determination No. 8 of 1986 of the Remuneration Tribunal dated 6 June 1986 is modified by omitting paragraph 1 and substituting the following paragraph:</w:t>
      </w:r>
    </w:p>
    <w:p w:rsidR="005B25FC" w:rsidRDefault="008E37D2">
      <w:pPr>
        <w:pStyle w:val="Subsection"/>
      </w:pPr>
      <w:r>
        <w:tab/>
      </w:r>
      <w:r>
        <w:rPr>
          <w:b/>
          <w:bCs/>
        </w:rPr>
        <w:t>1.</w:t>
      </w:r>
      <w:r>
        <w:tab/>
        <w:t>Allowance by way of basic salary</w:t>
      </w:r>
    </w:p>
    <w:p w:rsidR="005B25FC" w:rsidRDefault="005B25FC">
      <w:pPr>
        <w:pStyle w:val="Subsection"/>
      </w:pPr>
    </w:p>
    <w:tbl>
      <w:tblPr>
        <w:tblW w:w="0" w:type="auto"/>
        <w:tblInd w:w="108" w:type="dxa"/>
        <w:tblLayout w:type="fixed"/>
        <w:tblLook w:val="0000" w:firstRow="0" w:lastRow="0" w:firstColumn="0" w:lastColumn="0" w:noHBand="0" w:noVBand="0"/>
      </w:tblPr>
      <w:tblGrid>
        <w:gridCol w:w="4860"/>
        <w:gridCol w:w="1980"/>
      </w:tblGrid>
      <w:tr w:rsidR="005B25FC">
        <w:trPr>
          <w:cantSplit/>
          <w:tblHeader/>
        </w:trPr>
        <w:tc>
          <w:tcPr>
            <w:tcW w:w="4860" w:type="dxa"/>
            <w:tcBorders>
              <w:top w:val="single" w:sz="4" w:space="0" w:color="auto"/>
              <w:left w:val="nil"/>
              <w:bottom w:val="single" w:sz="4" w:space="0" w:color="auto"/>
              <w:right w:val="nil"/>
            </w:tcBorders>
          </w:tcPr>
          <w:p w:rsidR="005B25FC" w:rsidRDefault="008E37D2">
            <w:pPr>
              <w:pStyle w:val="Tabletext"/>
              <w:keepNext/>
            </w:pPr>
            <w:r>
              <w:br/>
              <w:t>Office</w:t>
            </w:r>
          </w:p>
        </w:tc>
        <w:tc>
          <w:tcPr>
            <w:tcW w:w="1980" w:type="dxa"/>
            <w:tcBorders>
              <w:top w:val="single" w:sz="4" w:space="0" w:color="auto"/>
              <w:left w:val="nil"/>
              <w:bottom w:val="single" w:sz="4" w:space="0" w:color="auto"/>
              <w:right w:val="nil"/>
            </w:tcBorders>
          </w:tcPr>
          <w:p w:rsidR="005B25FC" w:rsidRDefault="008E37D2">
            <w:pPr>
              <w:pStyle w:val="Tabletext"/>
              <w:keepNext/>
              <w:jc w:val="right"/>
            </w:pPr>
            <w:r>
              <w:t>Rate per annum of basic salary</w:t>
            </w:r>
          </w:p>
        </w:tc>
      </w:tr>
      <w:tr w:rsidR="005B25FC">
        <w:trPr>
          <w:cantSplit/>
        </w:trPr>
        <w:tc>
          <w:tcPr>
            <w:tcW w:w="4860" w:type="dxa"/>
            <w:tcBorders>
              <w:top w:val="single" w:sz="4" w:space="0" w:color="auto"/>
              <w:left w:val="nil"/>
              <w:bottom w:val="single" w:sz="4" w:space="0" w:color="auto"/>
              <w:right w:val="nil"/>
            </w:tcBorders>
          </w:tcPr>
          <w:p w:rsidR="005B25FC" w:rsidRDefault="008E37D2">
            <w:pPr>
              <w:pStyle w:val="Tabletext"/>
              <w:tabs>
                <w:tab w:val="right" w:leader="dot" w:pos="4644"/>
              </w:tabs>
              <w:spacing w:after="60"/>
              <w:rPr>
                <w:sz w:val="22"/>
                <w:szCs w:val="22"/>
              </w:rPr>
            </w:pPr>
            <w:r>
              <w:t>Senator or member of the House of Representatives</w:t>
            </w:r>
            <w:r>
              <w:tab/>
            </w:r>
          </w:p>
        </w:tc>
        <w:tc>
          <w:tcPr>
            <w:tcW w:w="1980" w:type="dxa"/>
            <w:tcBorders>
              <w:top w:val="single" w:sz="4" w:space="0" w:color="auto"/>
              <w:left w:val="nil"/>
              <w:bottom w:val="single" w:sz="4" w:space="0" w:color="auto"/>
              <w:right w:val="nil"/>
            </w:tcBorders>
          </w:tcPr>
          <w:p w:rsidR="005B25FC" w:rsidRDefault="008E37D2">
            <w:pPr>
              <w:pStyle w:val="Tabletext"/>
              <w:spacing w:after="60"/>
              <w:jc w:val="right"/>
              <w:rPr>
                <w:sz w:val="22"/>
                <w:szCs w:val="22"/>
              </w:rPr>
            </w:pPr>
            <w:r>
              <w:t>$45,543</w:t>
            </w:r>
          </w:p>
        </w:tc>
      </w:tr>
    </w:tbl>
    <w:p w:rsidR="005B25FC" w:rsidRDefault="008E37D2">
      <w:pPr>
        <w:pStyle w:val="Subsection"/>
      </w:pPr>
      <w:r>
        <w:tab/>
        <w:t>(2)</w:t>
      </w:r>
      <w:r>
        <w:tab/>
        <w:t>Paragraph 2 of Determination No. 8 of the Remuneration Tribunal dated 6 June 1986 shall be taken not to have applied in relation to the decision of the Australian Conciliation and Arbitration Commission given on 26 June 1986 in a National Wage Case.</w:t>
      </w:r>
    </w:p>
    <w:p w:rsidR="005B25FC" w:rsidRDefault="008E37D2">
      <w:pPr>
        <w:pStyle w:val="Subsection"/>
      </w:pPr>
      <w:r>
        <w:tab/>
        <w:t>(3)</w:t>
      </w:r>
      <w:r>
        <w:tab/>
        <w:t>The determination of the Remuneration Tribunal referred to in this section as modified by this section has effect as if it were a determination of the Remuneration Tribunal.</w:t>
      </w:r>
    </w:p>
    <w:p w:rsidR="005B25FC" w:rsidRDefault="008E37D2">
      <w:pPr>
        <w:pStyle w:val="Heading5"/>
      </w:pPr>
      <w:bookmarkStart w:id="7" w:name="_Toc426027976"/>
      <w:r>
        <w:rPr>
          <w:rStyle w:val="CharSectno"/>
        </w:rPr>
        <w:t>5</w:t>
      </w:r>
      <w:r>
        <w:t xml:space="preserve">  Entitlements of members of the Parliament</w:t>
      </w:r>
      <w:bookmarkEnd w:id="7"/>
    </w:p>
    <w:p w:rsidR="005B25FC" w:rsidRDefault="008E37D2">
      <w:pPr>
        <w:pStyle w:val="Subsection"/>
      </w:pPr>
      <w:r>
        <w:tab/>
        <w:t>(1)</w:t>
      </w:r>
      <w:r>
        <w:tab/>
        <w:t>Determination No. 11 of 1986 of the Remuneration Tribunal dated 6 June 1986 is modified:</w:t>
      </w:r>
    </w:p>
    <w:p w:rsidR="005B25FC" w:rsidRDefault="008E37D2">
      <w:pPr>
        <w:pStyle w:val="paragraph"/>
      </w:pPr>
      <w:r>
        <w:tab/>
        <w:t>(a)</w:t>
      </w:r>
      <w:r>
        <w:tab/>
        <w:t>by omitting paragraph 7.1;</w:t>
      </w:r>
    </w:p>
    <w:p w:rsidR="005B25FC" w:rsidRDefault="008E37D2">
      <w:pPr>
        <w:pStyle w:val="paragraph"/>
      </w:pPr>
      <w:r>
        <w:tab/>
        <w:t>(b)</w:t>
      </w:r>
      <w:r>
        <w:tab/>
        <w:t>by omitting from sub-subparagraph 7.2(d)(ii) ‘, or nominee as defined,’;</w:t>
      </w:r>
    </w:p>
    <w:p w:rsidR="005B25FC" w:rsidRDefault="008E37D2">
      <w:pPr>
        <w:pStyle w:val="paragraph"/>
      </w:pPr>
      <w:r>
        <w:tab/>
        <w:t>(c)</w:t>
      </w:r>
      <w:r>
        <w:tab/>
        <w:t>by omitting from sub-subparagraph 7.2(d)(iii) ‘, spouse, or nominee as defined,’ and substituting ‘or spouse’;</w:t>
      </w:r>
    </w:p>
    <w:p w:rsidR="005B25FC" w:rsidRDefault="008E37D2">
      <w:pPr>
        <w:pStyle w:val="paragraph"/>
      </w:pPr>
      <w:r>
        <w:tab/>
        <w:t>(d)</w:t>
      </w:r>
      <w:r>
        <w:tab/>
        <w:t>by omitting from subparagraph 7.3(c) ‘or nominee’; and</w:t>
      </w:r>
    </w:p>
    <w:p w:rsidR="005B25FC" w:rsidRDefault="008E37D2">
      <w:pPr>
        <w:pStyle w:val="paragraph"/>
      </w:pPr>
      <w:r>
        <w:tab/>
        <w:t>(e)</w:t>
      </w:r>
      <w:r>
        <w:tab/>
        <w:t>by omitting from paragraph 7.4 ‘or nominee’.</w:t>
      </w:r>
    </w:p>
    <w:p w:rsidR="005B25FC" w:rsidRDefault="008E37D2">
      <w:pPr>
        <w:pStyle w:val="Subsection"/>
      </w:pPr>
      <w:r>
        <w:tab/>
        <w:t>(2)</w:t>
      </w:r>
      <w:r>
        <w:tab/>
        <w:t>The determination of the Remuneration Tribunal referred to in this section as modified by this section has effect as if it were a determination of the Remuneration Tribunal.</w:t>
      </w:r>
    </w:p>
    <w:p w:rsidR="005B25FC" w:rsidRDefault="008E37D2">
      <w:pPr>
        <w:pStyle w:val="PageBreak"/>
      </w:pPr>
      <w:r>
        <w:br w:type="page"/>
      </w:r>
    </w:p>
    <w:p w:rsidR="005B25FC" w:rsidRDefault="008E37D2">
      <w:pPr>
        <w:pStyle w:val="Heading2"/>
      </w:pPr>
      <w:bookmarkStart w:id="8" w:name="_Toc426027977"/>
      <w:r>
        <w:rPr>
          <w:rStyle w:val="CharPartNo"/>
        </w:rPr>
        <w:lastRenderedPageBreak/>
        <w:t>Part III</w:t>
      </w:r>
      <w:r>
        <w:t>—</w:t>
      </w:r>
      <w:r>
        <w:rPr>
          <w:rStyle w:val="CharPartText"/>
        </w:rPr>
        <w:t>Amendments of the Judicial and Statutory Officers (Remuneration and Allowances) Act 1984</w:t>
      </w:r>
      <w:bookmarkEnd w:id="8"/>
    </w:p>
    <w:p w:rsidR="005B25FC" w:rsidRDefault="008E37D2">
      <w:pPr>
        <w:pStyle w:val="Header"/>
      </w:pPr>
      <w:r>
        <w:rPr>
          <w:rStyle w:val="CharDivNo"/>
        </w:rPr>
        <w:t xml:space="preserve"> </w:t>
      </w:r>
      <w:r>
        <w:rPr>
          <w:rStyle w:val="CharDivText"/>
        </w:rPr>
        <w:t xml:space="preserve"> </w:t>
      </w:r>
    </w:p>
    <w:p w:rsidR="005B25FC" w:rsidRDefault="008E37D2">
      <w:pPr>
        <w:pStyle w:val="Heading5"/>
      </w:pPr>
      <w:bookmarkStart w:id="9" w:name="_Toc426027978"/>
      <w:r>
        <w:rPr>
          <w:rStyle w:val="CharSectno"/>
        </w:rPr>
        <w:t>6</w:t>
      </w:r>
      <w:r>
        <w:t xml:space="preserve">  Principal Act</w:t>
      </w:r>
      <w:bookmarkEnd w:id="9"/>
    </w:p>
    <w:p w:rsidR="005B25FC" w:rsidRDefault="008E37D2">
      <w:pPr>
        <w:pStyle w:val="Subsection"/>
      </w:pPr>
      <w:r>
        <w:tab/>
      </w:r>
      <w:r>
        <w:tab/>
        <w:t xml:space="preserve">The </w:t>
      </w:r>
      <w:r>
        <w:rPr>
          <w:i/>
          <w:iCs/>
        </w:rPr>
        <w:t>Judicial and Statutory Officers (Remuneration and Allowances) Act 1984</w:t>
      </w:r>
      <w:r>
        <w:t xml:space="preserve"> is in this Part referred to as the Principal Act.</w:t>
      </w:r>
    </w:p>
    <w:p w:rsidR="005B25FC" w:rsidRDefault="008E37D2">
      <w:pPr>
        <w:pStyle w:val="Heading5"/>
      </w:pPr>
      <w:bookmarkStart w:id="10" w:name="_Toc426027979"/>
      <w:r>
        <w:rPr>
          <w:rStyle w:val="CharSectno"/>
        </w:rPr>
        <w:t>7</w:t>
      </w:r>
      <w:r>
        <w:t xml:space="preserve">  Salaries and expenses of office allowances</w:t>
      </w:r>
      <w:bookmarkEnd w:id="10"/>
    </w:p>
    <w:p w:rsidR="005B25FC" w:rsidRDefault="008E37D2">
      <w:pPr>
        <w:pStyle w:val="Subsection"/>
      </w:pPr>
      <w:r>
        <w:tab/>
        <w:t>(1)</w:t>
      </w:r>
      <w:r>
        <w:tab/>
        <w:t>Section 3 of the Principal Act is amended:</w:t>
      </w:r>
    </w:p>
    <w:p w:rsidR="005B25FC" w:rsidRDefault="008E37D2">
      <w:pPr>
        <w:pStyle w:val="paragraph"/>
      </w:pPr>
      <w:r>
        <w:tab/>
        <w:t>(a)</w:t>
      </w:r>
      <w:r>
        <w:tab/>
        <w:t>by omitting paragraphs (1)(a), (b) and (c) and substituting the following paragraphs:</w:t>
      </w:r>
    </w:p>
    <w:p w:rsidR="005B25FC" w:rsidRDefault="008E37D2">
      <w:pPr>
        <w:pStyle w:val="paragraphsub"/>
      </w:pPr>
      <w:r>
        <w:tab/>
        <w:t>‘(a)</w:t>
      </w:r>
      <w:r>
        <w:tab/>
        <w:t>the rate per annum of the salary applicable to the office on and after 1 July 1986 is the rate per annum specified in column 2 of the Schedule in relation to the office; and</w:t>
      </w:r>
    </w:p>
    <w:p w:rsidR="005B25FC" w:rsidRDefault="008E37D2">
      <w:pPr>
        <w:pStyle w:val="paragraphsub"/>
      </w:pPr>
      <w:r>
        <w:tab/>
        <w:t>(b)</w:t>
      </w:r>
      <w:r>
        <w:tab/>
        <w:t>the rate per annum of the expenses of office allowance applicable to the office is the rate per annum specified in column 3 of the Schedule in relation to the office.’;</w:t>
      </w:r>
    </w:p>
    <w:p w:rsidR="005B25FC" w:rsidRDefault="008E37D2">
      <w:pPr>
        <w:pStyle w:val="paragraph"/>
      </w:pPr>
      <w:r>
        <w:tab/>
        <w:t>(b)</w:t>
      </w:r>
      <w:r>
        <w:tab/>
        <w:t>by omitting from subsection (2) ‘3’ and substituting ‘2’;</w:t>
      </w:r>
    </w:p>
    <w:p w:rsidR="005B25FC" w:rsidRDefault="008E37D2">
      <w:pPr>
        <w:pStyle w:val="paragraph"/>
      </w:pPr>
      <w:r>
        <w:tab/>
        <w:t>(c)</w:t>
      </w:r>
      <w:r>
        <w:tab/>
        <w:t>by omitting from subsections (5) and (6) ‘$564’ and substituting ‘$616’; and</w:t>
      </w:r>
    </w:p>
    <w:p w:rsidR="005B25FC" w:rsidRDefault="008E37D2">
      <w:pPr>
        <w:pStyle w:val="paragraph"/>
      </w:pPr>
      <w:r>
        <w:tab/>
        <w:t>(d)</w:t>
      </w:r>
      <w:r>
        <w:tab/>
        <w:t>by omitting from paragraph (8)(b) ‘$1,984’ and substituting ‘$2,167’.</w:t>
      </w:r>
    </w:p>
    <w:p w:rsidR="005B25FC" w:rsidRDefault="008E37D2">
      <w:pPr>
        <w:pStyle w:val="Subsection"/>
      </w:pPr>
      <w:r>
        <w:tab/>
        <w:t>(2)</w:t>
      </w:r>
      <w:r>
        <w:tab/>
        <w:t>Subsection 3(2) of the Principal Act shall be taken not to have applied in relation to the decision of the Australian Conciliation and Arbitration Commission given on 26 June 1986 in a National Wage Case.</w:t>
      </w:r>
    </w:p>
    <w:p w:rsidR="005B25FC" w:rsidRDefault="008E37D2">
      <w:pPr>
        <w:pStyle w:val="Heading5"/>
      </w:pPr>
      <w:bookmarkStart w:id="11" w:name="_Toc426027980"/>
      <w:r>
        <w:rPr>
          <w:rStyle w:val="CharSectno"/>
        </w:rPr>
        <w:t>8</w:t>
      </w:r>
      <w:r>
        <w:t xml:space="preserve">  Travelling allowances payable to Justices of the High Court</w:t>
      </w:r>
      <w:bookmarkEnd w:id="11"/>
    </w:p>
    <w:p w:rsidR="005B25FC" w:rsidRDefault="008E37D2">
      <w:pPr>
        <w:pStyle w:val="Subsection"/>
      </w:pPr>
      <w:r>
        <w:tab/>
      </w:r>
      <w:r>
        <w:tab/>
        <w:t>Section 4 of the Principal Act is amended:</w:t>
      </w:r>
    </w:p>
    <w:p w:rsidR="005B25FC" w:rsidRDefault="008E37D2">
      <w:pPr>
        <w:pStyle w:val="paragraph"/>
      </w:pPr>
      <w:r>
        <w:tab/>
        <w:t>(a)</w:t>
      </w:r>
      <w:r>
        <w:tab/>
        <w:t>by omitting from sub-subparagraph (4)(a)(i)(A) ‘$155’ and substituting ‘$165’; and</w:t>
      </w:r>
    </w:p>
    <w:p w:rsidR="005B25FC" w:rsidRDefault="008E37D2">
      <w:pPr>
        <w:pStyle w:val="paragraph"/>
      </w:pPr>
      <w:r>
        <w:tab/>
        <w:t>(b)</w:t>
      </w:r>
      <w:r>
        <w:tab/>
        <w:t>by omitting from sub-subparagraph (4)(a)(i)(B) ‘$110’ and substituting ‘$115’.</w:t>
      </w:r>
    </w:p>
    <w:p w:rsidR="005B25FC" w:rsidRDefault="008E37D2">
      <w:pPr>
        <w:pStyle w:val="Heading5"/>
      </w:pPr>
      <w:bookmarkStart w:id="12" w:name="_Toc426027981"/>
      <w:r>
        <w:rPr>
          <w:rStyle w:val="CharSectno"/>
        </w:rPr>
        <w:lastRenderedPageBreak/>
        <w:t>9</w:t>
      </w:r>
      <w:r>
        <w:t xml:space="preserve">  Additional allowance payable to certain Justices of the High Court</w:t>
      </w:r>
      <w:bookmarkEnd w:id="12"/>
    </w:p>
    <w:p w:rsidR="005B25FC" w:rsidRDefault="008E37D2">
      <w:pPr>
        <w:pStyle w:val="Subsection"/>
      </w:pPr>
      <w:r>
        <w:tab/>
      </w:r>
      <w:r>
        <w:tab/>
        <w:t>Section 5 of the Principal Act is amended by omitting from subsection (1) ‘$10,640’ and substituting ‘$11,715’.</w:t>
      </w:r>
    </w:p>
    <w:p w:rsidR="005B25FC" w:rsidRDefault="008E37D2">
      <w:pPr>
        <w:pStyle w:val="Heading5"/>
      </w:pPr>
      <w:bookmarkStart w:id="13" w:name="_Toc426027982"/>
      <w:r>
        <w:rPr>
          <w:rStyle w:val="CharSectno"/>
        </w:rPr>
        <w:t>10</w:t>
      </w:r>
      <w:r>
        <w:t xml:space="preserve">  Travelling allowances payable to holders of certain offices</w:t>
      </w:r>
      <w:bookmarkEnd w:id="13"/>
    </w:p>
    <w:p w:rsidR="005B25FC" w:rsidRDefault="008E37D2">
      <w:pPr>
        <w:pStyle w:val="Subsection"/>
      </w:pPr>
      <w:r>
        <w:tab/>
      </w:r>
      <w:r>
        <w:tab/>
        <w:t>Section 6 of the Principal Act is amended:</w:t>
      </w:r>
    </w:p>
    <w:p w:rsidR="005B25FC" w:rsidRDefault="008E37D2">
      <w:pPr>
        <w:pStyle w:val="paragraph"/>
      </w:pPr>
      <w:r>
        <w:tab/>
        <w:t>(a)</w:t>
      </w:r>
      <w:r>
        <w:tab/>
        <w:t>by omitting from sub-subparagraph (4)(a)(i)(A) ‘$140’ and substituting ‘$145’; and</w:t>
      </w:r>
    </w:p>
    <w:p w:rsidR="005B25FC" w:rsidRDefault="008E37D2">
      <w:pPr>
        <w:pStyle w:val="paragraph"/>
      </w:pPr>
      <w:r>
        <w:tab/>
        <w:t>(b)</w:t>
      </w:r>
      <w:r>
        <w:tab/>
        <w:t>by omitting from sub-subparagraph (4)(a)(i)(B) ‘$105’ and substituting ‘$110’.</w:t>
      </w:r>
    </w:p>
    <w:p w:rsidR="005B25FC" w:rsidRDefault="008E37D2">
      <w:pPr>
        <w:pStyle w:val="Heading5"/>
      </w:pPr>
      <w:bookmarkStart w:id="14" w:name="_Toc426027983"/>
      <w:r>
        <w:rPr>
          <w:rStyle w:val="CharSectno"/>
        </w:rPr>
        <w:t>11</w:t>
      </w:r>
      <w:r>
        <w:t xml:space="preserve">  Travelling allowances payable to members of the Inter-State Commission</w:t>
      </w:r>
      <w:bookmarkEnd w:id="14"/>
    </w:p>
    <w:p w:rsidR="005B25FC" w:rsidRDefault="008E37D2">
      <w:pPr>
        <w:pStyle w:val="Subsection"/>
      </w:pPr>
      <w:r>
        <w:tab/>
      </w:r>
      <w:r>
        <w:tab/>
        <w:t>Section 6A of the Principal Act is amended:</w:t>
      </w:r>
    </w:p>
    <w:p w:rsidR="005B25FC" w:rsidRDefault="008E37D2">
      <w:pPr>
        <w:pStyle w:val="paragraph"/>
      </w:pPr>
      <w:r>
        <w:tab/>
        <w:t>(a)</w:t>
      </w:r>
      <w:r>
        <w:tab/>
        <w:t>by omitting from subparagraphs (2)(a)(i) and (b)(i) ‘$95’ and substituting ‘$100’;</w:t>
      </w:r>
    </w:p>
    <w:p w:rsidR="005B25FC" w:rsidRDefault="008E37D2">
      <w:pPr>
        <w:pStyle w:val="paragraph"/>
      </w:pPr>
      <w:r>
        <w:tab/>
        <w:t>(b)</w:t>
      </w:r>
      <w:r>
        <w:tab/>
        <w:t>by omitting from subparagraph (2)(a)(ii) ‘$140’ and substituting ‘$145’;</w:t>
      </w:r>
    </w:p>
    <w:p w:rsidR="005B25FC" w:rsidRDefault="008E37D2">
      <w:pPr>
        <w:pStyle w:val="paragraph"/>
      </w:pPr>
      <w:r>
        <w:tab/>
        <w:t>(c)</w:t>
      </w:r>
      <w:r>
        <w:tab/>
        <w:t>by omitting from subparagraph (2)(a)(iii) ‘$105’ and substituting ‘$110’;</w:t>
      </w:r>
    </w:p>
    <w:p w:rsidR="005B25FC" w:rsidRDefault="008E37D2">
      <w:pPr>
        <w:pStyle w:val="paragraph"/>
      </w:pPr>
      <w:r>
        <w:tab/>
        <w:t>(d)</w:t>
      </w:r>
      <w:r>
        <w:tab/>
        <w:t>by omitting from subparagraph (2)(b)(ii) ‘$110’ and substituting ‘$115’; and</w:t>
      </w:r>
    </w:p>
    <w:p w:rsidR="005B25FC" w:rsidRDefault="008E37D2">
      <w:pPr>
        <w:pStyle w:val="paragraph"/>
      </w:pPr>
      <w:r>
        <w:tab/>
        <w:t>(e)</w:t>
      </w:r>
      <w:r>
        <w:tab/>
        <w:t>by omitting from subparagraph (2)(b)(iii) ‘$85’ and substituting ‘$89’.</w:t>
      </w:r>
    </w:p>
    <w:p w:rsidR="005B25FC" w:rsidRDefault="008E37D2">
      <w:pPr>
        <w:pStyle w:val="Heading5"/>
      </w:pPr>
      <w:bookmarkStart w:id="15" w:name="_Toc426027984"/>
      <w:r>
        <w:rPr>
          <w:rStyle w:val="CharSectno"/>
        </w:rPr>
        <w:t>12</w:t>
      </w:r>
      <w:r>
        <w:t xml:space="preserve">  Allowance payable to Solicitor-General</w:t>
      </w:r>
      <w:bookmarkEnd w:id="15"/>
    </w:p>
    <w:p w:rsidR="005B25FC" w:rsidRDefault="008E37D2">
      <w:pPr>
        <w:pStyle w:val="Subsection"/>
      </w:pPr>
      <w:r>
        <w:tab/>
        <w:t>(1)</w:t>
      </w:r>
      <w:r>
        <w:tab/>
        <w:t>Section 7 of the Principal Act is amended by omitting from subsection (1) ‘at the rate of $10,640 per annum’ and substituting ‘at such rate as is determined by the Remuneration Tribunal’.</w:t>
      </w:r>
    </w:p>
    <w:p w:rsidR="005B25FC" w:rsidRDefault="008E37D2">
      <w:pPr>
        <w:pStyle w:val="Subsection"/>
      </w:pPr>
      <w:r>
        <w:tab/>
        <w:t>(2)</w:t>
      </w:r>
      <w:r>
        <w:tab/>
        <w:t>If no determination made after the commencement of this section by the Remuneration Tribunal is in force for the purposes of subsection 7(1) of the Principal Act as amended by this Act, the rate of the allowance payable by virtue of that subsection shall be $11,715 per annum.</w:t>
      </w:r>
    </w:p>
    <w:p w:rsidR="005B25FC" w:rsidRDefault="008E37D2">
      <w:pPr>
        <w:pStyle w:val="Heading5"/>
      </w:pPr>
      <w:bookmarkStart w:id="16" w:name="_Toc426027985"/>
      <w:r>
        <w:rPr>
          <w:rStyle w:val="CharSectno"/>
        </w:rPr>
        <w:lastRenderedPageBreak/>
        <w:t>13</w:t>
      </w:r>
      <w:r>
        <w:t xml:space="preserve">  Schedule</w:t>
      </w:r>
      <w:bookmarkEnd w:id="16"/>
    </w:p>
    <w:p w:rsidR="005B25FC" w:rsidRDefault="008E37D2">
      <w:pPr>
        <w:pStyle w:val="Subsection"/>
      </w:pPr>
      <w:r>
        <w:tab/>
      </w:r>
      <w:r>
        <w:tab/>
        <w:t>The Schedule to the Principal Act is repealed and the following Schedule is substituted:</w:t>
      </w:r>
    </w:p>
    <w:p w:rsidR="005B25FC" w:rsidRPr="00814B9C" w:rsidRDefault="008E37D2" w:rsidP="00814B9C">
      <w:pPr>
        <w:spacing w:before="240"/>
        <w:rPr>
          <w:b/>
          <w:sz w:val="36"/>
          <w:szCs w:val="36"/>
        </w:rPr>
      </w:pPr>
      <w:r w:rsidRPr="00814B9C">
        <w:rPr>
          <w:b/>
          <w:sz w:val="36"/>
          <w:szCs w:val="36"/>
        </w:rPr>
        <w:t xml:space="preserve">‘Schedule  </w:t>
      </w:r>
    </w:p>
    <w:p w:rsidR="005B25FC" w:rsidRDefault="008E37D2">
      <w:pPr>
        <w:pStyle w:val="notemargin"/>
      </w:pPr>
      <w:r>
        <w:t>Subsection 3(1)</w:t>
      </w:r>
    </w:p>
    <w:p w:rsidR="005B25FC" w:rsidRDefault="005B25FC">
      <w:pPr>
        <w:pStyle w:val="Subsection"/>
      </w:pPr>
    </w:p>
    <w:tbl>
      <w:tblPr>
        <w:tblW w:w="0" w:type="auto"/>
        <w:tblInd w:w="108" w:type="dxa"/>
        <w:tblLayout w:type="fixed"/>
        <w:tblLook w:val="0000" w:firstRow="0" w:lastRow="0" w:firstColumn="0" w:lastColumn="0" w:noHBand="0" w:noVBand="0"/>
      </w:tblPr>
      <w:tblGrid>
        <w:gridCol w:w="4680"/>
        <w:gridCol w:w="1260"/>
        <w:gridCol w:w="1260"/>
      </w:tblGrid>
      <w:tr w:rsidR="005B25FC">
        <w:trPr>
          <w:cantSplit/>
          <w:tblHeader/>
        </w:trPr>
        <w:tc>
          <w:tcPr>
            <w:tcW w:w="4680" w:type="dxa"/>
            <w:tcBorders>
              <w:top w:val="single" w:sz="4" w:space="0" w:color="auto"/>
              <w:left w:val="nil"/>
              <w:bottom w:val="single" w:sz="4" w:space="0" w:color="auto"/>
              <w:right w:val="nil"/>
            </w:tcBorders>
          </w:tcPr>
          <w:p w:rsidR="005B25FC" w:rsidRDefault="008E37D2">
            <w:pPr>
              <w:pStyle w:val="Tabletext"/>
              <w:keepNext/>
            </w:pPr>
            <w:r>
              <w:t>Column 1</w:t>
            </w:r>
          </w:p>
        </w:tc>
        <w:tc>
          <w:tcPr>
            <w:tcW w:w="1260" w:type="dxa"/>
            <w:tcBorders>
              <w:top w:val="single" w:sz="4" w:space="0" w:color="auto"/>
              <w:left w:val="nil"/>
              <w:bottom w:val="single" w:sz="4" w:space="0" w:color="auto"/>
              <w:right w:val="nil"/>
            </w:tcBorders>
          </w:tcPr>
          <w:p w:rsidR="005B25FC" w:rsidRDefault="008E37D2">
            <w:pPr>
              <w:pStyle w:val="Tabletext"/>
              <w:keepNext/>
              <w:jc w:val="right"/>
            </w:pPr>
            <w:r>
              <w:t>Column 2</w:t>
            </w:r>
            <w:r>
              <w:br/>
            </w:r>
            <w:r>
              <w:br/>
            </w:r>
            <w:r>
              <w:br/>
            </w:r>
            <w:r>
              <w:br/>
            </w:r>
            <w:r>
              <w:br/>
              <w:t>Rate per annum of salary</w:t>
            </w:r>
          </w:p>
        </w:tc>
        <w:tc>
          <w:tcPr>
            <w:tcW w:w="1260" w:type="dxa"/>
            <w:tcBorders>
              <w:top w:val="single" w:sz="4" w:space="0" w:color="auto"/>
              <w:left w:val="nil"/>
              <w:bottom w:val="single" w:sz="4" w:space="0" w:color="auto"/>
              <w:right w:val="nil"/>
            </w:tcBorders>
          </w:tcPr>
          <w:p w:rsidR="005B25FC" w:rsidRDefault="008E37D2">
            <w:pPr>
              <w:pStyle w:val="Tabletext"/>
              <w:keepNext/>
              <w:jc w:val="right"/>
            </w:pPr>
            <w:r>
              <w:t>Column 3</w:t>
            </w:r>
            <w:r>
              <w:br/>
            </w:r>
            <w:r>
              <w:br/>
            </w:r>
            <w:r>
              <w:br/>
              <w:t>Rate per annum of expenses of office allowance</w:t>
            </w:r>
          </w:p>
        </w:tc>
      </w:tr>
      <w:tr w:rsidR="005B25FC">
        <w:trPr>
          <w:cantSplit/>
          <w:tblHeader/>
        </w:trPr>
        <w:tc>
          <w:tcPr>
            <w:tcW w:w="4680" w:type="dxa"/>
            <w:tcBorders>
              <w:top w:val="single" w:sz="4" w:space="0" w:color="auto"/>
              <w:left w:val="nil"/>
              <w:bottom w:val="nil"/>
              <w:right w:val="nil"/>
            </w:tcBorders>
          </w:tcPr>
          <w:p w:rsidR="005B25FC" w:rsidRDefault="005B25FC">
            <w:pPr>
              <w:pStyle w:val="Tabletext"/>
            </w:pPr>
          </w:p>
        </w:tc>
        <w:tc>
          <w:tcPr>
            <w:tcW w:w="1260" w:type="dxa"/>
            <w:tcBorders>
              <w:top w:val="single" w:sz="4" w:space="0" w:color="auto"/>
              <w:left w:val="nil"/>
              <w:bottom w:val="nil"/>
              <w:right w:val="nil"/>
            </w:tcBorders>
          </w:tcPr>
          <w:p w:rsidR="005B25FC" w:rsidRDefault="008E37D2">
            <w:pPr>
              <w:pStyle w:val="Tabletext"/>
              <w:jc w:val="center"/>
            </w:pPr>
            <w:r>
              <w:t>$</w:t>
            </w:r>
          </w:p>
        </w:tc>
        <w:tc>
          <w:tcPr>
            <w:tcW w:w="1260" w:type="dxa"/>
            <w:tcBorders>
              <w:top w:val="single" w:sz="4" w:space="0" w:color="auto"/>
              <w:left w:val="nil"/>
              <w:bottom w:val="nil"/>
              <w:right w:val="nil"/>
            </w:tcBorders>
          </w:tcPr>
          <w:p w:rsidR="005B25FC" w:rsidRDefault="008E37D2">
            <w:pPr>
              <w:pStyle w:val="Tabletext"/>
              <w:jc w:val="center"/>
            </w:pPr>
            <w:r>
              <w:t>$</w:t>
            </w:r>
          </w:p>
        </w:tc>
      </w:tr>
      <w:tr w:rsidR="005B25FC">
        <w:trPr>
          <w:cantSplit/>
        </w:trPr>
        <w:tc>
          <w:tcPr>
            <w:tcW w:w="4680" w:type="dxa"/>
            <w:tcBorders>
              <w:top w:val="nil"/>
              <w:left w:val="nil"/>
              <w:bottom w:val="nil"/>
              <w:right w:val="nil"/>
            </w:tcBorders>
          </w:tcPr>
          <w:p w:rsidR="005B25FC" w:rsidRDefault="008E37D2">
            <w:pPr>
              <w:pStyle w:val="Tabletext"/>
              <w:jc w:val="center"/>
            </w:pPr>
            <w:r>
              <w:t>PART I</w:t>
            </w:r>
          </w:p>
        </w:tc>
        <w:tc>
          <w:tcPr>
            <w:tcW w:w="1260" w:type="dxa"/>
            <w:tcBorders>
              <w:top w:val="nil"/>
              <w:left w:val="nil"/>
              <w:bottom w:val="nil"/>
              <w:right w:val="nil"/>
            </w:tcBorders>
          </w:tcPr>
          <w:p w:rsidR="005B25FC" w:rsidRDefault="005B25FC">
            <w:pPr>
              <w:pStyle w:val="Tabletext"/>
              <w:jc w:val="center"/>
            </w:pPr>
          </w:p>
        </w:tc>
        <w:tc>
          <w:tcPr>
            <w:tcW w:w="1260" w:type="dxa"/>
            <w:tcBorders>
              <w:top w:val="nil"/>
              <w:left w:val="nil"/>
              <w:bottom w:val="nil"/>
              <w:right w:val="nil"/>
            </w:tcBorders>
          </w:tcPr>
          <w:p w:rsidR="005B25FC" w:rsidRDefault="005B25FC">
            <w:pPr>
              <w:pStyle w:val="Tabletext"/>
              <w:jc w:val="center"/>
            </w:pP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Chief Justice of the High Court </w:t>
            </w:r>
            <w:r>
              <w:tab/>
            </w:r>
          </w:p>
        </w:tc>
        <w:tc>
          <w:tcPr>
            <w:tcW w:w="1260" w:type="dxa"/>
            <w:tcBorders>
              <w:top w:val="nil"/>
              <w:left w:val="nil"/>
              <w:bottom w:val="nil"/>
              <w:right w:val="nil"/>
            </w:tcBorders>
          </w:tcPr>
          <w:p w:rsidR="005B25FC" w:rsidRDefault="008E37D2">
            <w:pPr>
              <w:pStyle w:val="Tabletext"/>
              <w:jc w:val="center"/>
            </w:pPr>
            <w:r>
              <w:t>122,883</w:t>
            </w:r>
          </w:p>
        </w:tc>
        <w:tc>
          <w:tcPr>
            <w:tcW w:w="1260" w:type="dxa"/>
            <w:tcBorders>
              <w:top w:val="nil"/>
              <w:left w:val="nil"/>
              <w:bottom w:val="nil"/>
              <w:right w:val="nil"/>
            </w:tcBorders>
          </w:tcPr>
          <w:p w:rsidR="005B25FC" w:rsidRDefault="008E37D2">
            <w:pPr>
              <w:pStyle w:val="Tabletext"/>
              <w:jc w:val="center"/>
            </w:pPr>
            <w:r>
              <w:t>6,191</w:t>
            </w: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Justice (other than Chief Justice) of the High Court </w:t>
            </w:r>
            <w:r>
              <w:tab/>
            </w:r>
          </w:p>
        </w:tc>
        <w:tc>
          <w:tcPr>
            <w:tcW w:w="1260" w:type="dxa"/>
            <w:tcBorders>
              <w:top w:val="nil"/>
              <w:left w:val="nil"/>
              <w:bottom w:val="nil"/>
              <w:right w:val="nil"/>
            </w:tcBorders>
          </w:tcPr>
          <w:p w:rsidR="005B25FC" w:rsidRDefault="008E37D2">
            <w:pPr>
              <w:pStyle w:val="Tabletext"/>
              <w:jc w:val="center"/>
            </w:pPr>
            <w:r>
              <w:t>111,652</w:t>
            </w:r>
          </w:p>
        </w:tc>
        <w:tc>
          <w:tcPr>
            <w:tcW w:w="1260" w:type="dxa"/>
            <w:tcBorders>
              <w:top w:val="nil"/>
              <w:left w:val="nil"/>
              <w:bottom w:val="nil"/>
              <w:right w:val="nil"/>
            </w:tcBorders>
          </w:tcPr>
          <w:p w:rsidR="005B25FC" w:rsidRDefault="008E37D2">
            <w:pPr>
              <w:pStyle w:val="Tabletext"/>
              <w:jc w:val="center"/>
            </w:pPr>
            <w:r>
              <w:t>5,569</w:t>
            </w:r>
          </w:p>
        </w:tc>
      </w:tr>
      <w:tr w:rsidR="005B25FC">
        <w:trPr>
          <w:cantSplit/>
        </w:trPr>
        <w:tc>
          <w:tcPr>
            <w:tcW w:w="4680" w:type="dxa"/>
            <w:tcBorders>
              <w:top w:val="nil"/>
              <w:left w:val="nil"/>
              <w:bottom w:val="nil"/>
              <w:right w:val="nil"/>
            </w:tcBorders>
          </w:tcPr>
          <w:p w:rsidR="005B25FC" w:rsidRDefault="008E37D2">
            <w:pPr>
              <w:pStyle w:val="Tabletext"/>
              <w:jc w:val="center"/>
            </w:pPr>
            <w:r>
              <w:t>PART II</w:t>
            </w:r>
          </w:p>
        </w:tc>
        <w:tc>
          <w:tcPr>
            <w:tcW w:w="1260" w:type="dxa"/>
            <w:tcBorders>
              <w:top w:val="nil"/>
              <w:left w:val="nil"/>
              <w:bottom w:val="nil"/>
              <w:right w:val="nil"/>
            </w:tcBorders>
          </w:tcPr>
          <w:p w:rsidR="005B25FC" w:rsidRDefault="005B25FC">
            <w:pPr>
              <w:pStyle w:val="Tabletext"/>
              <w:jc w:val="center"/>
            </w:pPr>
          </w:p>
        </w:tc>
        <w:tc>
          <w:tcPr>
            <w:tcW w:w="1260" w:type="dxa"/>
            <w:tcBorders>
              <w:top w:val="nil"/>
              <w:left w:val="nil"/>
              <w:bottom w:val="nil"/>
              <w:right w:val="nil"/>
            </w:tcBorders>
          </w:tcPr>
          <w:p w:rsidR="005B25FC" w:rsidRDefault="005B25FC">
            <w:pPr>
              <w:pStyle w:val="Tabletext"/>
              <w:jc w:val="center"/>
            </w:pP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Chief Judge of the Federal Court of Australia </w:t>
            </w:r>
            <w:r>
              <w:tab/>
            </w:r>
          </w:p>
        </w:tc>
        <w:tc>
          <w:tcPr>
            <w:tcW w:w="1260" w:type="dxa"/>
            <w:tcBorders>
              <w:top w:val="nil"/>
              <w:left w:val="nil"/>
              <w:bottom w:val="nil"/>
              <w:right w:val="nil"/>
            </w:tcBorders>
          </w:tcPr>
          <w:p w:rsidR="005B25FC" w:rsidRDefault="008E37D2">
            <w:pPr>
              <w:pStyle w:val="Tabletext"/>
              <w:jc w:val="center"/>
            </w:pPr>
            <w:r>
              <w:t>103,064</w:t>
            </w:r>
          </w:p>
        </w:tc>
        <w:tc>
          <w:tcPr>
            <w:tcW w:w="1260" w:type="dxa"/>
            <w:tcBorders>
              <w:top w:val="nil"/>
              <w:left w:val="nil"/>
              <w:bottom w:val="nil"/>
              <w:right w:val="nil"/>
            </w:tcBorders>
          </w:tcPr>
          <w:p w:rsidR="005B25FC" w:rsidRDefault="008E37D2">
            <w:pPr>
              <w:pStyle w:val="Tabletext"/>
              <w:jc w:val="center"/>
            </w:pPr>
            <w:r>
              <w:t>5,569</w:t>
            </w: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Chief Justice of the Supreme Court of the Australian Capital Territory </w:t>
            </w:r>
            <w:r>
              <w:tab/>
            </w:r>
          </w:p>
        </w:tc>
        <w:tc>
          <w:tcPr>
            <w:tcW w:w="1260" w:type="dxa"/>
            <w:tcBorders>
              <w:top w:val="nil"/>
              <w:left w:val="nil"/>
              <w:bottom w:val="nil"/>
              <w:right w:val="nil"/>
            </w:tcBorders>
          </w:tcPr>
          <w:p w:rsidR="005B25FC" w:rsidRDefault="008E37D2">
            <w:pPr>
              <w:pStyle w:val="Tabletext"/>
              <w:jc w:val="center"/>
            </w:pPr>
            <w:r>
              <w:br/>
              <w:t>97,117</w:t>
            </w:r>
          </w:p>
        </w:tc>
        <w:tc>
          <w:tcPr>
            <w:tcW w:w="1260" w:type="dxa"/>
            <w:tcBorders>
              <w:top w:val="nil"/>
              <w:left w:val="nil"/>
              <w:bottom w:val="nil"/>
              <w:right w:val="nil"/>
            </w:tcBorders>
          </w:tcPr>
          <w:p w:rsidR="005B25FC" w:rsidRDefault="008E37D2">
            <w:pPr>
              <w:pStyle w:val="Tabletext"/>
              <w:jc w:val="center"/>
            </w:pPr>
            <w:r>
              <w:br/>
              <w:t>5,569</w:t>
            </w: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Chief Judge of the Family Court of Australia </w:t>
            </w:r>
            <w:r>
              <w:tab/>
            </w:r>
          </w:p>
        </w:tc>
        <w:tc>
          <w:tcPr>
            <w:tcW w:w="1260" w:type="dxa"/>
            <w:tcBorders>
              <w:top w:val="nil"/>
              <w:left w:val="nil"/>
              <w:bottom w:val="nil"/>
              <w:right w:val="nil"/>
            </w:tcBorders>
          </w:tcPr>
          <w:p w:rsidR="005B25FC" w:rsidRDefault="008E37D2">
            <w:pPr>
              <w:pStyle w:val="Tabletext"/>
              <w:jc w:val="center"/>
            </w:pPr>
            <w:r>
              <w:t>94,476</w:t>
            </w:r>
          </w:p>
        </w:tc>
        <w:tc>
          <w:tcPr>
            <w:tcW w:w="1260" w:type="dxa"/>
            <w:tcBorders>
              <w:top w:val="nil"/>
              <w:left w:val="nil"/>
              <w:bottom w:val="nil"/>
              <w:right w:val="nil"/>
            </w:tcBorders>
          </w:tcPr>
          <w:p w:rsidR="005B25FC" w:rsidRDefault="008E37D2">
            <w:pPr>
              <w:pStyle w:val="Tabletext"/>
              <w:jc w:val="center"/>
            </w:pPr>
            <w:r>
              <w:t>5,569</w:t>
            </w: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Chairman of the Commonwealth Grants Commission </w:t>
            </w:r>
            <w:r>
              <w:tab/>
            </w:r>
          </w:p>
        </w:tc>
        <w:tc>
          <w:tcPr>
            <w:tcW w:w="1260" w:type="dxa"/>
            <w:tcBorders>
              <w:top w:val="nil"/>
              <w:left w:val="nil"/>
              <w:bottom w:val="nil"/>
              <w:right w:val="nil"/>
            </w:tcBorders>
          </w:tcPr>
          <w:p w:rsidR="005B25FC" w:rsidRDefault="008E37D2">
            <w:pPr>
              <w:pStyle w:val="Tabletext"/>
              <w:jc w:val="center"/>
            </w:pPr>
            <w:r>
              <w:t>94,476</w:t>
            </w:r>
          </w:p>
        </w:tc>
        <w:tc>
          <w:tcPr>
            <w:tcW w:w="1260" w:type="dxa"/>
            <w:tcBorders>
              <w:top w:val="nil"/>
              <w:left w:val="nil"/>
              <w:bottom w:val="nil"/>
              <w:right w:val="nil"/>
            </w:tcBorders>
          </w:tcPr>
          <w:p w:rsidR="005B25FC" w:rsidRDefault="008E37D2">
            <w:pPr>
              <w:pStyle w:val="Tabletext"/>
              <w:jc w:val="center"/>
            </w:pPr>
            <w:r>
              <w:t>5,569</w:t>
            </w: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Judge (other than the Chief Judge) of the Federal Court of Australia </w:t>
            </w:r>
            <w:r>
              <w:tab/>
            </w:r>
          </w:p>
        </w:tc>
        <w:tc>
          <w:tcPr>
            <w:tcW w:w="1260" w:type="dxa"/>
            <w:tcBorders>
              <w:top w:val="nil"/>
              <w:left w:val="nil"/>
              <w:bottom w:val="nil"/>
              <w:right w:val="nil"/>
            </w:tcBorders>
          </w:tcPr>
          <w:p w:rsidR="005B25FC" w:rsidRDefault="008E37D2">
            <w:pPr>
              <w:pStyle w:val="Tabletext"/>
              <w:jc w:val="center"/>
            </w:pPr>
            <w:r>
              <w:br/>
              <w:t>94,476</w:t>
            </w:r>
          </w:p>
        </w:tc>
        <w:tc>
          <w:tcPr>
            <w:tcW w:w="1260" w:type="dxa"/>
            <w:tcBorders>
              <w:top w:val="nil"/>
              <w:left w:val="nil"/>
              <w:bottom w:val="nil"/>
              <w:right w:val="nil"/>
            </w:tcBorders>
          </w:tcPr>
          <w:p w:rsidR="005B25FC" w:rsidRDefault="008E37D2">
            <w:pPr>
              <w:pStyle w:val="Tabletext"/>
              <w:jc w:val="center"/>
            </w:pPr>
            <w:r>
              <w:br/>
              <w:t>4,953</w:t>
            </w: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Judge (other than the Chief Justice) of the Supreme Court of the Australian Capital Territory </w:t>
            </w:r>
            <w:r>
              <w:tab/>
            </w:r>
          </w:p>
        </w:tc>
        <w:tc>
          <w:tcPr>
            <w:tcW w:w="1260" w:type="dxa"/>
            <w:tcBorders>
              <w:top w:val="nil"/>
              <w:left w:val="nil"/>
              <w:bottom w:val="nil"/>
              <w:right w:val="nil"/>
            </w:tcBorders>
          </w:tcPr>
          <w:p w:rsidR="005B25FC" w:rsidRDefault="008E37D2">
            <w:pPr>
              <w:pStyle w:val="Tabletext"/>
              <w:jc w:val="center"/>
            </w:pPr>
            <w:r>
              <w:br/>
              <w:t>94,476</w:t>
            </w:r>
          </w:p>
        </w:tc>
        <w:tc>
          <w:tcPr>
            <w:tcW w:w="1260" w:type="dxa"/>
            <w:tcBorders>
              <w:top w:val="nil"/>
              <w:left w:val="nil"/>
              <w:bottom w:val="nil"/>
              <w:right w:val="nil"/>
            </w:tcBorders>
          </w:tcPr>
          <w:p w:rsidR="005B25FC" w:rsidRDefault="008E37D2">
            <w:pPr>
              <w:pStyle w:val="Tabletext"/>
              <w:jc w:val="center"/>
            </w:pPr>
            <w:r>
              <w:br/>
              <w:t>4,953</w:t>
            </w: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President of the Inter-State Commission </w:t>
            </w:r>
            <w:r>
              <w:tab/>
            </w:r>
          </w:p>
        </w:tc>
        <w:tc>
          <w:tcPr>
            <w:tcW w:w="1260" w:type="dxa"/>
            <w:tcBorders>
              <w:top w:val="nil"/>
              <w:left w:val="nil"/>
              <w:bottom w:val="nil"/>
              <w:right w:val="nil"/>
            </w:tcBorders>
          </w:tcPr>
          <w:p w:rsidR="005B25FC" w:rsidRDefault="008E37D2">
            <w:pPr>
              <w:pStyle w:val="Tabletext"/>
              <w:jc w:val="center"/>
            </w:pPr>
            <w:r>
              <w:t>94,476</w:t>
            </w:r>
          </w:p>
        </w:tc>
        <w:tc>
          <w:tcPr>
            <w:tcW w:w="1260" w:type="dxa"/>
            <w:tcBorders>
              <w:top w:val="nil"/>
              <w:left w:val="nil"/>
              <w:bottom w:val="nil"/>
              <w:right w:val="nil"/>
            </w:tcBorders>
          </w:tcPr>
          <w:p w:rsidR="005B25FC" w:rsidRDefault="008E37D2">
            <w:pPr>
              <w:pStyle w:val="Tabletext"/>
              <w:jc w:val="center"/>
            </w:pPr>
            <w:r>
              <w:t>4,953</w:t>
            </w:r>
          </w:p>
        </w:tc>
      </w:tr>
      <w:tr w:rsidR="005B25FC">
        <w:trPr>
          <w:cantSplit/>
        </w:trPr>
        <w:tc>
          <w:tcPr>
            <w:tcW w:w="4680" w:type="dxa"/>
            <w:tcBorders>
              <w:top w:val="nil"/>
              <w:left w:val="nil"/>
              <w:bottom w:val="nil"/>
              <w:right w:val="nil"/>
            </w:tcBorders>
          </w:tcPr>
          <w:p w:rsidR="005B25FC" w:rsidRDefault="008E37D2">
            <w:pPr>
              <w:pStyle w:val="Tabletext"/>
              <w:tabs>
                <w:tab w:val="right" w:leader="dot" w:pos="4464"/>
              </w:tabs>
            </w:pPr>
            <w:r>
              <w:t xml:space="preserve">Senior Judge of the Family Court of Australia </w:t>
            </w:r>
            <w:r>
              <w:tab/>
            </w:r>
          </w:p>
        </w:tc>
        <w:tc>
          <w:tcPr>
            <w:tcW w:w="1260" w:type="dxa"/>
            <w:tcBorders>
              <w:top w:val="nil"/>
              <w:left w:val="nil"/>
              <w:bottom w:val="nil"/>
              <w:right w:val="nil"/>
            </w:tcBorders>
          </w:tcPr>
          <w:p w:rsidR="005B25FC" w:rsidRDefault="008E37D2">
            <w:pPr>
              <w:pStyle w:val="Tabletext"/>
              <w:jc w:val="center"/>
            </w:pPr>
            <w:r>
              <w:t>85,028</w:t>
            </w:r>
          </w:p>
        </w:tc>
        <w:tc>
          <w:tcPr>
            <w:tcW w:w="1260" w:type="dxa"/>
            <w:tcBorders>
              <w:top w:val="nil"/>
              <w:left w:val="nil"/>
              <w:bottom w:val="nil"/>
              <w:right w:val="nil"/>
            </w:tcBorders>
          </w:tcPr>
          <w:p w:rsidR="005B25FC" w:rsidRDefault="008E37D2">
            <w:pPr>
              <w:pStyle w:val="Tabletext"/>
              <w:jc w:val="center"/>
            </w:pPr>
            <w:r>
              <w:t>4,332</w:t>
            </w:r>
          </w:p>
        </w:tc>
      </w:tr>
      <w:tr w:rsidR="005B25FC">
        <w:trPr>
          <w:cantSplit/>
        </w:trPr>
        <w:tc>
          <w:tcPr>
            <w:tcW w:w="4680" w:type="dxa"/>
            <w:tcBorders>
              <w:top w:val="nil"/>
              <w:left w:val="nil"/>
              <w:bottom w:val="single" w:sz="4" w:space="0" w:color="auto"/>
              <w:right w:val="nil"/>
            </w:tcBorders>
          </w:tcPr>
          <w:p w:rsidR="005B25FC" w:rsidRDefault="008E37D2">
            <w:pPr>
              <w:pStyle w:val="Tabletext"/>
              <w:tabs>
                <w:tab w:val="right" w:leader="dot" w:pos="4464"/>
              </w:tabs>
              <w:spacing w:after="60"/>
            </w:pPr>
            <w:r>
              <w:t xml:space="preserve">Judge (other than the Chief Judge or a Senior Judge) of the Family Court of Australia </w:t>
            </w:r>
            <w:r>
              <w:tab/>
            </w:r>
          </w:p>
        </w:tc>
        <w:tc>
          <w:tcPr>
            <w:tcW w:w="1260" w:type="dxa"/>
            <w:tcBorders>
              <w:top w:val="nil"/>
              <w:left w:val="nil"/>
              <w:bottom w:val="single" w:sz="4" w:space="0" w:color="auto"/>
              <w:right w:val="nil"/>
            </w:tcBorders>
          </w:tcPr>
          <w:p w:rsidR="005B25FC" w:rsidRDefault="008E37D2">
            <w:pPr>
              <w:pStyle w:val="Tabletext"/>
              <w:spacing w:after="60"/>
              <w:jc w:val="center"/>
            </w:pPr>
            <w:r>
              <w:br/>
              <w:t>80,304</w:t>
            </w:r>
          </w:p>
        </w:tc>
        <w:tc>
          <w:tcPr>
            <w:tcW w:w="1260" w:type="dxa"/>
            <w:tcBorders>
              <w:top w:val="nil"/>
              <w:left w:val="nil"/>
              <w:bottom w:val="single" w:sz="4" w:space="0" w:color="auto"/>
              <w:right w:val="nil"/>
            </w:tcBorders>
          </w:tcPr>
          <w:p w:rsidR="005B25FC" w:rsidRDefault="008E37D2">
            <w:pPr>
              <w:pStyle w:val="Tabletext"/>
              <w:spacing w:after="60"/>
              <w:jc w:val="center"/>
            </w:pPr>
            <w:r>
              <w:br/>
              <w:t>4,332’.</w:t>
            </w:r>
          </w:p>
        </w:tc>
      </w:tr>
    </w:tbl>
    <w:p w:rsidR="005B25FC" w:rsidRDefault="008E37D2">
      <w:pPr>
        <w:pStyle w:val="PageBreak"/>
      </w:pPr>
      <w:r>
        <w:br w:type="page"/>
      </w:r>
    </w:p>
    <w:p w:rsidR="005B25FC" w:rsidRDefault="008E37D2">
      <w:pPr>
        <w:pStyle w:val="Heading2"/>
      </w:pPr>
      <w:bookmarkStart w:id="17" w:name="_Toc426027986"/>
      <w:r>
        <w:rPr>
          <w:rStyle w:val="CharPartNo"/>
        </w:rPr>
        <w:lastRenderedPageBreak/>
        <w:t>Part IV</w:t>
      </w:r>
      <w:r>
        <w:t>—</w:t>
      </w:r>
      <w:r>
        <w:rPr>
          <w:rStyle w:val="CharPartText"/>
        </w:rPr>
        <w:t>Miscellaneous</w:t>
      </w:r>
      <w:bookmarkEnd w:id="17"/>
    </w:p>
    <w:p w:rsidR="005B25FC" w:rsidRDefault="008E37D2">
      <w:pPr>
        <w:pStyle w:val="Header"/>
      </w:pPr>
      <w:r>
        <w:rPr>
          <w:rStyle w:val="CharDivNo"/>
        </w:rPr>
        <w:t xml:space="preserve"> </w:t>
      </w:r>
      <w:r>
        <w:rPr>
          <w:rStyle w:val="CharDivText"/>
        </w:rPr>
        <w:t xml:space="preserve"> </w:t>
      </w:r>
    </w:p>
    <w:p w:rsidR="005B25FC" w:rsidRDefault="008E37D2">
      <w:pPr>
        <w:pStyle w:val="Heading5"/>
      </w:pPr>
      <w:bookmarkStart w:id="18" w:name="_Toc426027987"/>
      <w:r>
        <w:rPr>
          <w:rStyle w:val="CharSectno"/>
        </w:rPr>
        <w:t>14</w:t>
      </w:r>
      <w:r>
        <w:t xml:space="preserve">  Exclusion of subsection 7(8) of the </w:t>
      </w:r>
      <w:r>
        <w:rPr>
          <w:i/>
          <w:iCs/>
        </w:rPr>
        <w:t>Remuneration Tribunals Act 1973</w:t>
      </w:r>
      <w:bookmarkEnd w:id="18"/>
    </w:p>
    <w:p w:rsidR="005B25FC" w:rsidRDefault="008E37D2">
      <w:pPr>
        <w:pStyle w:val="Subsection"/>
      </w:pPr>
      <w:r>
        <w:tab/>
      </w:r>
      <w:r>
        <w:tab/>
        <w:t xml:space="preserve">Subsection 7(8) of the </w:t>
      </w:r>
      <w:r>
        <w:rPr>
          <w:i/>
          <w:iCs/>
        </w:rPr>
        <w:t>Remuneration Tribunals Act 1973</w:t>
      </w:r>
      <w:r>
        <w:t xml:space="preserve"> does not apply in relation to a determination of the Remuneration Tribunal referred to in section 3 or 4 of this Act or in relation to such a determination as modified by this Act.</w:t>
      </w:r>
    </w:p>
    <w:p w:rsidR="005B25FC" w:rsidRDefault="008E37D2">
      <w:pPr>
        <w:pStyle w:val="New5"/>
      </w:pPr>
      <w:r>
        <w:rPr>
          <w:rStyle w:val="CharSectno"/>
        </w:rPr>
        <w:t>15</w:t>
      </w:r>
      <w:r>
        <w:t xml:space="preserve">  Recovery of overpayments</w:t>
      </w:r>
    </w:p>
    <w:p w:rsidR="005B25FC" w:rsidRDefault="008E37D2">
      <w:pPr>
        <w:pStyle w:val="Subsection"/>
      </w:pPr>
      <w:r>
        <w:tab/>
        <w:t>(1)</w:t>
      </w:r>
      <w:r>
        <w:tab/>
        <w:t>Where:</w:t>
      </w:r>
    </w:p>
    <w:p w:rsidR="005B25FC" w:rsidRDefault="008E37D2">
      <w:pPr>
        <w:pStyle w:val="paragraph"/>
      </w:pPr>
      <w:r>
        <w:tab/>
        <w:t>(a)</w:t>
      </w:r>
      <w:r>
        <w:tab/>
        <w:t>a person has been paid an amount by way of:</w:t>
      </w:r>
    </w:p>
    <w:p w:rsidR="005B25FC" w:rsidRDefault="008E37D2">
      <w:pPr>
        <w:pStyle w:val="paragraphsub"/>
      </w:pPr>
      <w:r>
        <w:tab/>
        <w:t>(i)</w:t>
      </w:r>
      <w:r>
        <w:tab/>
        <w:t>parliamentary salary; or</w:t>
      </w:r>
    </w:p>
    <w:p w:rsidR="005B25FC" w:rsidRDefault="008E37D2">
      <w:pPr>
        <w:pStyle w:val="paragraphsub"/>
      </w:pPr>
      <w:r>
        <w:tab/>
        <w:t>(ii)</w:t>
      </w:r>
      <w:r>
        <w:tab/>
        <w:t>parliamentary superannuation benefit; and</w:t>
      </w:r>
    </w:p>
    <w:p w:rsidR="005B25FC" w:rsidRDefault="008E37D2">
      <w:pPr>
        <w:pStyle w:val="paragraph"/>
      </w:pPr>
      <w:r>
        <w:tab/>
        <w:t>(b)</w:t>
      </w:r>
      <w:r>
        <w:tab/>
        <w:t>the amount so paid exceeds the amount that the person would have been entitled to be paid if Part II had been enacted, and had come into operation, on 1 July 1986;</w:t>
      </w:r>
    </w:p>
    <w:p w:rsidR="005B25FC" w:rsidRDefault="008E37D2">
      <w:pPr>
        <w:pStyle w:val="subsection2"/>
      </w:pPr>
      <w:r>
        <w:t>the person is liable to pay to the Commonwealth the amount of the excess.</w:t>
      </w:r>
    </w:p>
    <w:p w:rsidR="005B25FC" w:rsidRDefault="008E37D2">
      <w:pPr>
        <w:pStyle w:val="Subsection"/>
      </w:pPr>
      <w:r>
        <w:tab/>
        <w:t>(2)</w:t>
      </w:r>
      <w:r>
        <w:tab/>
        <w:t>Where a person is liable to pay an amount to the Commonwealth under subsection (1):</w:t>
      </w:r>
    </w:p>
    <w:p w:rsidR="005B25FC" w:rsidRDefault="008E37D2">
      <w:pPr>
        <w:pStyle w:val="paragraph"/>
      </w:pPr>
      <w:r>
        <w:tab/>
        <w:t>(a)</w:t>
      </w:r>
      <w:r>
        <w:tab/>
        <w:t>the amount may be recovered, as a debt due to the Commonwealth, by action in a court of competent jurisdiction; and</w:t>
      </w:r>
    </w:p>
    <w:p w:rsidR="005B25FC" w:rsidRDefault="008E37D2">
      <w:pPr>
        <w:pStyle w:val="paragraph"/>
      </w:pPr>
      <w:r>
        <w:tab/>
        <w:t>(b)</w:t>
      </w:r>
      <w:r>
        <w:tab/>
        <w:t>the amount may be deducted from any other amount that is payable to the person by way of parliamentary salary or parliamentary superannuation benefit, as the case requires.</w:t>
      </w:r>
    </w:p>
    <w:p w:rsidR="005B25FC" w:rsidRDefault="008E37D2">
      <w:pPr>
        <w:pStyle w:val="Subsection"/>
      </w:pPr>
      <w:r>
        <w:tab/>
        <w:t>(3)</w:t>
      </w:r>
      <w:r>
        <w:tab/>
        <w:t>In this section:</w:t>
      </w:r>
    </w:p>
    <w:p w:rsidR="005B25FC" w:rsidRDefault="008E37D2">
      <w:pPr>
        <w:pStyle w:val="Definition"/>
      </w:pPr>
      <w:r>
        <w:rPr>
          <w:b/>
          <w:bCs/>
          <w:i/>
          <w:iCs/>
        </w:rPr>
        <w:t>parliamentary salary</w:t>
      </w:r>
      <w:r>
        <w:t xml:space="preserve"> means an allowance paid to a member of the Parliament, being:</w:t>
      </w:r>
    </w:p>
    <w:p w:rsidR="005B25FC" w:rsidRDefault="008E37D2">
      <w:pPr>
        <w:pStyle w:val="paragraph"/>
      </w:pPr>
      <w:r>
        <w:tab/>
        <w:t>(a)</w:t>
      </w:r>
      <w:r>
        <w:tab/>
        <w:t>an allowance of the kind referred to as basic salary in paragraph 1 of Determination No. 8 of 1986 of the Remuneration Tribunal dated 6 June 1986; or</w:t>
      </w:r>
    </w:p>
    <w:p w:rsidR="005B25FC" w:rsidRDefault="008E37D2">
      <w:pPr>
        <w:pStyle w:val="paragraph"/>
      </w:pPr>
      <w:r>
        <w:lastRenderedPageBreak/>
        <w:tab/>
        <w:t>(b)</w:t>
      </w:r>
      <w:r>
        <w:tab/>
        <w:t>an allowance of the kind referred to as additional salary in paragraph 1 of Determination No. 7 of 1986 of the Remuneration Tribunal dated 6 June 1986.</w:t>
      </w:r>
    </w:p>
    <w:p w:rsidR="005B25FC" w:rsidRDefault="008E37D2">
      <w:pPr>
        <w:pStyle w:val="Definition"/>
      </w:pPr>
      <w:r>
        <w:rPr>
          <w:b/>
          <w:bCs/>
          <w:i/>
          <w:iCs/>
        </w:rPr>
        <w:t>parliamentary superannuation benefit</w:t>
      </w:r>
      <w:r>
        <w:t xml:space="preserve"> means a retiring allowance, annuity or other benefit payable under the </w:t>
      </w:r>
      <w:r>
        <w:rPr>
          <w:i/>
          <w:iCs/>
        </w:rPr>
        <w:t>Parliamentary Contributory Superannuation Act 1948</w:t>
      </w:r>
      <w:r>
        <w:t>.</w:t>
      </w:r>
    </w:p>
    <w:p w:rsidR="005B25FC" w:rsidRDefault="005B25FC"/>
    <w:p w:rsidR="002647CE" w:rsidRDefault="002647CE"/>
    <w:p w:rsidR="005B25FC" w:rsidRDefault="005B25FC">
      <w:pPr>
        <w:pStyle w:val="EndNote"/>
      </w:pPr>
    </w:p>
    <w:p w:rsidR="005B25FC" w:rsidRDefault="005B25FC">
      <w:pPr>
        <w:sectPr w:rsidR="005B25FC" w:rsidSect="00814B9C">
          <w:headerReference w:type="even" r:id="rId17"/>
          <w:headerReference w:type="default" r:id="rId18"/>
          <w:footerReference w:type="even" r:id="rId19"/>
          <w:footerReference w:type="first" r:id="rId20"/>
          <w:pgSz w:w="11906" w:h="16838" w:code="9"/>
          <w:pgMar w:top="2268" w:right="2410" w:bottom="3827" w:left="2410" w:header="567" w:footer="3119" w:gutter="0"/>
          <w:pgNumType w:start="1"/>
          <w:cols w:space="708"/>
          <w:titlePg/>
          <w:docGrid w:linePitch="360"/>
        </w:sectPr>
      </w:pPr>
    </w:p>
    <w:p w:rsidR="005B25FC" w:rsidRDefault="005B25FC"/>
    <w:sectPr w:rsidR="005B25FC">
      <w:headerReference w:type="even" r:id="rId21"/>
      <w:headerReference w:type="default" r:id="rId22"/>
      <w:footerReference w:type="even" r:id="rId23"/>
      <w:footerReference w:type="default" r:id="rId24"/>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FC" w:rsidRDefault="008E37D2">
      <w:pPr>
        <w:spacing w:line="240" w:lineRule="auto"/>
      </w:pPr>
      <w:r>
        <w:separator/>
      </w:r>
    </w:p>
  </w:endnote>
  <w:endnote w:type="continuationSeparator" w:id="0">
    <w:p w:rsidR="005B25FC" w:rsidRDefault="008E3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pBdr>
        <w:top w:val="single" w:sz="6" w:space="1" w:color="auto"/>
      </w:pBdr>
      <w:rPr>
        <w:sz w:val="18"/>
        <w:szCs w:val="18"/>
      </w:rPr>
    </w:pPr>
  </w:p>
  <w:p w:rsidR="005B25FC" w:rsidRDefault="008E37D2">
    <w:pPr>
      <w:rPr>
        <w:i/>
        <w:iCs/>
      </w:rPr>
    </w:pPr>
    <w:r>
      <w:rPr>
        <w:i/>
        <w:iCs/>
      </w:rPr>
      <w:fldChar w:fldCharType="begin"/>
    </w:r>
    <w:r>
      <w:rPr>
        <w:i/>
        <w:iCs/>
      </w:rPr>
      <w:instrText xml:space="preserve">PAGE  </w:instrText>
    </w:r>
    <w:r>
      <w:rPr>
        <w:i/>
        <w:iCs/>
      </w:rPr>
      <w:fldChar w:fldCharType="separate"/>
    </w:r>
    <w:r w:rsidR="002647CE">
      <w:rPr>
        <w:i/>
        <w:iCs/>
        <w:noProof/>
      </w:rPr>
      <w:t>2</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2647CE">
      <w:rPr>
        <w:i/>
        <w:iCs/>
        <w:noProof/>
      </w:rPr>
      <w:t>Remuneration and Allowances Alteration Act 1986</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pBdr>
        <w:top w:val="single" w:sz="6" w:space="1" w:color="auto"/>
      </w:pBdr>
      <w:rPr>
        <w:sz w:val="18"/>
        <w:szCs w:val="18"/>
      </w:rPr>
    </w:pPr>
  </w:p>
  <w:p w:rsidR="005B25FC" w:rsidRDefault="008E37D2">
    <w:pPr>
      <w:ind w:right="26"/>
      <w:jc w:val="right"/>
    </w:pPr>
    <w:r>
      <w:rPr>
        <w:i/>
        <w:iCs/>
      </w:rPr>
      <w:fldChar w:fldCharType="begin"/>
    </w:r>
    <w:r>
      <w:rPr>
        <w:i/>
        <w:iCs/>
      </w:rPr>
      <w:instrText xml:space="preserve"> STYLEREF ShortT \* CHARFORMAT </w:instrText>
    </w:r>
    <w:r>
      <w:rPr>
        <w:i/>
        <w:iCs/>
      </w:rPr>
      <w:fldChar w:fldCharType="separate"/>
    </w:r>
    <w:r>
      <w:rPr>
        <w:i/>
        <w:iCs/>
        <w:noProof/>
      </w:rPr>
      <w:t>Remuneration and Allowances Alteration Act 1986</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pBdr>
        <w:top w:val="single" w:sz="6" w:space="1" w:color="auto"/>
      </w:pBdr>
      <w:rPr>
        <w:sz w:val="18"/>
        <w:szCs w:val="18"/>
      </w:rPr>
    </w:pPr>
  </w:p>
  <w:p w:rsidR="005B25FC" w:rsidRPr="002647CE" w:rsidRDefault="002647CE">
    <w:pPr>
      <w:ind w:right="26"/>
      <w:jc w:val="right"/>
      <w:rPr>
        <w:sz w:val="18"/>
        <w:szCs w:val="18"/>
      </w:rPr>
    </w:pPr>
    <w:r w:rsidRPr="002647CE">
      <w:rPr>
        <w:i/>
        <w:iCs/>
        <w:sz w:val="18"/>
        <w:szCs w:val="18"/>
      </w:rPr>
      <w:fldChar w:fldCharType="begin"/>
    </w:r>
    <w:r w:rsidRPr="002647CE">
      <w:rPr>
        <w:i/>
        <w:iCs/>
        <w:sz w:val="18"/>
        <w:szCs w:val="18"/>
      </w:rPr>
      <w:instrText xml:space="preserve"> STYLEREF \* CHARFORMAT Actno </w:instrText>
    </w:r>
    <w:r w:rsidRPr="002647CE">
      <w:rPr>
        <w:i/>
        <w:iCs/>
        <w:sz w:val="18"/>
        <w:szCs w:val="18"/>
      </w:rPr>
      <w:fldChar w:fldCharType="separate"/>
    </w:r>
    <w:r w:rsidR="00FB66A7">
      <w:rPr>
        <w:i/>
        <w:iCs/>
        <w:noProof/>
        <w:sz w:val="18"/>
        <w:szCs w:val="18"/>
      </w:rPr>
      <w:t>No. 105 of 1986</w:t>
    </w:r>
    <w:r w:rsidRPr="002647CE">
      <w:rPr>
        <w:i/>
        <w:iCs/>
        <w:sz w:val="18"/>
        <w:szCs w:val="18"/>
      </w:rPr>
      <w:fldChar w:fldCharType="end"/>
    </w:r>
    <w:r w:rsidRPr="002647CE">
      <w:rPr>
        <w:i/>
        <w:iCs/>
        <w:sz w:val="18"/>
        <w:szCs w:val="18"/>
      </w:rPr>
      <w:t xml:space="preserve">       </w:t>
    </w:r>
    <w:r w:rsidR="008E37D2" w:rsidRPr="002647CE">
      <w:rPr>
        <w:i/>
        <w:iCs/>
        <w:sz w:val="18"/>
        <w:szCs w:val="18"/>
      </w:rPr>
      <w:fldChar w:fldCharType="begin"/>
    </w:r>
    <w:r w:rsidR="008E37D2" w:rsidRPr="002647CE">
      <w:rPr>
        <w:i/>
        <w:iCs/>
        <w:sz w:val="18"/>
        <w:szCs w:val="18"/>
      </w:rPr>
      <w:instrText xml:space="preserve"> STYLEREF ShortT \* CHARFORMAT </w:instrText>
    </w:r>
    <w:r w:rsidR="008E37D2" w:rsidRPr="002647CE">
      <w:rPr>
        <w:i/>
        <w:iCs/>
        <w:sz w:val="18"/>
        <w:szCs w:val="18"/>
      </w:rPr>
      <w:fldChar w:fldCharType="separate"/>
    </w:r>
    <w:r w:rsidR="00FB66A7">
      <w:rPr>
        <w:i/>
        <w:iCs/>
        <w:noProof/>
        <w:sz w:val="18"/>
        <w:szCs w:val="18"/>
      </w:rPr>
      <w:t>Remuneration and Allowances Alteration Act 1986</w:t>
    </w:r>
    <w:r w:rsidR="008E37D2" w:rsidRPr="002647CE">
      <w:rPr>
        <w:i/>
        <w:iCs/>
        <w:sz w:val="18"/>
        <w:szCs w:val="18"/>
      </w:rPr>
      <w:fldChar w:fldCharType="end"/>
    </w:r>
    <w:r w:rsidR="008E37D2" w:rsidRPr="002647CE">
      <w:rPr>
        <w:i/>
        <w:iCs/>
        <w:sz w:val="18"/>
        <w:szCs w:val="18"/>
      </w:rPr>
      <w:t xml:space="preserve">                    </w:t>
    </w:r>
    <w:r w:rsidR="008E37D2" w:rsidRPr="002647CE">
      <w:rPr>
        <w:i/>
        <w:iCs/>
        <w:sz w:val="18"/>
        <w:szCs w:val="18"/>
      </w:rPr>
      <w:fldChar w:fldCharType="begin"/>
    </w:r>
    <w:r w:rsidR="008E37D2" w:rsidRPr="002647CE">
      <w:rPr>
        <w:i/>
        <w:iCs/>
        <w:sz w:val="18"/>
        <w:szCs w:val="18"/>
      </w:rPr>
      <w:instrText xml:space="preserve">PAGE  </w:instrText>
    </w:r>
    <w:r w:rsidR="008E37D2" w:rsidRPr="002647CE">
      <w:rPr>
        <w:i/>
        <w:iCs/>
        <w:sz w:val="18"/>
        <w:szCs w:val="18"/>
      </w:rPr>
      <w:fldChar w:fldCharType="separate"/>
    </w:r>
    <w:r w:rsidR="00FB66A7">
      <w:rPr>
        <w:i/>
        <w:iCs/>
        <w:noProof/>
        <w:sz w:val="18"/>
        <w:szCs w:val="18"/>
      </w:rPr>
      <w:t>i</w:t>
    </w:r>
    <w:r w:rsidR="008E37D2" w:rsidRPr="002647CE">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7CE" w:rsidRDefault="002647CE">
    <w:pPr>
      <w:pBdr>
        <w:top w:val="single" w:sz="6" w:space="1" w:color="auto"/>
      </w:pBdr>
      <w:rPr>
        <w:sz w:val="18"/>
        <w:szCs w:val="18"/>
      </w:rPr>
    </w:pPr>
  </w:p>
  <w:p w:rsidR="002647CE" w:rsidRPr="00814B9C" w:rsidRDefault="002647CE">
    <w:pPr>
      <w:rPr>
        <w:i/>
        <w:iCs/>
        <w:sz w:val="18"/>
        <w:szCs w:val="18"/>
      </w:rPr>
    </w:pPr>
    <w:r w:rsidRPr="00814B9C">
      <w:rPr>
        <w:i/>
        <w:iCs/>
        <w:sz w:val="18"/>
        <w:szCs w:val="18"/>
      </w:rPr>
      <w:fldChar w:fldCharType="begin"/>
    </w:r>
    <w:r w:rsidRPr="00814B9C">
      <w:rPr>
        <w:i/>
        <w:iCs/>
        <w:sz w:val="18"/>
        <w:szCs w:val="18"/>
      </w:rPr>
      <w:instrText xml:space="preserve">PAGE  </w:instrText>
    </w:r>
    <w:r w:rsidRPr="00814B9C">
      <w:rPr>
        <w:i/>
        <w:iCs/>
        <w:sz w:val="18"/>
        <w:szCs w:val="18"/>
      </w:rPr>
      <w:fldChar w:fldCharType="separate"/>
    </w:r>
    <w:r w:rsidR="00FB66A7">
      <w:rPr>
        <w:i/>
        <w:iCs/>
        <w:noProof/>
        <w:sz w:val="18"/>
        <w:szCs w:val="18"/>
      </w:rPr>
      <w:t>2</w:t>
    </w:r>
    <w:r w:rsidRPr="00814B9C">
      <w:rPr>
        <w:i/>
        <w:iCs/>
        <w:sz w:val="18"/>
        <w:szCs w:val="18"/>
      </w:rPr>
      <w:fldChar w:fldCharType="end"/>
    </w:r>
    <w:r w:rsidRPr="00814B9C">
      <w:rPr>
        <w:i/>
        <w:iCs/>
        <w:sz w:val="18"/>
        <w:szCs w:val="18"/>
      </w:rPr>
      <w:t xml:space="preserve">            </w:t>
    </w:r>
    <w:r w:rsidRPr="00814B9C">
      <w:rPr>
        <w:i/>
        <w:iCs/>
        <w:sz w:val="18"/>
        <w:szCs w:val="18"/>
      </w:rPr>
      <w:fldChar w:fldCharType="begin"/>
    </w:r>
    <w:r w:rsidRPr="00814B9C">
      <w:rPr>
        <w:i/>
        <w:iCs/>
        <w:sz w:val="18"/>
        <w:szCs w:val="18"/>
      </w:rPr>
      <w:instrText xml:space="preserve"> STYLEREF ShortT \* CHARFORMAT </w:instrText>
    </w:r>
    <w:r w:rsidRPr="00814B9C">
      <w:rPr>
        <w:i/>
        <w:iCs/>
        <w:sz w:val="18"/>
        <w:szCs w:val="18"/>
      </w:rPr>
      <w:fldChar w:fldCharType="separate"/>
    </w:r>
    <w:r w:rsidR="00FB66A7">
      <w:rPr>
        <w:i/>
        <w:iCs/>
        <w:noProof/>
        <w:sz w:val="18"/>
        <w:szCs w:val="18"/>
      </w:rPr>
      <w:t>Remuneration and Allowances Alteration Act 1986</w:t>
    </w:r>
    <w:r w:rsidRPr="00814B9C">
      <w:rPr>
        <w:i/>
        <w:iCs/>
        <w:sz w:val="18"/>
        <w:szCs w:val="18"/>
      </w:rPr>
      <w:fldChar w:fldCharType="end"/>
    </w:r>
    <w:r w:rsidRPr="00814B9C">
      <w:rPr>
        <w:i/>
        <w:iCs/>
        <w:sz w:val="18"/>
        <w:szCs w:val="18"/>
      </w:rPr>
      <w:t xml:space="preserve">       </w:t>
    </w:r>
    <w:r w:rsidR="00814B9C" w:rsidRPr="00814B9C">
      <w:rPr>
        <w:i/>
        <w:iCs/>
        <w:sz w:val="18"/>
        <w:szCs w:val="18"/>
      </w:rPr>
      <w:fldChar w:fldCharType="begin"/>
    </w:r>
    <w:r w:rsidR="00814B9C" w:rsidRPr="00814B9C">
      <w:rPr>
        <w:i/>
        <w:iCs/>
        <w:sz w:val="18"/>
        <w:szCs w:val="18"/>
      </w:rPr>
      <w:instrText xml:space="preserve"> STYLEREF \* CHARFORMAT Actno </w:instrText>
    </w:r>
    <w:r w:rsidR="00814B9C" w:rsidRPr="00814B9C">
      <w:rPr>
        <w:i/>
        <w:iCs/>
        <w:sz w:val="18"/>
        <w:szCs w:val="18"/>
      </w:rPr>
      <w:fldChar w:fldCharType="separate"/>
    </w:r>
    <w:r w:rsidR="00FB66A7">
      <w:rPr>
        <w:i/>
        <w:iCs/>
        <w:noProof/>
        <w:sz w:val="18"/>
        <w:szCs w:val="18"/>
      </w:rPr>
      <w:t>No. 105 of 1986</w:t>
    </w:r>
    <w:r w:rsidR="00814B9C" w:rsidRPr="00814B9C">
      <w:rPr>
        <w:i/>
        <w:iCs/>
        <w:sz w:val="18"/>
        <w:szCs w:val="18"/>
      </w:rPr>
      <w:fldChar w:fldCharType="end"/>
    </w:r>
    <w:r w:rsidR="00814B9C" w:rsidRPr="00814B9C">
      <w:rPr>
        <w:i/>
        <w:iCs/>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B9C" w:rsidRDefault="00814B9C" w:rsidP="00814B9C">
    <w:pPr>
      <w:pBdr>
        <w:top w:val="single" w:sz="6" w:space="1" w:color="auto"/>
      </w:pBdr>
      <w:rPr>
        <w:sz w:val="18"/>
        <w:szCs w:val="18"/>
      </w:rPr>
    </w:pPr>
  </w:p>
  <w:p w:rsidR="00814B9C" w:rsidRPr="002647CE" w:rsidRDefault="00814B9C" w:rsidP="00814B9C">
    <w:pPr>
      <w:ind w:right="26"/>
      <w:jc w:val="right"/>
      <w:rPr>
        <w:sz w:val="18"/>
        <w:szCs w:val="18"/>
      </w:rPr>
    </w:pPr>
    <w:r w:rsidRPr="002647CE">
      <w:rPr>
        <w:i/>
        <w:iCs/>
        <w:sz w:val="18"/>
        <w:szCs w:val="18"/>
      </w:rPr>
      <w:fldChar w:fldCharType="begin"/>
    </w:r>
    <w:r w:rsidRPr="002647CE">
      <w:rPr>
        <w:i/>
        <w:iCs/>
        <w:sz w:val="18"/>
        <w:szCs w:val="18"/>
      </w:rPr>
      <w:instrText xml:space="preserve"> STYLEREF \* CHARFORMAT Actno </w:instrText>
    </w:r>
    <w:r w:rsidRPr="002647CE">
      <w:rPr>
        <w:i/>
        <w:iCs/>
        <w:sz w:val="18"/>
        <w:szCs w:val="18"/>
      </w:rPr>
      <w:fldChar w:fldCharType="separate"/>
    </w:r>
    <w:r w:rsidR="00FB66A7">
      <w:rPr>
        <w:i/>
        <w:iCs/>
        <w:noProof/>
        <w:sz w:val="18"/>
        <w:szCs w:val="18"/>
      </w:rPr>
      <w:t>No. 105 of 1986</w:t>
    </w:r>
    <w:r w:rsidRPr="002647CE">
      <w:rPr>
        <w:i/>
        <w:iCs/>
        <w:sz w:val="18"/>
        <w:szCs w:val="18"/>
      </w:rPr>
      <w:fldChar w:fldCharType="end"/>
    </w:r>
    <w:r w:rsidRPr="002647CE">
      <w:rPr>
        <w:i/>
        <w:iCs/>
        <w:sz w:val="18"/>
        <w:szCs w:val="18"/>
      </w:rPr>
      <w:t xml:space="preserve">       </w:t>
    </w:r>
    <w:r w:rsidRPr="002647CE">
      <w:rPr>
        <w:i/>
        <w:iCs/>
        <w:sz w:val="18"/>
        <w:szCs w:val="18"/>
      </w:rPr>
      <w:fldChar w:fldCharType="begin"/>
    </w:r>
    <w:r w:rsidRPr="002647CE">
      <w:rPr>
        <w:i/>
        <w:iCs/>
        <w:sz w:val="18"/>
        <w:szCs w:val="18"/>
      </w:rPr>
      <w:instrText xml:space="preserve"> STYLEREF ShortT \* CHARFORMAT </w:instrText>
    </w:r>
    <w:r w:rsidRPr="002647CE">
      <w:rPr>
        <w:i/>
        <w:iCs/>
        <w:sz w:val="18"/>
        <w:szCs w:val="18"/>
      </w:rPr>
      <w:fldChar w:fldCharType="separate"/>
    </w:r>
    <w:r w:rsidR="00FB66A7">
      <w:rPr>
        <w:i/>
        <w:iCs/>
        <w:noProof/>
        <w:sz w:val="18"/>
        <w:szCs w:val="18"/>
      </w:rPr>
      <w:t>Remuneration and Allowances Alteration Act 1986</w:t>
    </w:r>
    <w:r w:rsidRPr="002647CE">
      <w:rPr>
        <w:i/>
        <w:iCs/>
        <w:sz w:val="18"/>
        <w:szCs w:val="18"/>
      </w:rPr>
      <w:fldChar w:fldCharType="end"/>
    </w:r>
    <w:r w:rsidRPr="002647CE">
      <w:rPr>
        <w:i/>
        <w:iCs/>
        <w:sz w:val="18"/>
        <w:szCs w:val="18"/>
      </w:rPr>
      <w:t xml:space="preserve">                    </w:t>
    </w:r>
    <w:r w:rsidRPr="002647CE">
      <w:rPr>
        <w:i/>
        <w:iCs/>
        <w:sz w:val="18"/>
        <w:szCs w:val="18"/>
      </w:rPr>
      <w:fldChar w:fldCharType="begin"/>
    </w:r>
    <w:r w:rsidRPr="002647CE">
      <w:rPr>
        <w:i/>
        <w:iCs/>
        <w:sz w:val="18"/>
        <w:szCs w:val="18"/>
      </w:rPr>
      <w:instrText xml:space="preserve">PAGE  </w:instrText>
    </w:r>
    <w:r w:rsidRPr="002647CE">
      <w:rPr>
        <w:i/>
        <w:iCs/>
        <w:sz w:val="18"/>
        <w:szCs w:val="18"/>
      </w:rPr>
      <w:fldChar w:fldCharType="separate"/>
    </w:r>
    <w:r w:rsidR="00FB66A7">
      <w:rPr>
        <w:i/>
        <w:iCs/>
        <w:noProof/>
        <w:sz w:val="18"/>
        <w:szCs w:val="18"/>
      </w:rPr>
      <w:t>1</w:t>
    </w:r>
    <w:r w:rsidRPr="002647CE">
      <w:rPr>
        <w:i/>
        <w:iCs/>
        <w:sz w:val="18"/>
        <w:szCs w:val="18"/>
      </w:rPr>
      <w:fldChar w:fldCharType="end"/>
    </w:r>
  </w:p>
  <w:p w:rsidR="00814B9C" w:rsidRDefault="00814B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pBdr>
        <w:top w:val="single" w:sz="6" w:space="1" w:color="auto"/>
      </w:pBdr>
      <w:rPr>
        <w:sz w:val="18"/>
        <w:szCs w:val="18"/>
      </w:rPr>
    </w:pPr>
  </w:p>
  <w:p w:rsidR="005B25FC" w:rsidRDefault="008E37D2">
    <w:pPr>
      <w:rPr>
        <w:i/>
        <w:iCs/>
      </w:rPr>
    </w:pPr>
    <w:r>
      <w:rPr>
        <w:i/>
        <w:iCs/>
      </w:rPr>
      <w:fldChar w:fldCharType="begin"/>
    </w:r>
    <w:r>
      <w:rPr>
        <w:i/>
        <w:iCs/>
      </w:rPr>
      <w:instrText xml:space="preserve">PAGE  </w:instrText>
    </w:r>
    <w:r>
      <w:rPr>
        <w:i/>
        <w:iCs/>
      </w:rPr>
      <w:fldChar w:fldCharType="separate"/>
    </w:r>
    <w:r>
      <w:rPr>
        <w:i/>
        <w:iCs/>
        <w:noProof/>
      </w:rPr>
      <w:t>ii</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Remuneration and Allowances Alteration Act 1986</w:t>
    </w:r>
    <w:r>
      <w:rPr>
        <w:i/>
        <w:iCs/>
      </w:rPr>
      <w:fldChar w:fldCharType="end"/>
    </w:r>
    <w:r>
      <w:rPr>
        <w:i/>
        <w:iC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pBdr>
        <w:top w:val="single" w:sz="6" w:space="1" w:color="auto"/>
      </w:pBdr>
      <w:rPr>
        <w:sz w:val="18"/>
        <w:szCs w:val="18"/>
      </w:rPr>
    </w:pPr>
  </w:p>
  <w:p w:rsidR="005B25FC" w:rsidRDefault="008E37D2">
    <w:pPr>
      <w:ind w:right="26"/>
      <w:jc w:val="right"/>
    </w:pPr>
    <w:r>
      <w:rPr>
        <w:i/>
        <w:iCs/>
      </w:rPr>
      <w:fldChar w:fldCharType="begin"/>
    </w:r>
    <w:r>
      <w:rPr>
        <w:i/>
        <w:iCs/>
      </w:rPr>
      <w:instrText xml:space="preserve"> STYLEREF ShortT \* CHARFORMAT </w:instrText>
    </w:r>
    <w:r>
      <w:rPr>
        <w:i/>
        <w:iCs/>
      </w:rPr>
      <w:fldChar w:fldCharType="separate"/>
    </w:r>
    <w:r>
      <w:rPr>
        <w:i/>
        <w:iCs/>
        <w:noProof/>
      </w:rPr>
      <w:t>Remuneration and Allowances Alteration Act 1986</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FC" w:rsidRDefault="008E37D2">
      <w:pPr>
        <w:spacing w:line="240" w:lineRule="auto"/>
      </w:pPr>
      <w:r>
        <w:separator/>
      </w:r>
    </w:p>
  </w:footnote>
  <w:footnote w:type="continuationSeparator" w:id="0">
    <w:p w:rsidR="005B25FC" w:rsidRDefault="008E37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keepNext/>
      <w:rPr>
        <w:sz w:val="20"/>
        <w:szCs w:val="20"/>
      </w:rPr>
    </w:pPr>
  </w:p>
  <w:p w:rsidR="005B25FC" w:rsidRDefault="005B25FC">
    <w:pPr>
      <w:keepNext/>
      <w:rPr>
        <w:sz w:val="20"/>
        <w:szCs w:val="20"/>
      </w:rPr>
    </w:pPr>
  </w:p>
  <w:p w:rsidR="005B25FC" w:rsidRDefault="005B25FC">
    <w:pPr>
      <w:keepNext/>
      <w:rPr>
        <w:sz w:val="20"/>
        <w:szCs w:val="20"/>
      </w:rPr>
    </w:pPr>
  </w:p>
  <w:p w:rsidR="005B25FC" w:rsidRDefault="005B25FC">
    <w:pPr>
      <w:keepNext/>
      <w:rPr>
        <w:sz w:val="24"/>
        <w:szCs w:val="24"/>
      </w:rPr>
    </w:pPr>
  </w:p>
  <w:p w:rsidR="005B25FC" w:rsidRDefault="005B25FC">
    <w:pPr>
      <w:keepNext/>
      <w:rPr>
        <w:sz w:val="24"/>
        <w:szCs w:val="24"/>
      </w:rPr>
    </w:pPr>
  </w:p>
  <w:p w:rsidR="005B25FC" w:rsidRDefault="005B25FC">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keepNext/>
      <w:jc w:val="right"/>
      <w:rPr>
        <w:sz w:val="20"/>
        <w:szCs w:val="20"/>
      </w:rPr>
    </w:pPr>
  </w:p>
  <w:p w:rsidR="005B25FC" w:rsidRDefault="005B25FC">
    <w:pPr>
      <w:keepNext/>
      <w:jc w:val="right"/>
      <w:rPr>
        <w:sz w:val="20"/>
        <w:szCs w:val="20"/>
      </w:rPr>
    </w:pPr>
  </w:p>
  <w:p w:rsidR="005B25FC" w:rsidRDefault="005B25FC">
    <w:pPr>
      <w:keepNext/>
      <w:jc w:val="right"/>
      <w:rPr>
        <w:sz w:val="20"/>
        <w:szCs w:val="20"/>
      </w:rPr>
    </w:pPr>
  </w:p>
  <w:p w:rsidR="005B25FC" w:rsidRDefault="005B25FC">
    <w:pPr>
      <w:keepNext/>
      <w:jc w:val="right"/>
      <w:rPr>
        <w:sz w:val="24"/>
        <w:szCs w:val="24"/>
      </w:rPr>
    </w:pPr>
  </w:p>
  <w:p w:rsidR="005B25FC" w:rsidRDefault="005B25FC">
    <w:pPr>
      <w:keepNext/>
      <w:jc w:val="right"/>
      <w:rPr>
        <w:sz w:val="24"/>
        <w:szCs w:val="24"/>
      </w:rPr>
    </w:pPr>
  </w:p>
  <w:p w:rsidR="005B25FC" w:rsidRDefault="005B25FC">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pStyle w:val="headerpartodd0"/>
      <w:jc w:val="right"/>
    </w:pPr>
  </w:p>
  <w:p w:rsidR="005B25FC" w:rsidRDefault="005B25FC">
    <w:pPr>
      <w:pStyle w:val="headerpartodd0"/>
      <w:jc w:val="right"/>
      <w:rPr>
        <w:i/>
        <w:iCs/>
      </w:rPr>
    </w:pPr>
  </w:p>
  <w:p w:rsidR="005B25FC" w:rsidRDefault="005B25FC">
    <w:pPr>
      <w:pStyle w:val="headerpartodd0"/>
      <w:jc w:val="right"/>
    </w:pPr>
  </w:p>
  <w:p w:rsidR="005B25FC" w:rsidRDefault="005B25FC">
    <w:pPr>
      <w:pStyle w:val="headerpartodd0"/>
      <w:jc w:val="right"/>
      <w:rPr>
        <w:sz w:val="24"/>
        <w:szCs w:val="24"/>
      </w:rPr>
    </w:pPr>
  </w:p>
  <w:p w:rsidR="005B25FC" w:rsidRDefault="005B25FC">
    <w:pPr>
      <w:pStyle w:val="headerpartodd0"/>
      <w:pBdr>
        <w:bottom w:val="single" w:sz="6" w:space="1" w:color="auto"/>
      </w:pBdr>
      <w:jc w:val="right"/>
      <w:rPr>
        <w:i/>
        <w:iCs/>
        <w:sz w:val="24"/>
        <w:szCs w:val="24"/>
      </w:rPr>
    </w:pPr>
  </w:p>
  <w:p w:rsidR="005B25FC" w:rsidRDefault="005B25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pStyle w:val="headerpartodd0"/>
      <w:jc w:val="right"/>
      <w:rPr>
        <w:b/>
        <w:bCs/>
      </w:rPr>
    </w:pPr>
  </w:p>
  <w:p w:rsidR="005B25FC" w:rsidRDefault="005B25FC">
    <w:pPr>
      <w:pStyle w:val="headerpartodd0"/>
      <w:jc w:val="right"/>
      <w:rPr>
        <w:b/>
        <w:bCs/>
        <w:i/>
        <w:iCs/>
      </w:rPr>
    </w:pPr>
  </w:p>
  <w:p w:rsidR="005B25FC" w:rsidRDefault="005B25FC">
    <w:pPr>
      <w:pStyle w:val="headerpartodd0"/>
      <w:jc w:val="right"/>
    </w:pPr>
  </w:p>
  <w:p w:rsidR="005B25FC" w:rsidRDefault="005B25FC">
    <w:pPr>
      <w:pStyle w:val="headerpartodd0"/>
      <w:jc w:val="right"/>
      <w:rPr>
        <w:b/>
        <w:bCs/>
        <w:sz w:val="24"/>
        <w:szCs w:val="24"/>
      </w:rPr>
    </w:pPr>
  </w:p>
  <w:p w:rsidR="005B25FC" w:rsidRDefault="005B25FC">
    <w:pPr>
      <w:pStyle w:val="headerpartodd0"/>
      <w:pBdr>
        <w:bottom w:val="single" w:sz="6" w:space="1" w:color="auto"/>
      </w:pBdr>
      <w:jc w:val="right"/>
      <w:rPr>
        <w:b/>
        <w:bCs/>
        <w:i/>
        <w:iCs/>
        <w:sz w:val="24"/>
        <w:szCs w:val="24"/>
      </w:rPr>
    </w:pPr>
  </w:p>
  <w:p w:rsidR="005B25FC" w:rsidRDefault="005B25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B9C" w:rsidRDefault="00814B9C" w:rsidP="00814B9C">
    <w:pPr>
      <w:rPr>
        <w:sz w:val="20"/>
      </w:rPr>
    </w:pPr>
  </w:p>
  <w:p w:rsidR="00814B9C" w:rsidRDefault="00814B9C" w:rsidP="00814B9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B66A7">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B66A7">
      <w:rPr>
        <w:noProof/>
        <w:sz w:val="20"/>
      </w:rPr>
      <w:t>Preliminary</w:t>
    </w:r>
    <w:r>
      <w:rPr>
        <w:sz w:val="20"/>
      </w:rPr>
      <w:fldChar w:fldCharType="end"/>
    </w:r>
  </w:p>
  <w:p w:rsidR="00814B9C" w:rsidRPr="007A1328" w:rsidRDefault="00814B9C" w:rsidP="00814B9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14B9C" w:rsidRPr="007A1328" w:rsidRDefault="00814B9C" w:rsidP="00814B9C">
    <w:pPr>
      <w:rPr>
        <w:b/>
        <w:sz w:val="24"/>
      </w:rPr>
    </w:pPr>
  </w:p>
  <w:p w:rsidR="00814B9C" w:rsidRPr="007A1328" w:rsidRDefault="00814B9C" w:rsidP="00814B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B66A7">
      <w:rPr>
        <w:noProof/>
        <w:sz w:val="24"/>
      </w:rPr>
      <w:t>2</w:t>
    </w:r>
    <w:r w:rsidRPr="007A1328">
      <w:rPr>
        <w:sz w:val="24"/>
      </w:rPr>
      <w:fldChar w:fldCharType="end"/>
    </w:r>
  </w:p>
  <w:p w:rsidR="005B25FC" w:rsidRPr="002647CE" w:rsidRDefault="005B25FC" w:rsidP="002647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B9C" w:rsidRPr="007A1328" w:rsidRDefault="00814B9C" w:rsidP="00814B9C">
    <w:pPr>
      <w:jc w:val="right"/>
      <w:rPr>
        <w:sz w:val="20"/>
      </w:rPr>
    </w:pPr>
  </w:p>
  <w:p w:rsidR="00814B9C" w:rsidRPr="007A1328" w:rsidRDefault="00814B9C" w:rsidP="00814B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B66A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B66A7">
      <w:rPr>
        <w:b/>
        <w:noProof/>
        <w:sz w:val="20"/>
      </w:rPr>
      <w:t>Part IV</w:t>
    </w:r>
    <w:r>
      <w:rPr>
        <w:b/>
        <w:sz w:val="20"/>
      </w:rPr>
      <w:fldChar w:fldCharType="end"/>
    </w:r>
  </w:p>
  <w:p w:rsidR="00814B9C" w:rsidRPr="007A1328" w:rsidRDefault="00814B9C" w:rsidP="00814B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14B9C" w:rsidRPr="007A1328" w:rsidRDefault="00814B9C" w:rsidP="00814B9C">
    <w:pPr>
      <w:jc w:val="right"/>
      <w:rPr>
        <w:b/>
        <w:sz w:val="24"/>
      </w:rPr>
    </w:pPr>
  </w:p>
  <w:p w:rsidR="00814B9C" w:rsidRPr="007A1328" w:rsidRDefault="00814B9C" w:rsidP="00814B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B66A7">
      <w:rPr>
        <w:noProof/>
        <w:sz w:val="24"/>
      </w:rPr>
      <w:t>15</w:t>
    </w:r>
    <w:r w:rsidRPr="007A1328">
      <w:rPr>
        <w:sz w:val="24"/>
      </w:rPr>
      <w:fldChar w:fldCharType="end"/>
    </w:r>
  </w:p>
  <w:p w:rsidR="005B25FC" w:rsidRPr="002647CE" w:rsidRDefault="005B25FC" w:rsidP="002647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keepNext/>
      <w:rPr>
        <w:sz w:val="20"/>
        <w:szCs w:val="20"/>
      </w:rPr>
    </w:pPr>
  </w:p>
  <w:p w:rsidR="005B25FC" w:rsidRDefault="005B25FC">
    <w:pPr>
      <w:keepNext/>
      <w:rPr>
        <w:sz w:val="20"/>
        <w:szCs w:val="20"/>
      </w:rPr>
    </w:pPr>
  </w:p>
  <w:p w:rsidR="005B25FC" w:rsidRDefault="005B25FC">
    <w:pPr>
      <w:keepNext/>
      <w:rPr>
        <w:sz w:val="20"/>
        <w:szCs w:val="20"/>
      </w:rPr>
    </w:pPr>
  </w:p>
  <w:p w:rsidR="005B25FC" w:rsidRDefault="005B25FC">
    <w:pPr>
      <w:keepNext/>
      <w:rPr>
        <w:sz w:val="24"/>
        <w:szCs w:val="24"/>
      </w:rPr>
    </w:pPr>
  </w:p>
  <w:p w:rsidR="005B25FC" w:rsidRDefault="005B25FC">
    <w:pPr>
      <w:keepNext/>
      <w:rPr>
        <w:sz w:val="24"/>
        <w:szCs w:val="24"/>
      </w:rPr>
    </w:pPr>
  </w:p>
  <w:p w:rsidR="005B25FC" w:rsidRDefault="005B25FC">
    <w:pPr>
      <w:pStyle w:val="Header"/>
      <w:pBdr>
        <w:top w:val="single" w:sz="12"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C" w:rsidRDefault="005B25FC">
    <w:pPr>
      <w:keepNext/>
      <w:jc w:val="right"/>
      <w:rPr>
        <w:sz w:val="20"/>
        <w:szCs w:val="20"/>
      </w:rPr>
    </w:pPr>
  </w:p>
  <w:p w:rsidR="005B25FC" w:rsidRDefault="005B25FC">
    <w:pPr>
      <w:keepNext/>
      <w:jc w:val="right"/>
      <w:rPr>
        <w:sz w:val="20"/>
        <w:szCs w:val="20"/>
      </w:rPr>
    </w:pPr>
  </w:p>
  <w:p w:rsidR="005B25FC" w:rsidRDefault="005B25FC">
    <w:pPr>
      <w:keepNext/>
      <w:jc w:val="right"/>
      <w:rPr>
        <w:sz w:val="20"/>
        <w:szCs w:val="20"/>
      </w:rPr>
    </w:pPr>
  </w:p>
  <w:p w:rsidR="005B25FC" w:rsidRDefault="005B25FC">
    <w:pPr>
      <w:keepNext/>
      <w:jc w:val="right"/>
      <w:rPr>
        <w:sz w:val="24"/>
        <w:szCs w:val="24"/>
      </w:rPr>
    </w:pPr>
  </w:p>
  <w:p w:rsidR="005B25FC" w:rsidRDefault="005B25FC">
    <w:pPr>
      <w:keepNext/>
      <w:jc w:val="right"/>
      <w:rPr>
        <w:sz w:val="24"/>
        <w:szCs w:val="24"/>
      </w:rPr>
    </w:pPr>
  </w:p>
  <w:p w:rsidR="005B25FC" w:rsidRDefault="005B25FC">
    <w:pPr>
      <w:pStyle w:val="Header"/>
      <w:pBdr>
        <w:top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23"/>
    <w:rsid w:val="002647CE"/>
    <w:rsid w:val="005B25FC"/>
    <w:rsid w:val="006D61B1"/>
    <w:rsid w:val="00814B9C"/>
    <w:rsid w:val="008E37D2"/>
    <w:rsid w:val="00925E23"/>
    <w:rsid w:val="00D614DB"/>
    <w:rsid w:val="00E917E9"/>
    <w:rsid w:val="00FB6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2"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indent(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indent(ii)"/>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3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headerpart">
    <w:name w:val="header.part"/>
    <w:basedOn w:val="Normal"/>
    <w:uiPriority w:val="99"/>
    <w:pPr>
      <w:keepNext/>
      <w:adjustRightInd w:val="0"/>
    </w:pPr>
    <w:rPr>
      <w:rFonts w:ascii="Times" w:hAnsi="Times" w:cs="Times"/>
      <w:b/>
      <w:bCs/>
      <w:sz w:val="20"/>
      <w:szCs w:val="20"/>
    </w:rPr>
  </w:style>
  <w:style w:type="paragraph" w:customStyle="1" w:styleId="Tabletext">
    <w:name w:val="Tabletext"/>
    <w:aliases w:val="tt"/>
    <w:basedOn w:val="Normal"/>
    <w:uiPriority w:val="99"/>
    <w:pPr>
      <w:spacing w:before="60" w:line="240" w:lineRule="atLeast"/>
    </w:pPr>
    <w:rPr>
      <w:sz w:val="20"/>
      <w:szCs w:val="20"/>
    </w:rPr>
  </w:style>
  <w:style w:type="paragraph" w:customStyle="1" w:styleId="New2">
    <w:name w:val="New2"/>
    <w:basedOn w:val="Normal"/>
    <w:uiPriority w:val="99"/>
  </w:style>
  <w:style w:type="paragraph" w:customStyle="1" w:styleId="New5">
    <w:name w:val="New5"/>
    <w:basedOn w:val="Normal"/>
    <w:uiPriority w:val="99"/>
    <w:pPr>
      <w:keepNext/>
      <w:keepLines/>
      <w:spacing w:before="280" w:after="60"/>
      <w:ind w:left="1134" w:hanging="1134"/>
      <w:outlineLvl w:val="4"/>
    </w:pPr>
    <w:rPr>
      <w:b/>
      <w:bCs/>
      <w:kern w:val="28"/>
      <w:sz w:val="24"/>
      <w:szCs w:val="24"/>
    </w:rPr>
  </w:style>
  <w:style w:type="paragraph" w:customStyle="1" w:styleId="AssentDt">
    <w:name w:val="AssentDt"/>
    <w:basedOn w:val="Normal"/>
    <w:rsid w:val="002647CE"/>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2"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indent(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indent(ii)"/>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3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headerpart">
    <w:name w:val="header.part"/>
    <w:basedOn w:val="Normal"/>
    <w:uiPriority w:val="99"/>
    <w:pPr>
      <w:keepNext/>
      <w:adjustRightInd w:val="0"/>
    </w:pPr>
    <w:rPr>
      <w:rFonts w:ascii="Times" w:hAnsi="Times" w:cs="Times"/>
      <w:b/>
      <w:bCs/>
      <w:sz w:val="20"/>
      <w:szCs w:val="20"/>
    </w:rPr>
  </w:style>
  <w:style w:type="paragraph" w:customStyle="1" w:styleId="Tabletext">
    <w:name w:val="Tabletext"/>
    <w:aliases w:val="tt"/>
    <w:basedOn w:val="Normal"/>
    <w:uiPriority w:val="99"/>
    <w:pPr>
      <w:spacing w:before="60" w:line="240" w:lineRule="atLeast"/>
    </w:pPr>
    <w:rPr>
      <w:sz w:val="20"/>
      <w:szCs w:val="20"/>
    </w:rPr>
  </w:style>
  <w:style w:type="paragraph" w:customStyle="1" w:styleId="New2">
    <w:name w:val="New2"/>
    <w:basedOn w:val="Normal"/>
    <w:uiPriority w:val="99"/>
  </w:style>
  <w:style w:type="paragraph" w:customStyle="1" w:styleId="New5">
    <w:name w:val="New5"/>
    <w:basedOn w:val="Normal"/>
    <w:uiPriority w:val="99"/>
    <w:pPr>
      <w:keepNext/>
      <w:keepLines/>
      <w:spacing w:before="280" w:after="60"/>
      <w:ind w:left="1134" w:hanging="1134"/>
      <w:outlineLvl w:val="4"/>
    </w:pPr>
    <w:rPr>
      <w:b/>
      <w:bCs/>
      <w:kern w:val="28"/>
      <w:sz w:val="24"/>
      <w:szCs w:val="24"/>
    </w:rPr>
  </w:style>
  <w:style w:type="paragraph" w:customStyle="1" w:styleId="AssentDt">
    <w:name w:val="AssentDt"/>
    <w:basedOn w:val="Normal"/>
    <w:rsid w:val="002647CE"/>
    <w:pPr>
      <w:autoSpaceDE/>
      <w:autoSpaceDN/>
      <w:spacing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F66CE-2F3D-44A0-A122-593F70F4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2007</Words>
  <Characters>12200</Characters>
  <Application>Microsoft Office Word</Application>
  <DocSecurity>0</DocSecurity>
  <Lines>290</Lines>
  <Paragraphs>177</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Legislative Drafting</dc:creator>
  <cp:lastModifiedBy>Coles, Deslyn</cp:lastModifiedBy>
  <cp:revision>9</cp:revision>
  <cp:lastPrinted>2004-06-01T05:38:00Z</cp:lastPrinted>
  <dcterms:created xsi:type="dcterms:W3CDTF">2015-07-30T03:45:00Z</dcterms:created>
  <dcterms:modified xsi:type="dcterms:W3CDTF">2015-07-30T04:44:00Z</dcterms:modified>
</cp:coreProperties>
</file>