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D6CA9" w14:textId="0042C9E3" w:rsidR="00DA0A09" w:rsidRPr="006B4F8D" w:rsidRDefault="00E422F8" w:rsidP="006B4F8D">
      <w:pPr>
        <w:jc w:val="center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pict w14:anchorId="0272B6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45pt;height:111.15pt">
            <v:imagedata r:id="rId9" o:title=""/>
          </v:shape>
        </w:pict>
      </w:r>
    </w:p>
    <w:p w14:paraId="1CFE61D1" w14:textId="77777777" w:rsidR="00DA0A09" w:rsidRPr="006B4F8D" w:rsidRDefault="004E4A96" w:rsidP="00431FC2">
      <w:pPr>
        <w:spacing w:before="72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6B4F8D">
        <w:rPr>
          <w:rFonts w:ascii="Times New Roman" w:hAnsi="Times New Roman" w:cs="Times New Roman"/>
          <w:b/>
          <w:sz w:val="36"/>
          <w:szCs w:val="36"/>
        </w:rPr>
        <w:t>Therapeutic Goods (Charges) Act 1989</w:t>
      </w:r>
      <w:bookmarkEnd w:id="0"/>
    </w:p>
    <w:p w14:paraId="65FB6145" w14:textId="77777777" w:rsidR="00DA0A09" w:rsidRPr="003A7763" w:rsidRDefault="004E4A96" w:rsidP="00431FC2">
      <w:pPr>
        <w:pStyle w:val="Bodytext20"/>
        <w:spacing w:before="720" w:line="240" w:lineRule="auto"/>
        <w:rPr>
          <w:sz w:val="28"/>
          <w:szCs w:val="28"/>
        </w:rPr>
      </w:pPr>
      <w:r w:rsidRPr="003A7763">
        <w:rPr>
          <w:sz w:val="28"/>
          <w:szCs w:val="28"/>
        </w:rPr>
        <w:t>No. 22 of 1990</w:t>
      </w:r>
    </w:p>
    <w:p w14:paraId="77CF85CE" w14:textId="77777777" w:rsidR="006B4F8D" w:rsidRPr="006B4F8D" w:rsidRDefault="006B4F8D" w:rsidP="00431FC2">
      <w:pPr>
        <w:pStyle w:val="Bodytext20"/>
        <w:pBdr>
          <w:top w:val="double" w:sz="4" w:space="1" w:color="auto"/>
        </w:pBdr>
        <w:spacing w:before="720" w:line="240" w:lineRule="auto"/>
        <w:jc w:val="left"/>
        <w:rPr>
          <w:sz w:val="22"/>
          <w:szCs w:val="20"/>
        </w:rPr>
      </w:pPr>
    </w:p>
    <w:p w14:paraId="6F4D25B2" w14:textId="77777777" w:rsidR="00DA0A09" w:rsidRPr="003A7763" w:rsidRDefault="004E4A96" w:rsidP="00431FC2">
      <w:pPr>
        <w:spacing w:before="600"/>
        <w:ind w:left="18" w:firstLine="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1"/>
      <w:r w:rsidRPr="003A7763">
        <w:rPr>
          <w:rFonts w:ascii="Times New Roman" w:hAnsi="Times New Roman" w:cs="Times New Roman"/>
          <w:b/>
          <w:sz w:val="26"/>
          <w:szCs w:val="26"/>
        </w:rPr>
        <w:t>An Act to impose an annual charge on the registration and listing of therapeutic goods, and on the licensing of manufacturers of therapeutic goods</w:t>
      </w:r>
      <w:bookmarkEnd w:id="1"/>
    </w:p>
    <w:p w14:paraId="7DAC1339" w14:textId="77777777" w:rsidR="00DA0A09" w:rsidRPr="006B4F8D" w:rsidRDefault="004E4A96" w:rsidP="00431FC2">
      <w:pPr>
        <w:pStyle w:val="Bodytext30"/>
        <w:spacing w:before="120" w:line="240" w:lineRule="auto"/>
        <w:ind w:firstLine="6480"/>
        <w:jc w:val="both"/>
        <w:rPr>
          <w:sz w:val="22"/>
          <w:szCs w:val="22"/>
        </w:rPr>
      </w:pPr>
      <w:r w:rsidRPr="006B4F8D">
        <w:rPr>
          <w:i w:val="0"/>
          <w:sz w:val="22"/>
          <w:szCs w:val="22"/>
        </w:rPr>
        <w:t>[</w:t>
      </w:r>
      <w:r w:rsidRPr="006B4F8D">
        <w:rPr>
          <w:sz w:val="22"/>
          <w:szCs w:val="22"/>
        </w:rPr>
        <w:t>Assented to 17 January 1990</w:t>
      </w:r>
      <w:r w:rsidRPr="006B4F8D">
        <w:rPr>
          <w:i w:val="0"/>
          <w:sz w:val="22"/>
          <w:szCs w:val="22"/>
        </w:rPr>
        <w:t>]</w:t>
      </w:r>
    </w:p>
    <w:p w14:paraId="4D6A71C2" w14:textId="77777777" w:rsidR="00DA0A09" w:rsidRPr="006B4F8D" w:rsidRDefault="004E4A96" w:rsidP="00DF51B7">
      <w:pPr>
        <w:pStyle w:val="BodyText1"/>
        <w:spacing w:before="120" w:line="240" w:lineRule="auto"/>
        <w:ind w:firstLine="270"/>
        <w:rPr>
          <w:sz w:val="22"/>
          <w:szCs w:val="20"/>
        </w:rPr>
      </w:pPr>
      <w:r w:rsidRPr="006B4F8D">
        <w:rPr>
          <w:sz w:val="22"/>
          <w:szCs w:val="20"/>
        </w:rPr>
        <w:t>BE IT ENACTED by the Queen, and the Senate and the House of Representatives of the Commonwealth of Australia, as follows:</w:t>
      </w:r>
    </w:p>
    <w:p w14:paraId="079B09A7" w14:textId="77777777" w:rsidR="00DA0A09" w:rsidRPr="006B4F8D" w:rsidRDefault="004E4A96" w:rsidP="006B4F8D">
      <w:pPr>
        <w:pStyle w:val="Bodytext20"/>
        <w:spacing w:before="120" w:after="60" w:line="240" w:lineRule="auto"/>
        <w:jc w:val="both"/>
        <w:rPr>
          <w:sz w:val="22"/>
          <w:szCs w:val="20"/>
        </w:rPr>
      </w:pPr>
      <w:r w:rsidRPr="006B4F8D">
        <w:rPr>
          <w:sz w:val="22"/>
          <w:szCs w:val="20"/>
        </w:rPr>
        <w:t>Short title</w:t>
      </w:r>
    </w:p>
    <w:p w14:paraId="61CE0DE7" w14:textId="77777777" w:rsidR="00DA0A09" w:rsidRPr="006B4F8D" w:rsidRDefault="00431FC2" w:rsidP="009C18C3">
      <w:pPr>
        <w:pStyle w:val="Bodytext30"/>
        <w:tabs>
          <w:tab w:val="left" w:pos="738"/>
        </w:tabs>
        <w:spacing w:before="120" w:line="240" w:lineRule="auto"/>
        <w:ind w:firstLine="360"/>
        <w:jc w:val="both"/>
        <w:rPr>
          <w:sz w:val="22"/>
          <w:szCs w:val="20"/>
        </w:rPr>
      </w:pPr>
      <w:r w:rsidRPr="00431FC2">
        <w:rPr>
          <w:rStyle w:val="Bodytext3NotItalic"/>
          <w:b/>
          <w:sz w:val="22"/>
          <w:szCs w:val="20"/>
        </w:rPr>
        <w:t>1.</w:t>
      </w:r>
      <w:r>
        <w:rPr>
          <w:rStyle w:val="Bodytext3NotItalic"/>
          <w:sz w:val="22"/>
          <w:szCs w:val="20"/>
        </w:rPr>
        <w:tab/>
      </w:r>
      <w:r w:rsidR="004E4A96" w:rsidRPr="006B4F8D">
        <w:rPr>
          <w:rStyle w:val="Bodytext3NotItalic"/>
          <w:sz w:val="22"/>
          <w:szCs w:val="20"/>
        </w:rPr>
        <w:t xml:space="preserve">This Act may be cited as the </w:t>
      </w:r>
      <w:r w:rsidR="004E4A96" w:rsidRPr="006B4F8D">
        <w:rPr>
          <w:sz w:val="22"/>
          <w:szCs w:val="20"/>
        </w:rPr>
        <w:t>Therapeutic Goods (Charges) Act 1989.</w:t>
      </w:r>
    </w:p>
    <w:p w14:paraId="38F846A3" w14:textId="77777777" w:rsidR="00DA0A09" w:rsidRPr="006B4F8D" w:rsidRDefault="004E4A96" w:rsidP="006B4F8D">
      <w:pPr>
        <w:pStyle w:val="Bodytext20"/>
        <w:spacing w:before="120" w:after="60" w:line="240" w:lineRule="auto"/>
        <w:jc w:val="both"/>
        <w:rPr>
          <w:sz w:val="22"/>
          <w:szCs w:val="20"/>
        </w:rPr>
      </w:pPr>
      <w:r w:rsidRPr="006B4F8D">
        <w:rPr>
          <w:sz w:val="22"/>
          <w:szCs w:val="20"/>
        </w:rPr>
        <w:t>Commencement</w:t>
      </w:r>
    </w:p>
    <w:p w14:paraId="27BAAE63" w14:textId="77777777" w:rsidR="00DA0A09" w:rsidRPr="006B4F8D" w:rsidRDefault="00431FC2" w:rsidP="009C18C3">
      <w:pPr>
        <w:pStyle w:val="Bodytext30"/>
        <w:tabs>
          <w:tab w:val="left" w:pos="738"/>
        </w:tabs>
        <w:spacing w:before="120" w:line="240" w:lineRule="auto"/>
        <w:ind w:firstLine="360"/>
        <w:jc w:val="both"/>
        <w:rPr>
          <w:i w:val="0"/>
          <w:sz w:val="22"/>
          <w:szCs w:val="20"/>
        </w:rPr>
      </w:pPr>
      <w:r w:rsidRPr="00431FC2">
        <w:rPr>
          <w:b/>
          <w:i w:val="0"/>
          <w:sz w:val="22"/>
          <w:szCs w:val="20"/>
        </w:rPr>
        <w:t>2.</w:t>
      </w:r>
      <w:r>
        <w:rPr>
          <w:i w:val="0"/>
          <w:sz w:val="22"/>
          <w:szCs w:val="20"/>
        </w:rPr>
        <w:tab/>
      </w:r>
      <w:r w:rsidR="004E4A96" w:rsidRPr="006B4F8D">
        <w:rPr>
          <w:i w:val="0"/>
          <w:sz w:val="22"/>
          <w:szCs w:val="20"/>
        </w:rPr>
        <w:t>This Act commences on 1 July 1990.</w:t>
      </w:r>
    </w:p>
    <w:p w14:paraId="3FC0D745" w14:textId="77777777" w:rsidR="00DA0A09" w:rsidRPr="006B4F8D" w:rsidRDefault="004E4A96" w:rsidP="006B4F8D">
      <w:pPr>
        <w:pStyle w:val="Bodytext20"/>
        <w:spacing w:before="120" w:after="60" w:line="240" w:lineRule="auto"/>
        <w:jc w:val="both"/>
        <w:rPr>
          <w:sz w:val="22"/>
          <w:szCs w:val="20"/>
        </w:rPr>
      </w:pPr>
      <w:r w:rsidRPr="006B4F8D">
        <w:rPr>
          <w:sz w:val="22"/>
          <w:szCs w:val="20"/>
        </w:rPr>
        <w:t>Incorporation</w:t>
      </w:r>
    </w:p>
    <w:p w14:paraId="640F3A98" w14:textId="77777777" w:rsidR="00DA0A09" w:rsidRPr="006B4F8D" w:rsidRDefault="00431FC2" w:rsidP="009C18C3">
      <w:pPr>
        <w:pStyle w:val="Bodytext30"/>
        <w:tabs>
          <w:tab w:val="left" w:pos="738"/>
        </w:tabs>
        <w:spacing w:before="120" w:line="240" w:lineRule="auto"/>
        <w:ind w:firstLine="360"/>
        <w:jc w:val="both"/>
        <w:rPr>
          <w:i w:val="0"/>
          <w:sz w:val="22"/>
          <w:szCs w:val="20"/>
        </w:rPr>
      </w:pPr>
      <w:r w:rsidRPr="00431FC2">
        <w:rPr>
          <w:b/>
          <w:i w:val="0"/>
          <w:sz w:val="22"/>
          <w:szCs w:val="20"/>
        </w:rPr>
        <w:t>3.</w:t>
      </w:r>
      <w:r>
        <w:rPr>
          <w:i w:val="0"/>
          <w:sz w:val="22"/>
          <w:szCs w:val="20"/>
        </w:rPr>
        <w:tab/>
      </w:r>
      <w:r w:rsidR="004E4A96" w:rsidRPr="006B4F8D">
        <w:rPr>
          <w:i w:val="0"/>
          <w:sz w:val="22"/>
          <w:szCs w:val="20"/>
        </w:rPr>
        <w:t xml:space="preserve">The </w:t>
      </w:r>
      <w:r w:rsidR="00B856BB" w:rsidRPr="006B4F8D">
        <w:rPr>
          <w:rStyle w:val="BodytextItalic"/>
          <w:i/>
          <w:sz w:val="22"/>
          <w:szCs w:val="20"/>
        </w:rPr>
        <w:t>T</w:t>
      </w:r>
      <w:r w:rsidR="004E4A96" w:rsidRPr="006B4F8D">
        <w:rPr>
          <w:rStyle w:val="BodytextItalic"/>
          <w:i/>
          <w:sz w:val="22"/>
          <w:szCs w:val="20"/>
        </w:rPr>
        <w:t>herapeutic Goods Act 1989</w:t>
      </w:r>
      <w:r w:rsidR="004E4A96" w:rsidRPr="006B4F8D">
        <w:rPr>
          <w:i w:val="0"/>
          <w:sz w:val="22"/>
          <w:szCs w:val="20"/>
        </w:rPr>
        <w:t xml:space="preserve"> is incorporated, and is to be read as one, with this Act.</w:t>
      </w:r>
    </w:p>
    <w:p w14:paraId="3747D2D4" w14:textId="77777777" w:rsidR="00DA0A09" w:rsidRPr="006B4F8D" w:rsidRDefault="004E4A96" w:rsidP="006B4F8D">
      <w:pPr>
        <w:pStyle w:val="Bodytext20"/>
        <w:spacing w:before="120" w:after="60" w:line="240" w:lineRule="auto"/>
        <w:jc w:val="both"/>
        <w:rPr>
          <w:sz w:val="22"/>
          <w:szCs w:val="20"/>
        </w:rPr>
      </w:pPr>
      <w:r w:rsidRPr="006B4F8D">
        <w:rPr>
          <w:sz w:val="22"/>
          <w:szCs w:val="20"/>
        </w:rPr>
        <w:t>Charges</w:t>
      </w:r>
    </w:p>
    <w:p w14:paraId="596FE149" w14:textId="77777777" w:rsidR="00DA0A09" w:rsidRPr="006B4F8D" w:rsidRDefault="00431FC2" w:rsidP="009C18C3">
      <w:pPr>
        <w:pStyle w:val="Bodytext30"/>
        <w:tabs>
          <w:tab w:val="left" w:pos="738"/>
        </w:tabs>
        <w:spacing w:before="120" w:line="240" w:lineRule="auto"/>
        <w:ind w:firstLine="360"/>
        <w:jc w:val="both"/>
        <w:rPr>
          <w:i w:val="0"/>
          <w:sz w:val="22"/>
          <w:szCs w:val="20"/>
        </w:rPr>
      </w:pPr>
      <w:r>
        <w:rPr>
          <w:rStyle w:val="BodytextBold"/>
          <w:i w:val="0"/>
          <w:sz w:val="22"/>
          <w:szCs w:val="20"/>
        </w:rPr>
        <w:t>4.</w:t>
      </w:r>
      <w:r>
        <w:rPr>
          <w:rStyle w:val="BodytextBold"/>
          <w:i w:val="0"/>
          <w:sz w:val="22"/>
          <w:szCs w:val="20"/>
        </w:rPr>
        <w:tab/>
      </w:r>
      <w:r w:rsidR="004E4A96" w:rsidRPr="006B4F8D">
        <w:rPr>
          <w:rStyle w:val="BodytextBold"/>
          <w:i w:val="0"/>
          <w:sz w:val="22"/>
          <w:szCs w:val="20"/>
        </w:rPr>
        <w:t xml:space="preserve">(1) </w:t>
      </w:r>
      <w:r w:rsidR="004E4A96" w:rsidRPr="006B4F8D">
        <w:rPr>
          <w:i w:val="0"/>
          <w:sz w:val="22"/>
          <w:szCs w:val="20"/>
        </w:rPr>
        <w:t>Annual charges of such amounts as are prescribed are payable in respect of the registration or listing of therapeutic goods that is in force at any time during a financial year.</w:t>
      </w:r>
    </w:p>
    <w:p w14:paraId="3422984B" w14:textId="77777777" w:rsidR="00DA0A09" w:rsidRDefault="006B4F8D" w:rsidP="009C18C3">
      <w:pPr>
        <w:pStyle w:val="Bodytext30"/>
        <w:tabs>
          <w:tab w:val="left" w:pos="630"/>
        </w:tabs>
        <w:spacing w:before="120" w:line="240" w:lineRule="auto"/>
        <w:ind w:firstLine="360"/>
        <w:jc w:val="both"/>
        <w:rPr>
          <w:i w:val="0"/>
          <w:sz w:val="22"/>
          <w:szCs w:val="20"/>
        </w:rPr>
      </w:pPr>
      <w:r w:rsidRPr="006B4F8D">
        <w:rPr>
          <w:b/>
          <w:i w:val="0"/>
          <w:sz w:val="22"/>
          <w:szCs w:val="20"/>
        </w:rPr>
        <w:t>(2)</w:t>
      </w:r>
      <w:r>
        <w:rPr>
          <w:b/>
          <w:i w:val="0"/>
          <w:sz w:val="22"/>
          <w:szCs w:val="20"/>
        </w:rPr>
        <w:t xml:space="preserve"> </w:t>
      </w:r>
      <w:r w:rsidR="004E4A96" w:rsidRPr="006B4F8D">
        <w:rPr>
          <w:i w:val="0"/>
          <w:sz w:val="22"/>
          <w:szCs w:val="20"/>
        </w:rPr>
        <w:t>An annual charge of such amount as is prescribed is payable in respect of a licence that is in force at any time during a financial year.</w:t>
      </w:r>
    </w:p>
    <w:p w14:paraId="2E3948DE" w14:textId="77777777" w:rsidR="00431FC2" w:rsidRDefault="00431FC2">
      <w:pPr>
        <w:rPr>
          <w:rFonts w:ascii="Times New Roman" w:eastAsia="Times New Roman" w:hAnsi="Times New Roman" w:cs="Times New Roman"/>
          <w:b/>
          <w:bCs/>
          <w:sz w:val="22"/>
          <w:szCs w:val="20"/>
        </w:rPr>
      </w:pPr>
      <w:r>
        <w:rPr>
          <w:sz w:val="22"/>
          <w:szCs w:val="20"/>
        </w:rPr>
        <w:br w:type="page"/>
      </w:r>
    </w:p>
    <w:p w14:paraId="66AD3B65" w14:textId="77777777" w:rsidR="00DA0A09" w:rsidRPr="006B4F8D" w:rsidRDefault="004E4A96" w:rsidP="006B4F8D">
      <w:pPr>
        <w:pStyle w:val="Bodytext20"/>
        <w:spacing w:before="120" w:after="60" w:line="240" w:lineRule="auto"/>
        <w:jc w:val="both"/>
        <w:rPr>
          <w:sz w:val="22"/>
          <w:szCs w:val="20"/>
        </w:rPr>
      </w:pPr>
      <w:r w:rsidRPr="006B4F8D">
        <w:rPr>
          <w:sz w:val="22"/>
          <w:szCs w:val="20"/>
        </w:rPr>
        <w:lastRenderedPageBreak/>
        <w:t>Regulations</w:t>
      </w:r>
    </w:p>
    <w:p w14:paraId="1ECC8E39" w14:textId="77777777" w:rsidR="00DA0A09" w:rsidRPr="006B4F8D" w:rsidRDefault="00431FC2" w:rsidP="009C18C3">
      <w:pPr>
        <w:pStyle w:val="Bodytext30"/>
        <w:tabs>
          <w:tab w:val="left" w:pos="738"/>
        </w:tabs>
        <w:spacing w:before="120" w:line="240" w:lineRule="auto"/>
        <w:ind w:firstLine="360"/>
        <w:jc w:val="both"/>
        <w:rPr>
          <w:i w:val="0"/>
          <w:sz w:val="22"/>
          <w:szCs w:val="20"/>
        </w:rPr>
      </w:pPr>
      <w:r>
        <w:rPr>
          <w:b/>
          <w:i w:val="0"/>
          <w:sz w:val="22"/>
          <w:szCs w:val="20"/>
        </w:rPr>
        <w:t>5.</w:t>
      </w:r>
      <w:r>
        <w:rPr>
          <w:b/>
          <w:i w:val="0"/>
          <w:sz w:val="22"/>
          <w:szCs w:val="20"/>
        </w:rPr>
        <w:tab/>
      </w:r>
      <w:r w:rsidR="004E4A96" w:rsidRPr="006B4F8D">
        <w:rPr>
          <w:b/>
          <w:i w:val="0"/>
          <w:sz w:val="22"/>
          <w:szCs w:val="20"/>
        </w:rPr>
        <w:t>(1</w:t>
      </w:r>
      <w:r w:rsidR="004E4A96" w:rsidRPr="006B4F8D">
        <w:rPr>
          <w:i w:val="0"/>
          <w:sz w:val="22"/>
          <w:szCs w:val="20"/>
        </w:rPr>
        <w:t>)</w:t>
      </w:r>
      <w:r w:rsidR="004E4A96" w:rsidRPr="006B4F8D">
        <w:rPr>
          <w:sz w:val="22"/>
          <w:szCs w:val="20"/>
        </w:rPr>
        <w:t xml:space="preserve"> </w:t>
      </w:r>
      <w:r w:rsidR="004E4A96" w:rsidRPr="006B4F8D">
        <w:rPr>
          <w:i w:val="0"/>
          <w:sz w:val="22"/>
          <w:szCs w:val="20"/>
        </w:rPr>
        <w:t>The Governor-General may make regulations, not inconsistent with this Act, prescribing the amounts of charges.</w:t>
      </w:r>
    </w:p>
    <w:p w14:paraId="2878F634" w14:textId="77777777" w:rsidR="00DA0A09" w:rsidRPr="00723216" w:rsidRDefault="00723216" w:rsidP="009C18C3">
      <w:pPr>
        <w:pStyle w:val="Bodytext30"/>
        <w:tabs>
          <w:tab w:val="left" w:pos="630"/>
        </w:tabs>
        <w:spacing w:before="120" w:line="240" w:lineRule="auto"/>
        <w:ind w:left="360"/>
        <w:jc w:val="both"/>
        <w:rPr>
          <w:i w:val="0"/>
          <w:sz w:val="22"/>
          <w:szCs w:val="20"/>
        </w:rPr>
      </w:pPr>
      <w:r w:rsidRPr="00723216">
        <w:rPr>
          <w:b/>
          <w:i w:val="0"/>
          <w:sz w:val="22"/>
          <w:szCs w:val="20"/>
        </w:rPr>
        <w:t>(2)</w:t>
      </w:r>
      <w:r>
        <w:rPr>
          <w:b/>
          <w:i w:val="0"/>
          <w:sz w:val="22"/>
          <w:szCs w:val="20"/>
        </w:rPr>
        <w:t xml:space="preserve"> </w:t>
      </w:r>
      <w:r w:rsidR="004E4A96" w:rsidRPr="00723216">
        <w:rPr>
          <w:i w:val="0"/>
          <w:sz w:val="22"/>
          <w:szCs w:val="20"/>
        </w:rPr>
        <w:t>The regulations may prescribe different charges in relation to:</w:t>
      </w:r>
    </w:p>
    <w:p w14:paraId="4389E608" w14:textId="77777777" w:rsidR="00DA0A09" w:rsidRPr="006B4F8D" w:rsidRDefault="005A06AD" w:rsidP="009C18C3">
      <w:pPr>
        <w:pStyle w:val="BodyText1"/>
        <w:tabs>
          <w:tab w:val="left" w:pos="711"/>
        </w:tabs>
        <w:spacing w:before="120" w:line="240" w:lineRule="auto"/>
        <w:ind w:firstLine="360"/>
        <w:rPr>
          <w:sz w:val="22"/>
          <w:szCs w:val="20"/>
        </w:rPr>
      </w:pPr>
      <w:r>
        <w:rPr>
          <w:sz w:val="22"/>
          <w:szCs w:val="20"/>
        </w:rPr>
        <w:t xml:space="preserve">(a) </w:t>
      </w:r>
      <w:r w:rsidR="004E4A96" w:rsidRPr="006B4F8D">
        <w:rPr>
          <w:sz w:val="22"/>
          <w:szCs w:val="20"/>
        </w:rPr>
        <w:t>different classes of goods; or</w:t>
      </w:r>
    </w:p>
    <w:p w14:paraId="1C4AA324" w14:textId="77777777" w:rsidR="00DA0A09" w:rsidRPr="006B4F8D" w:rsidRDefault="005A06AD" w:rsidP="009C18C3">
      <w:pPr>
        <w:pStyle w:val="BodyText1"/>
        <w:tabs>
          <w:tab w:val="left" w:pos="711"/>
        </w:tabs>
        <w:spacing w:before="120" w:line="240" w:lineRule="auto"/>
        <w:ind w:firstLine="360"/>
        <w:rPr>
          <w:sz w:val="22"/>
          <w:szCs w:val="20"/>
        </w:rPr>
      </w:pPr>
      <w:r>
        <w:rPr>
          <w:sz w:val="22"/>
          <w:szCs w:val="20"/>
        </w:rPr>
        <w:t xml:space="preserve">(b) </w:t>
      </w:r>
      <w:r w:rsidR="004E4A96" w:rsidRPr="006B4F8D">
        <w:rPr>
          <w:sz w:val="22"/>
          <w:szCs w:val="20"/>
        </w:rPr>
        <w:t>in the case of annual licensing charges—different steps in the manufacture of goods.</w:t>
      </w:r>
    </w:p>
    <w:p w14:paraId="76615492" w14:textId="17F950A5" w:rsidR="00DF51B7" w:rsidRDefault="00723216" w:rsidP="009C18C3">
      <w:pPr>
        <w:pStyle w:val="Bodytext30"/>
        <w:tabs>
          <w:tab w:val="left" w:pos="630"/>
        </w:tabs>
        <w:spacing w:before="120" w:line="240" w:lineRule="auto"/>
        <w:ind w:firstLine="360"/>
        <w:jc w:val="both"/>
        <w:rPr>
          <w:i w:val="0"/>
          <w:sz w:val="22"/>
          <w:szCs w:val="20"/>
        </w:rPr>
      </w:pPr>
      <w:r w:rsidRPr="00723216">
        <w:rPr>
          <w:b/>
          <w:i w:val="0"/>
          <w:sz w:val="22"/>
          <w:szCs w:val="20"/>
        </w:rPr>
        <w:t>(3)</w:t>
      </w:r>
      <w:r>
        <w:rPr>
          <w:sz w:val="22"/>
          <w:szCs w:val="20"/>
        </w:rPr>
        <w:t xml:space="preserve"> </w:t>
      </w:r>
      <w:r w:rsidR="004E4A96" w:rsidRPr="00DF51B7">
        <w:rPr>
          <w:i w:val="0"/>
          <w:sz w:val="22"/>
          <w:szCs w:val="20"/>
        </w:rPr>
        <w:t>The regulations shall provide that annual charges in respect of the registration or listing of therapeutic goods are not payable by persons whose turnover of those goods</w:t>
      </w:r>
      <w:r w:rsidR="00431FC2">
        <w:rPr>
          <w:i w:val="0"/>
          <w:sz w:val="22"/>
          <w:szCs w:val="20"/>
        </w:rPr>
        <w:t xml:space="preserve"> is of low volume and low value</w:t>
      </w:r>
      <w:r w:rsidR="00E422F8">
        <w:rPr>
          <w:i w:val="0"/>
          <w:sz w:val="22"/>
          <w:szCs w:val="20"/>
        </w:rPr>
        <w:t>.</w:t>
      </w:r>
    </w:p>
    <w:p w14:paraId="0EF66399" w14:textId="77777777" w:rsidR="00431FC2" w:rsidRPr="00431FC2" w:rsidRDefault="00431FC2" w:rsidP="00431FC2">
      <w:pPr>
        <w:pStyle w:val="Bodytext30"/>
        <w:pBdr>
          <w:bottom w:val="single" w:sz="4" w:space="1" w:color="auto"/>
        </w:pBdr>
        <w:tabs>
          <w:tab w:val="left" w:pos="630"/>
        </w:tabs>
        <w:spacing w:before="120" w:line="240" w:lineRule="auto"/>
        <w:jc w:val="both"/>
        <w:rPr>
          <w:i w:val="0"/>
          <w:sz w:val="22"/>
          <w:szCs w:val="20"/>
        </w:rPr>
      </w:pPr>
    </w:p>
    <w:p w14:paraId="1D57901E" w14:textId="71AAECF7" w:rsidR="00DA0A09" w:rsidRPr="00E422F8" w:rsidRDefault="004E4A96" w:rsidP="009C18C3">
      <w:pPr>
        <w:pStyle w:val="Bodytext40"/>
        <w:spacing w:before="120" w:line="240" w:lineRule="auto"/>
        <w:jc w:val="both"/>
        <w:rPr>
          <w:b w:val="0"/>
          <w:sz w:val="20"/>
          <w:szCs w:val="20"/>
        </w:rPr>
      </w:pPr>
      <w:r w:rsidRPr="00E422F8">
        <w:rPr>
          <w:rStyle w:val="Bodytext475pt"/>
          <w:bCs/>
          <w:sz w:val="20"/>
          <w:szCs w:val="20"/>
        </w:rPr>
        <w:t>[</w:t>
      </w:r>
      <w:r w:rsidRPr="00E422F8">
        <w:rPr>
          <w:b w:val="0"/>
          <w:sz w:val="20"/>
          <w:szCs w:val="20"/>
        </w:rPr>
        <w:t xml:space="preserve">Minister’s </w:t>
      </w:r>
      <w:bookmarkStart w:id="2" w:name="_GoBack"/>
      <w:bookmarkEnd w:id="2"/>
      <w:r w:rsidRPr="00E422F8">
        <w:rPr>
          <w:b w:val="0"/>
          <w:sz w:val="20"/>
          <w:szCs w:val="20"/>
        </w:rPr>
        <w:t>second reading speech made in</w:t>
      </w:r>
      <w:r w:rsidRPr="00E422F8">
        <w:rPr>
          <w:rStyle w:val="Bodytext475pt"/>
          <w:bCs/>
          <w:sz w:val="20"/>
          <w:szCs w:val="20"/>
        </w:rPr>
        <w:t>—</w:t>
      </w:r>
    </w:p>
    <w:p w14:paraId="434096D4" w14:textId="77777777" w:rsidR="00DF51B7" w:rsidRPr="00E422F8" w:rsidRDefault="004E4A96" w:rsidP="00DF51B7">
      <w:pPr>
        <w:pStyle w:val="Bodytext40"/>
        <w:spacing w:line="240" w:lineRule="auto"/>
        <w:ind w:firstLine="900"/>
        <w:jc w:val="both"/>
        <w:rPr>
          <w:b w:val="0"/>
          <w:sz w:val="20"/>
          <w:szCs w:val="20"/>
        </w:rPr>
      </w:pPr>
      <w:r w:rsidRPr="00E422F8">
        <w:rPr>
          <w:b w:val="0"/>
          <w:sz w:val="20"/>
          <w:szCs w:val="20"/>
        </w:rPr>
        <w:t xml:space="preserve">House of Representatives on 26 October 1989 </w:t>
      </w:r>
    </w:p>
    <w:p w14:paraId="1FE72B3E" w14:textId="77777777" w:rsidR="00DA0A09" w:rsidRPr="00E422F8" w:rsidRDefault="004E4A96" w:rsidP="00DF51B7">
      <w:pPr>
        <w:pStyle w:val="Bodytext40"/>
        <w:spacing w:line="240" w:lineRule="auto"/>
        <w:ind w:firstLine="900"/>
        <w:jc w:val="both"/>
        <w:rPr>
          <w:b w:val="0"/>
          <w:sz w:val="20"/>
          <w:szCs w:val="20"/>
        </w:rPr>
      </w:pPr>
      <w:r w:rsidRPr="00E422F8">
        <w:rPr>
          <w:b w:val="0"/>
          <w:sz w:val="20"/>
          <w:szCs w:val="20"/>
        </w:rPr>
        <w:t>Senate on 12 December 1989</w:t>
      </w:r>
      <w:r w:rsidRPr="00E422F8">
        <w:rPr>
          <w:b w:val="0"/>
          <w:i w:val="0"/>
          <w:sz w:val="20"/>
          <w:szCs w:val="20"/>
        </w:rPr>
        <w:t>]</w:t>
      </w:r>
    </w:p>
    <w:sectPr w:rsidR="00DA0A09" w:rsidRPr="00E422F8" w:rsidSect="003A7763">
      <w:headerReference w:type="default" r:id="rId10"/>
      <w:pgSz w:w="12240" w:h="15840" w:code="1"/>
      <w:pgMar w:top="1440" w:right="1440" w:bottom="1440" w:left="1440" w:header="72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440A42" w15:done="0"/>
  <w15:commentEx w15:paraId="69081A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440A42" w16cid:durableId="205D80B3"/>
  <w16cid:commentId w16cid:paraId="69081AE6" w16cid:durableId="205D80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45D53" w14:textId="77777777" w:rsidR="00C948EC" w:rsidRDefault="00C948EC">
      <w:r>
        <w:separator/>
      </w:r>
    </w:p>
  </w:endnote>
  <w:endnote w:type="continuationSeparator" w:id="0">
    <w:p w14:paraId="55C35849" w14:textId="77777777" w:rsidR="00C948EC" w:rsidRDefault="00C9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E1B91" w14:textId="77777777" w:rsidR="00C948EC" w:rsidRDefault="00C948EC"/>
  </w:footnote>
  <w:footnote w:type="continuationSeparator" w:id="0">
    <w:p w14:paraId="39942F26" w14:textId="77777777" w:rsidR="00C948EC" w:rsidRDefault="00C948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0B52A" w14:textId="77777777" w:rsidR="003A7763" w:rsidRPr="003A7763" w:rsidRDefault="003A7763" w:rsidP="003A7763">
    <w:pPr>
      <w:pStyle w:val="Header"/>
      <w:jc w:val="center"/>
      <w:rPr>
        <w:rFonts w:ascii="Times New Roman" w:hAnsi="Times New Roman" w:cs="Times New Roman"/>
      </w:rPr>
    </w:pPr>
    <w:r w:rsidRPr="003A7763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Therapeutic Goods (Charges) No. 22, 1990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6F1C"/>
    <w:multiLevelType w:val="multilevel"/>
    <w:tmpl w:val="9D36A76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B8393B"/>
    <w:multiLevelType w:val="multilevel"/>
    <w:tmpl w:val="47B8D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24AAD"/>
    <w:multiLevelType w:val="multilevel"/>
    <w:tmpl w:val="119E587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9A0D01"/>
    <w:multiLevelType w:val="multilevel"/>
    <w:tmpl w:val="D1205280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A0A09"/>
    <w:rsid w:val="001F3863"/>
    <w:rsid w:val="003A7763"/>
    <w:rsid w:val="00431FC2"/>
    <w:rsid w:val="004B1A8D"/>
    <w:rsid w:val="004E4A96"/>
    <w:rsid w:val="005A06AD"/>
    <w:rsid w:val="005A41DE"/>
    <w:rsid w:val="006B4F8D"/>
    <w:rsid w:val="00723216"/>
    <w:rsid w:val="00825D76"/>
    <w:rsid w:val="00890B4D"/>
    <w:rsid w:val="009C18C3"/>
    <w:rsid w:val="009F188F"/>
    <w:rsid w:val="00B65F84"/>
    <w:rsid w:val="00B856BB"/>
    <w:rsid w:val="00C948EC"/>
    <w:rsid w:val="00DA0A09"/>
    <w:rsid w:val="00DF51B7"/>
    <w:rsid w:val="00E4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3D1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Bodytext475pt">
    <w:name w:val="Body text (4) + 7.5 pt"/>
    <w:aliases w:val="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Heading10">
    <w:name w:val="Heading #1"/>
    <w:basedOn w:val="Normal"/>
    <w:link w:val="Heading1"/>
    <w:pPr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20">
    <w:name w:val="Heading #2"/>
    <w:basedOn w:val="Normal"/>
    <w:link w:val="Heading2"/>
    <w:pPr>
      <w:spacing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">
    <w:name w:val="Body Text1"/>
    <w:basedOn w:val="Normal"/>
    <w:link w:val="Bodytext"/>
    <w:pPr>
      <w:spacing w:line="24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pPr>
      <w:spacing w:line="197" w:lineRule="exac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76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A7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763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F1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88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88F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88F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422F8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C693-76F9-4AF7-B82A-0D85EDBF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2019-04-13T23:50:00Z</dcterms:created>
  <dcterms:modified xsi:type="dcterms:W3CDTF">2019-10-09T00:42:00Z</dcterms:modified>
</cp:coreProperties>
</file>