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DB23B" w14:textId="77777777" w:rsidR="00523AFD" w:rsidRPr="005C676C" w:rsidRDefault="00165F05" w:rsidP="00233F6F">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32538EFA" wp14:editId="4AA0EB28">
            <wp:extent cx="1417320"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1036320"/>
                    </a:xfrm>
                    <a:prstGeom prst="rect">
                      <a:avLst/>
                    </a:prstGeom>
                    <a:noFill/>
                    <a:ln>
                      <a:noFill/>
                    </a:ln>
                  </pic:spPr>
                </pic:pic>
              </a:graphicData>
            </a:graphic>
          </wp:inline>
        </w:drawing>
      </w:r>
    </w:p>
    <w:p w14:paraId="688B39A1" w14:textId="77777777" w:rsidR="00523AFD" w:rsidRPr="00233F6F" w:rsidRDefault="00523AFD" w:rsidP="00233F6F">
      <w:pPr>
        <w:widowControl w:val="0"/>
        <w:autoSpaceDE w:val="0"/>
        <w:autoSpaceDN w:val="0"/>
        <w:adjustRightInd w:val="0"/>
        <w:spacing w:before="120"/>
        <w:jc w:val="center"/>
        <w:rPr>
          <w:b/>
          <w:sz w:val="36"/>
          <w:szCs w:val="22"/>
        </w:rPr>
      </w:pPr>
      <w:r w:rsidRPr="00233F6F">
        <w:rPr>
          <w:b/>
          <w:bCs/>
          <w:sz w:val="36"/>
          <w:szCs w:val="22"/>
        </w:rPr>
        <w:t>AU</w:t>
      </w:r>
      <w:bookmarkStart w:id="0" w:name="_GoBack"/>
      <w:bookmarkEnd w:id="0"/>
      <w:r w:rsidRPr="00233F6F">
        <w:rPr>
          <w:b/>
          <w:bCs/>
          <w:sz w:val="36"/>
          <w:szCs w:val="22"/>
        </w:rPr>
        <w:t>SSAT Amendment Act 1990</w:t>
      </w:r>
    </w:p>
    <w:p w14:paraId="402EB82B" w14:textId="68D01FA7" w:rsidR="00233F6F" w:rsidRDefault="00523AFD" w:rsidP="00233F6F">
      <w:pPr>
        <w:widowControl w:val="0"/>
        <w:autoSpaceDE w:val="0"/>
        <w:autoSpaceDN w:val="0"/>
        <w:adjustRightInd w:val="0"/>
        <w:spacing w:before="720"/>
        <w:jc w:val="center"/>
        <w:rPr>
          <w:b/>
          <w:bCs/>
          <w:sz w:val="22"/>
          <w:szCs w:val="22"/>
        </w:rPr>
      </w:pPr>
      <w:r w:rsidRPr="007E42CC">
        <w:rPr>
          <w:b/>
          <w:bCs/>
          <w:sz w:val="26"/>
          <w:szCs w:val="22"/>
        </w:rPr>
        <w:t>No. 12 of 1991</w:t>
      </w:r>
    </w:p>
    <w:p w14:paraId="5B5C2BED" w14:textId="77777777" w:rsidR="00523AFD" w:rsidRPr="005C676C" w:rsidRDefault="00523AFD" w:rsidP="00233F6F">
      <w:pPr>
        <w:widowControl w:val="0"/>
        <w:pBdr>
          <w:bottom w:val="double" w:sz="4" w:space="1" w:color="auto"/>
        </w:pBdr>
        <w:autoSpaceDE w:val="0"/>
        <w:autoSpaceDN w:val="0"/>
        <w:adjustRightInd w:val="0"/>
        <w:spacing w:before="720"/>
        <w:jc w:val="center"/>
        <w:rPr>
          <w:sz w:val="22"/>
          <w:szCs w:val="22"/>
        </w:rPr>
      </w:pPr>
    </w:p>
    <w:p w14:paraId="7A0E08EC" w14:textId="45059C6B" w:rsidR="00523AFD" w:rsidRPr="005C676C" w:rsidRDefault="00523AFD" w:rsidP="00233F6F">
      <w:pPr>
        <w:widowControl w:val="0"/>
        <w:autoSpaceDE w:val="0"/>
        <w:autoSpaceDN w:val="0"/>
        <w:adjustRightInd w:val="0"/>
        <w:spacing w:before="720"/>
        <w:jc w:val="center"/>
        <w:rPr>
          <w:bCs/>
          <w:iCs/>
          <w:sz w:val="22"/>
          <w:szCs w:val="22"/>
        </w:rPr>
      </w:pPr>
      <w:r w:rsidRPr="007E42CC">
        <w:rPr>
          <w:b/>
          <w:bCs/>
        </w:rPr>
        <w:t xml:space="preserve">An Act to amend the </w:t>
      </w:r>
      <w:proofErr w:type="spellStart"/>
      <w:r w:rsidRPr="007E42CC">
        <w:rPr>
          <w:b/>
          <w:bCs/>
          <w:i/>
          <w:iCs/>
        </w:rPr>
        <w:t>AUSSAT</w:t>
      </w:r>
      <w:proofErr w:type="spellEnd"/>
      <w:r w:rsidRPr="007E42CC">
        <w:rPr>
          <w:b/>
          <w:bCs/>
          <w:i/>
          <w:iCs/>
        </w:rPr>
        <w:t xml:space="preserve"> Act 1984</w:t>
      </w:r>
    </w:p>
    <w:p w14:paraId="0779402C" w14:textId="77777777" w:rsidR="00523AFD" w:rsidRPr="005C676C" w:rsidRDefault="00523AFD" w:rsidP="00233F6F">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21 January 1991</w:t>
      </w:r>
      <w:r w:rsidRPr="005C676C">
        <w:rPr>
          <w:sz w:val="22"/>
          <w:szCs w:val="22"/>
        </w:rPr>
        <w:t>]</w:t>
      </w:r>
    </w:p>
    <w:p w14:paraId="519F83F7" w14:textId="77777777" w:rsidR="00523AFD" w:rsidRPr="005C676C" w:rsidRDefault="00523AFD" w:rsidP="00523AFD">
      <w:pPr>
        <w:widowControl w:val="0"/>
        <w:autoSpaceDE w:val="0"/>
        <w:autoSpaceDN w:val="0"/>
        <w:adjustRightInd w:val="0"/>
        <w:spacing w:before="120"/>
        <w:ind w:left="619"/>
        <w:jc w:val="both"/>
        <w:rPr>
          <w:sz w:val="22"/>
          <w:szCs w:val="22"/>
        </w:rPr>
      </w:pPr>
      <w:r w:rsidRPr="005C676C">
        <w:rPr>
          <w:sz w:val="22"/>
          <w:szCs w:val="22"/>
        </w:rPr>
        <w:t>The Parliament of Australia enacts:</w:t>
      </w:r>
    </w:p>
    <w:p w14:paraId="6F968C78" w14:textId="77777777" w:rsidR="00523AFD" w:rsidRPr="005C676C" w:rsidRDefault="00523AFD" w:rsidP="00523AFD">
      <w:pPr>
        <w:widowControl w:val="0"/>
        <w:autoSpaceDE w:val="0"/>
        <w:autoSpaceDN w:val="0"/>
        <w:adjustRightInd w:val="0"/>
        <w:spacing w:before="120"/>
        <w:ind w:left="216"/>
        <w:jc w:val="both"/>
        <w:rPr>
          <w:bCs/>
          <w:sz w:val="22"/>
          <w:szCs w:val="22"/>
        </w:rPr>
      </w:pPr>
      <w:r w:rsidRPr="005C676C">
        <w:rPr>
          <w:b/>
          <w:bCs/>
          <w:sz w:val="22"/>
          <w:szCs w:val="22"/>
        </w:rPr>
        <w:t>Short title etc.</w:t>
      </w:r>
    </w:p>
    <w:p w14:paraId="7D97CD74" w14:textId="77777777" w:rsidR="00523AFD" w:rsidRPr="005C676C" w:rsidRDefault="00523AFD" w:rsidP="00523AFD">
      <w:pPr>
        <w:widowControl w:val="0"/>
        <w:tabs>
          <w:tab w:val="left" w:pos="854"/>
        </w:tabs>
        <w:autoSpaceDE w:val="0"/>
        <w:autoSpaceDN w:val="0"/>
        <w:adjustRightInd w:val="0"/>
        <w:spacing w:before="120"/>
        <w:ind w:left="562"/>
        <w:jc w:val="both"/>
        <w:rPr>
          <w:iCs/>
          <w:sz w:val="22"/>
          <w:szCs w:val="22"/>
        </w:rPr>
      </w:pPr>
      <w:r w:rsidRPr="005C676C">
        <w:rPr>
          <w:b/>
          <w:bCs/>
          <w:sz w:val="22"/>
          <w:szCs w:val="22"/>
        </w:rPr>
        <w:t>1.</w:t>
      </w:r>
      <w:r w:rsidRPr="005C676C">
        <w:rPr>
          <w:b/>
          <w:bCs/>
          <w:sz w:val="22"/>
          <w:szCs w:val="22"/>
        </w:rPr>
        <w:tab/>
        <w:t xml:space="preserve">(1) </w:t>
      </w:r>
      <w:r w:rsidRPr="005C676C">
        <w:rPr>
          <w:sz w:val="22"/>
          <w:szCs w:val="22"/>
        </w:rPr>
        <w:t xml:space="preserve">This Act may be cited as the </w:t>
      </w:r>
      <w:r w:rsidRPr="005C676C">
        <w:rPr>
          <w:i/>
          <w:iCs/>
          <w:sz w:val="22"/>
          <w:szCs w:val="22"/>
        </w:rPr>
        <w:t>AUSSAT Amendment Act 1990.</w:t>
      </w:r>
    </w:p>
    <w:p w14:paraId="43B1D0B4" w14:textId="77777777" w:rsidR="00523AFD" w:rsidRPr="005C676C" w:rsidRDefault="00523AFD" w:rsidP="00523AFD">
      <w:pPr>
        <w:widowControl w:val="0"/>
        <w:autoSpaceDE w:val="0"/>
        <w:autoSpaceDN w:val="0"/>
        <w:adjustRightInd w:val="0"/>
        <w:spacing w:before="120"/>
        <w:ind w:left="562"/>
        <w:jc w:val="both"/>
        <w:rPr>
          <w:sz w:val="22"/>
          <w:szCs w:val="22"/>
        </w:rPr>
      </w:pPr>
      <w:r w:rsidRPr="003443BE">
        <w:rPr>
          <w:b/>
          <w:sz w:val="22"/>
          <w:szCs w:val="22"/>
        </w:rPr>
        <w:t>(2)</w:t>
      </w:r>
      <w:r w:rsidRPr="005C676C">
        <w:rPr>
          <w:sz w:val="22"/>
          <w:szCs w:val="22"/>
        </w:rPr>
        <w:t xml:space="preserve"> In this Act,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AUSSAT Act 1984</w:t>
      </w:r>
      <w:r w:rsidRPr="005C676C">
        <w:rPr>
          <w:sz w:val="22"/>
          <w:szCs w:val="22"/>
          <w:vertAlign w:val="superscript"/>
        </w:rPr>
        <w:t>1</w:t>
      </w:r>
      <w:r w:rsidRPr="005C676C">
        <w:rPr>
          <w:sz w:val="22"/>
          <w:szCs w:val="22"/>
        </w:rPr>
        <w:t>.</w:t>
      </w:r>
    </w:p>
    <w:p w14:paraId="17A06315" w14:textId="77777777" w:rsidR="00523AFD" w:rsidRPr="005C676C" w:rsidRDefault="00523AFD" w:rsidP="00523AFD">
      <w:pPr>
        <w:widowControl w:val="0"/>
        <w:autoSpaceDE w:val="0"/>
        <w:autoSpaceDN w:val="0"/>
        <w:adjustRightInd w:val="0"/>
        <w:spacing w:before="120"/>
        <w:ind w:left="221"/>
        <w:jc w:val="both"/>
        <w:rPr>
          <w:bCs/>
          <w:sz w:val="22"/>
          <w:szCs w:val="22"/>
        </w:rPr>
      </w:pPr>
      <w:r w:rsidRPr="005C676C">
        <w:rPr>
          <w:b/>
          <w:bCs/>
          <w:sz w:val="22"/>
          <w:szCs w:val="22"/>
        </w:rPr>
        <w:t>Commencement</w:t>
      </w:r>
    </w:p>
    <w:p w14:paraId="7F05E05C" w14:textId="77777777" w:rsidR="00523AFD" w:rsidRPr="005C676C" w:rsidRDefault="00523AFD" w:rsidP="00523AFD">
      <w:pPr>
        <w:widowControl w:val="0"/>
        <w:tabs>
          <w:tab w:val="left" w:pos="854"/>
        </w:tabs>
        <w:autoSpaceDE w:val="0"/>
        <w:autoSpaceDN w:val="0"/>
        <w:adjustRightInd w:val="0"/>
        <w:spacing w:before="120"/>
        <w:ind w:left="216" w:firstLine="346"/>
        <w:jc w:val="both"/>
        <w:rPr>
          <w:sz w:val="22"/>
          <w:szCs w:val="22"/>
        </w:rPr>
      </w:pPr>
      <w:r w:rsidRPr="005C676C">
        <w:rPr>
          <w:b/>
          <w:bCs/>
          <w:sz w:val="22"/>
          <w:szCs w:val="22"/>
        </w:rPr>
        <w:t>2.</w:t>
      </w:r>
      <w:r w:rsidRPr="005C676C">
        <w:rPr>
          <w:b/>
          <w:bCs/>
          <w:sz w:val="22"/>
          <w:szCs w:val="22"/>
        </w:rPr>
        <w:tab/>
        <w:t xml:space="preserve">(1) </w:t>
      </w:r>
      <w:r w:rsidRPr="005C676C">
        <w:rPr>
          <w:sz w:val="22"/>
          <w:szCs w:val="22"/>
        </w:rPr>
        <w:t>Except for section 6, this Act commences on the day on which it receives the Royal Assent.</w:t>
      </w:r>
    </w:p>
    <w:p w14:paraId="1F7D316B" w14:textId="77777777" w:rsidR="00523AFD" w:rsidRPr="005C676C" w:rsidRDefault="00523AFD" w:rsidP="00523AFD">
      <w:pPr>
        <w:widowControl w:val="0"/>
        <w:tabs>
          <w:tab w:val="left" w:pos="955"/>
        </w:tabs>
        <w:autoSpaceDE w:val="0"/>
        <w:autoSpaceDN w:val="0"/>
        <w:adjustRightInd w:val="0"/>
        <w:spacing w:before="120"/>
        <w:ind w:left="221" w:firstLine="336"/>
        <w:jc w:val="both"/>
        <w:rPr>
          <w:sz w:val="22"/>
          <w:szCs w:val="22"/>
        </w:rPr>
      </w:pPr>
      <w:r w:rsidRPr="005C676C">
        <w:rPr>
          <w:sz w:val="22"/>
          <w:szCs w:val="22"/>
        </w:rPr>
        <w:t>(2)</w:t>
      </w:r>
      <w:r w:rsidRPr="005C676C">
        <w:rPr>
          <w:sz w:val="22"/>
          <w:szCs w:val="22"/>
        </w:rPr>
        <w:tab/>
        <w:t>Subject to subsection (3), section 6 commences on a day to be fixed by Proclamation.</w:t>
      </w:r>
    </w:p>
    <w:p w14:paraId="20DDA36D" w14:textId="77777777" w:rsidR="00523AFD" w:rsidRPr="005C676C" w:rsidRDefault="00523AFD" w:rsidP="00523AFD">
      <w:pPr>
        <w:widowControl w:val="0"/>
        <w:tabs>
          <w:tab w:val="left" w:pos="955"/>
        </w:tabs>
        <w:autoSpaceDE w:val="0"/>
        <w:autoSpaceDN w:val="0"/>
        <w:adjustRightInd w:val="0"/>
        <w:spacing w:before="120"/>
        <w:ind w:left="221" w:firstLine="336"/>
        <w:jc w:val="both"/>
        <w:rPr>
          <w:sz w:val="22"/>
          <w:szCs w:val="22"/>
        </w:rPr>
      </w:pPr>
      <w:r w:rsidRPr="005C676C">
        <w:rPr>
          <w:sz w:val="22"/>
          <w:szCs w:val="22"/>
        </w:rPr>
        <w:t>(3)</w:t>
      </w:r>
      <w:r w:rsidRPr="005C676C">
        <w:rPr>
          <w:sz w:val="22"/>
          <w:szCs w:val="22"/>
        </w:rPr>
        <w:tab/>
        <w:t>If section 6 does not commence under subsection (2) within the period of 6 months beginning on the day on which this Act receives the Royal Assent, it commences on the first day after the end of that period.</w:t>
      </w:r>
    </w:p>
    <w:p w14:paraId="71D33FFF" w14:textId="77777777" w:rsidR="00523AFD" w:rsidRPr="005C676C" w:rsidRDefault="00523AFD" w:rsidP="00523AFD">
      <w:pPr>
        <w:widowControl w:val="0"/>
        <w:autoSpaceDE w:val="0"/>
        <w:autoSpaceDN w:val="0"/>
        <w:adjustRightInd w:val="0"/>
        <w:spacing w:before="120"/>
        <w:ind w:left="216"/>
        <w:jc w:val="both"/>
        <w:rPr>
          <w:bCs/>
          <w:sz w:val="22"/>
          <w:szCs w:val="22"/>
        </w:rPr>
      </w:pPr>
      <w:r w:rsidRPr="005C676C">
        <w:rPr>
          <w:b/>
          <w:bCs/>
          <w:sz w:val="22"/>
          <w:szCs w:val="22"/>
        </w:rPr>
        <w:t>Title</w:t>
      </w:r>
    </w:p>
    <w:p w14:paraId="504B0AB4" w14:textId="51CDB59A" w:rsidR="00523AFD" w:rsidRPr="005C676C" w:rsidRDefault="00523AFD" w:rsidP="00523AFD">
      <w:pPr>
        <w:widowControl w:val="0"/>
        <w:tabs>
          <w:tab w:val="left" w:pos="854"/>
        </w:tabs>
        <w:autoSpaceDE w:val="0"/>
        <w:autoSpaceDN w:val="0"/>
        <w:adjustRightInd w:val="0"/>
        <w:spacing w:before="120"/>
        <w:ind w:left="216" w:firstLine="346"/>
        <w:jc w:val="both"/>
        <w:rPr>
          <w:bCs/>
          <w:sz w:val="22"/>
          <w:szCs w:val="22"/>
        </w:rPr>
      </w:pPr>
      <w:r w:rsidRPr="005C676C">
        <w:rPr>
          <w:b/>
          <w:bCs/>
          <w:sz w:val="22"/>
          <w:szCs w:val="22"/>
        </w:rPr>
        <w:t>3.</w:t>
      </w:r>
      <w:r w:rsidRPr="005C676C">
        <w:rPr>
          <w:b/>
          <w:bCs/>
          <w:sz w:val="22"/>
          <w:szCs w:val="22"/>
        </w:rPr>
        <w:tab/>
      </w:r>
      <w:r w:rsidRPr="005C676C">
        <w:rPr>
          <w:sz w:val="22"/>
          <w:szCs w:val="22"/>
        </w:rPr>
        <w:t xml:space="preserve">The title of the Principal Act is amended by omitting </w:t>
      </w:r>
      <w:r>
        <w:rPr>
          <w:b/>
          <w:bCs/>
          <w:sz w:val="22"/>
          <w:szCs w:val="22"/>
        </w:rPr>
        <w:t>“</w:t>
      </w:r>
      <w:r w:rsidRPr="005C676C">
        <w:rPr>
          <w:b/>
          <w:bCs/>
          <w:sz w:val="22"/>
          <w:szCs w:val="22"/>
        </w:rPr>
        <w:t>the national telecommunications satellite system</w:t>
      </w:r>
      <w:r>
        <w:rPr>
          <w:b/>
          <w:bCs/>
          <w:sz w:val="22"/>
          <w:szCs w:val="22"/>
        </w:rPr>
        <w:t>”</w:t>
      </w:r>
      <w:r w:rsidRPr="005C676C">
        <w:rPr>
          <w:b/>
          <w:bCs/>
          <w:sz w:val="22"/>
          <w:szCs w:val="22"/>
        </w:rPr>
        <w:t xml:space="preserve"> </w:t>
      </w:r>
      <w:r w:rsidRPr="005C676C">
        <w:rPr>
          <w:sz w:val="22"/>
          <w:szCs w:val="22"/>
        </w:rPr>
        <w:t xml:space="preserve">and substituting </w:t>
      </w:r>
      <w:r>
        <w:rPr>
          <w:b/>
          <w:bCs/>
          <w:sz w:val="22"/>
          <w:szCs w:val="22"/>
        </w:rPr>
        <w:t>“</w:t>
      </w:r>
      <w:proofErr w:type="spellStart"/>
      <w:r w:rsidRPr="005C676C">
        <w:rPr>
          <w:b/>
          <w:bCs/>
          <w:sz w:val="22"/>
          <w:szCs w:val="22"/>
        </w:rPr>
        <w:t>AUSSAT</w:t>
      </w:r>
      <w:proofErr w:type="spellEnd"/>
      <w:r w:rsidRPr="005C676C">
        <w:rPr>
          <w:b/>
          <w:bCs/>
          <w:sz w:val="22"/>
          <w:szCs w:val="22"/>
        </w:rPr>
        <w:t xml:space="preserve"> Pty Ltd</w:t>
      </w:r>
      <w:r>
        <w:rPr>
          <w:b/>
          <w:bCs/>
          <w:sz w:val="22"/>
          <w:szCs w:val="22"/>
        </w:rPr>
        <w:t>”</w:t>
      </w:r>
      <w:r w:rsidRPr="007E42CC">
        <w:rPr>
          <w:bCs/>
          <w:sz w:val="22"/>
          <w:szCs w:val="22"/>
        </w:rPr>
        <w:t>.</w:t>
      </w:r>
    </w:p>
    <w:p w14:paraId="69E678F9" w14:textId="51BAE083" w:rsidR="00523AFD" w:rsidRPr="005C676C" w:rsidRDefault="00523AFD" w:rsidP="00233F6F">
      <w:pPr>
        <w:widowControl w:val="0"/>
        <w:autoSpaceDE w:val="0"/>
        <w:autoSpaceDN w:val="0"/>
        <w:adjustRightInd w:val="0"/>
        <w:spacing w:before="120"/>
        <w:jc w:val="both"/>
        <w:rPr>
          <w:bCs/>
          <w:sz w:val="22"/>
          <w:szCs w:val="22"/>
        </w:rPr>
      </w:pPr>
      <w:r w:rsidRPr="005C676C">
        <w:rPr>
          <w:sz w:val="22"/>
          <w:szCs w:val="22"/>
        </w:rPr>
        <w:br w:type="page"/>
      </w:r>
      <w:r w:rsidRPr="005C676C">
        <w:rPr>
          <w:b/>
          <w:bCs/>
          <w:sz w:val="22"/>
          <w:szCs w:val="22"/>
        </w:rPr>
        <w:lastRenderedPageBreak/>
        <w:t>Interpretation</w:t>
      </w:r>
    </w:p>
    <w:p w14:paraId="49BBE3A4" w14:textId="77777777" w:rsidR="00523AFD" w:rsidRPr="005C676C" w:rsidRDefault="00523AFD" w:rsidP="00523AFD">
      <w:pPr>
        <w:widowControl w:val="0"/>
        <w:tabs>
          <w:tab w:val="left" w:pos="629"/>
        </w:tabs>
        <w:autoSpaceDE w:val="0"/>
        <w:autoSpaceDN w:val="0"/>
        <w:adjustRightInd w:val="0"/>
        <w:spacing w:before="120"/>
        <w:ind w:firstLine="331"/>
        <w:jc w:val="both"/>
        <w:rPr>
          <w:sz w:val="22"/>
          <w:szCs w:val="22"/>
        </w:rPr>
      </w:pPr>
      <w:r w:rsidRPr="005C676C">
        <w:rPr>
          <w:b/>
          <w:bCs/>
          <w:sz w:val="22"/>
          <w:szCs w:val="22"/>
        </w:rPr>
        <w:t>4.</w:t>
      </w:r>
      <w:r w:rsidRPr="005C676C">
        <w:rPr>
          <w:b/>
          <w:bCs/>
          <w:sz w:val="22"/>
          <w:szCs w:val="22"/>
        </w:rPr>
        <w:tab/>
      </w:r>
      <w:r w:rsidRPr="005C676C">
        <w:rPr>
          <w:sz w:val="22"/>
          <w:szCs w:val="22"/>
        </w:rPr>
        <w:t xml:space="preserve">Section 3 of the Principal Act is amended by omitting the definition of </w:t>
      </w:r>
      <w:r>
        <w:rPr>
          <w:sz w:val="22"/>
          <w:szCs w:val="22"/>
        </w:rPr>
        <w:t>“</w:t>
      </w:r>
      <w:proofErr w:type="spellStart"/>
      <w:r w:rsidRPr="005C676C">
        <w:rPr>
          <w:sz w:val="22"/>
          <w:szCs w:val="22"/>
        </w:rPr>
        <w:t>neighbouring</w:t>
      </w:r>
      <w:proofErr w:type="spellEnd"/>
      <w:r w:rsidRPr="005C676C">
        <w:rPr>
          <w:sz w:val="22"/>
          <w:szCs w:val="22"/>
        </w:rPr>
        <w:t xml:space="preserve"> regions</w:t>
      </w:r>
      <w:r>
        <w:rPr>
          <w:sz w:val="22"/>
          <w:szCs w:val="22"/>
        </w:rPr>
        <w:t>”</w:t>
      </w:r>
      <w:r w:rsidRPr="005C676C">
        <w:rPr>
          <w:sz w:val="22"/>
          <w:szCs w:val="22"/>
        </w:rPr>
        <w:t>.</w:t>
      </w:r>
    </w:p>
    <w:p w14:paraId="4818D5BB" w14:textId="77777777" w:rsidR="00523AFD" w:rsidRPr="005C676C" w:rsidRDefault="00523AFD" w:rsidP="00523AFD">
      <w:pPr>
        <w:widowControl w:val="0"/>
        <w:tabs>
          <w:tab w:val="left" w:pos="629"/>
        </w:tabs>
        <w:autoSpaceDE w:val="0"/>
        <w:autoSpaceDN w:val="0"/>
        <w:adjustRightInd w:val="0"/>
        <w:spacing w:before="120"/>
        <w:ind w:firstLine="331"/>
        <w:jc w:val="both"/>
        <w:rPr>
          <w:sz w:val="22"/>
          <w:szCs w:val="22"/>
        </w:rPr>
      </w:pPr>
      <w:r w:rsidRPr="005C676C">
        <w:rPr>
          <w:b/>
          <w:bCs/>
          <w:sz w:val="22"/>
          <w:szCs w:val="22"/>
        </w:rPr>
        <w:t>5.</w:t>
      </w:r>
      <w:r w:rsidRPr="005C676C">
        <w:rPr>
          <w:sz w:val="22"/>
          <w:szCs w:val="22"/>
        </w:rPr>
        <w:tab/>
        <w:t>Section 9 of the Principal Act is repealed and the following section is substituted:</w:t>
      </w:r>
    </w:p>
    <w:p w14:paraId="7BCC47E3" w14:textId="77777777" w:rsidR="00523AFD" w:rsidRPr="005C676C" w:rsidRDefault="00523AFD" w:rsidP="00523AFD">
      <w:pPr>
        <w:widowControl w:val="0"/>
        <w:autoSpaceDE w:val="0"/>
        <w:autoSpaceDN w:val="0"/>
        <w:adjustRightInd w:val="0"/>
        <w:spacing w:before="120" w:after="60"/>
        <w:jc w:val="both"/>
        <w:rPr>
          <w:bCs/>
          <w:sz w:val="22"/>
          <w:szCs w:val="22"/>
        </w:rPr>
      </w:pPr>
      <w:r w:rsidRPr="005C676C">
        <w:rPr>
          <w:b/>
          <w:bCs/>
          <w:sz w:val="22"/>
          <w:szCs w:val="22"/>
        </w:rPr>
        <w:t>Objects of AUSSAT</w:t>
      </w:r>
    </w:p>
    <w:p w14:paraId="66EED150" w14:textId="77777777" w:rsidR="00523AFD" w:rsidRPr="005C676C" w:rsidRDefault="00523AFD" w:rsidP="00523AFD">
      <w:pPr>
        <w:widowControl w:val="0"/>
        <w:autoSpaceDE w:val="0"/>
        <w:autoSpaceDN w:val="0"/>
        <w:adjustRightInd w:val="0"/>
        <w:spacing w:before="120"/>
        <w:ind w:firstLine="341"/>
        <w:jc w:val="both"/>
        <w:rPr>
          <w:sz w:val="22"/>
          <w:szCs w:val="22"/>
        </w:rPr>
      </w:pPr>
      <w:r>
        <w:rPr>
          <w:sz w:val="22"/>
          <w:szCs w:val="22"/>
        </w:rPr>
        <w:t>“</w:t>
      </w:r>
      <w:r w:rsidRPr="005C676C">
        <w:rPr>
          <w:sz w:val="22"/>
          <w:szCs w:val="22"/>
        </w:rPr>
        <w:t>9. (1) It is the intention of the Parliament that AUSSAT have as its primary object the conduct of a business consisting of the following:</w:t>
      </w:r>
    </w:p>
    <w:p w14:paraId="72E0E205" w14:textId="77777777" w:rsidR="00523AFD" w:rsidRPr="005C676C" w:rsidRDefault="00523AFD" w:rsidP="00523AFD">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the supply, in accordance with sound commercial practice, of telecommunications services, whether within Australia, outside Australia, or between Australia and overseas;</w:t>
      </w:r>
    </w:p>
    <w:p w14:paraId="384BD29A" w14:textId="77777777" w:rsidR="00523AFD" w:rsidRPr="005C676C" w:rsidRDefault="00523AFD" w:rsidP="00523AFD">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the carrying on, in accordance with sound commercial practice, of any business or activity relating to telecommunications, whether within or outside Australia.</w:t>
      </w:r>
    </w:p>
    <w:p w14:paraId="4FDB304A" w14:textId="77777777" w:rsidR="00523AFD" w:rsidRPr="005C676C" w:rsidRDefault="00523AFD" w:rsidP="00523AFD">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If the Memorandum of Association of AUSSAT does not provide for AUSSAT to have the object specified in subsection (1), the Memorandum of Association is to be taken to provide for AUSSAT to have that object, and the Directors of AUSSAT and all other persons are required to act accordingly.</w:t>
      </w:r>
      <w:r>
        <w:rPr>
          <w:sz w:val="22"/>
          <w:szCs w:val="22"/>
        </w:rPr>
        <w:t>”</w:t>
      </w:r>
      <w:r w:rsidRPr="005C676C">
        <w:rPr>
          <w:sz w:val="22"/>
          <w:szCs w:val="22"/>
        </w:rPr>
        <w:t>.</w:t>
      </w:r>
    </w:p>
    <w:p w14:paraId="26D878A0" w14:textId="77777777" w:rsidR="00523AFD" w:rsidRPr="005C676C" w:rsidRDefault="00523AFD" w:rsidP="00523AFD">
      <w:pPr>
        <w:widowControl w:val="0"/>
        <w:tabs>
          <w:tab w:val="left" w:pos="629"/>
        </w:tabs>
        <w:autoSpaceDE w:val="0"/>
        <w:autoSpaceDN w:val="0"/>
        <w:adjustRightInd w:val="0"/>
        <w:spacing w:before="120"/>
        <w:ind w:firstLine="331"/>
        <w:jc w:val="both"/>
        <w:rPr>
          <w:sz w:val="22"/>
          <w:szCs w:val="22"/>
        </w:rPr>
      </w:pPr>
      <w:r w:rsidRPr="005C676C">
        <w:rPr>
          <w:b/>
          <w:bCs/>
          <w:sz w:val="22"/>
          <w:szCs w:val="22"/>
        </w:rPr>
        <w:t>6.</w:t>
      </w:r>
      <w:r w:rsidRPr="005C676C">
        <w:rPr>
          <w:sz w:val="22"/>
          <w:szCs w:val="22"/>
        </w:rPr>
        <w:tab/>
        <w:t>After section 10 of the Principal Act the following sections are inserted:</w:t>
      </w:r>
    </w:p>
    <w:p w14:paraId="5998619F" w14:textId="77777777" w:rsidR="00523AFD" w:rsidRPr="005C676C" w:rsidRDefault="00523AFD" w:rsidP="00523AFD">
      <w:pPr>
        <w:widowControl w:val="0"/>
        <w:autoSpaceDE w:val="0"/>
        <w:autoSpaceDN w:val="0"/>
        <w:adjustRightInd w:val="0"/>
        <w:spacing w:before="120" w:after="60"/>
        <w:jc w:val="both"/>
        <w:rPr>
          <w:bCs/>
          <w:sz w:val="22"/>
          <w:szCs w:val="22"/>
        </w:rPr>
      </w:pPr>
      <w:r w:rsidRPr="005C676C">
        <w:rPr>
          <w:b/>
          <w:bCs/>
          <w:sz w:val="22"/>
          <w:szCs w:val="22"/>
        </w:rPr>
        <w:t>Directions to other carriers to make networks etc. available to AUSSAT</w:t>
      </w:r>
    </w:p>
    <w:p w14:paraId="45E60640" w14:textId="77777777" w:rsidR="00523AFD" w:rsidRPr="005C676C" w:rsidRDefault="00523AFD" w:rsidP="00523AFD">
      <w:pPr>
        <w:widowControl w:val="0"/>
        <w:autoSpaceDE w:val="0"/>
        <w:autoSpaceDN w:val="0"/>
        <w:adjustRightInd w:val="0"/>
        <w:spacing w:before="120"/>
        <w:ind w:firstLine="346"/>
        <w:jc w:val="both"/>
        <w:rPr>
          <w:sz w:val="22"/>
          <w:szCs w:val="22"/>
        </w:rPr>
      </w:pPr>
      <w:r>
        <w:rPr>
          <w:sz w:val="22"/>
          <w:szCs w:val="22"/>
        </w:rPr>
        <w:t>“</w:t>
      </w:r>
      <w:r w:rsidRPr="00BD127D">
        <w:rPr>
          <w:sz w:val="22"/>
          <w:szCs w:val="22"/>
        </w:rPr>
        <w:t>10</w:t>
      </w:r>
      <w:r w:rsidRPr="005C676C">
        <w:rPr>
          <w:smallCaps/>
          <w:sz w:val="22"/>
          <w:szCs w:val="22"/>
        </w:rPr>
        <w:t>a</w:t>
      </w:r>
      <w:r w:rsidRPr="00BD127D">
        <w:rPr>
          <w:sz w:val="22"/>
          <w:szCs w:val="22"/>
        </w:rPr>
        <w:t xml:space="preserve">. </w:t>
      </w:r>
      <w:r w:rsidRPr="005C676C">
        <w:rPr>
          <w:sz w:val="22"/>
          <w:szCs w:val="22"/>
        </w:rPr>
        <w:t>(1) AUSSAT may request AUSTEL to direct another carrier to make available, or to provide and make available, a telecommunications network or a facility for its use.</w:t>
      </w:r>
    </w:p>
    <w:p w14:paraId="248A97E6" w14:textId="77777777" w:rsidR="00523AFD" w:rsidRPr="005C676C" w:rsidRDefault="00523AFD" w:rsidP="00523AFD">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If AUSTEL is satisfied that the network or facility is necessary or desirable to enable AUSSAT to supply telecommunications services or other services that it has the right to supply under this Act, AUSTEL may direct the other carrier accordingly.</w:t>
      </w:r>
    </w:p>
    <w:p w14:paraId="73F21371" w14:textId="77777777" w:rsidR="00523AFD" w:rsidRPr="005C676C" w:rsidRDefault="00523AFD" w:rsidP="00523AFD">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The terms and conditions on which the network or facility is to be made available to AUSSAT (including terms and conditions as to the amount to be paid by AUSSAT) are such as are agreed between AUSSAT and the other carrier or, failing agreement, as are determined by AUSTEL.</w:t>
      </w:r>
    </w:p>
    <w:p w14:paraId="28E0BB6E" w14:textId="77777777" w:rsidR="00523AFD" w:rsidRPr="005C676C" w:rsidRDefault="00523AFD" w:rsidP="00523AFD">
      <w:pPr>
        <w:widowControl w:val="0"/>
        <w:autoSpaceDE w:val="0"/>
        <w:autoSpaceDN w:val="0"/>
        <w:adjustRightInd w:val="0"/>
        <w:spacing w:before="120"/>
        <w:ind w:firstLine="336"/>
        <w:jc w:val="both"/>
        <w:rPr>
          <w:sz w:val="22"/>
          <w:szCs w:val="22"/>
        </w:rPr>
      </w:pPr>
      <w:r>
        <w:rPr>
          <w:sz w:val="22"/>
          <w:szCs w:val="22"/>
        </w:rPr>
        <w:t>“</w:t>
      </w:r>
      <w:r w:rsidRPr="005C676C">
        <w:rPr>
          <w:sz w:val="22"/>
          <w:szCs w:val="22"/>
        </w:rPr>
        <w:t xml:space="preserve">(4) Nothing in this section is to be taken to limit the operation of section 49 of the </w:t>
      </w:r>
      <w:r w:rsidRPr="005C676C">
        <w:rPr>
          <w:i/>
          <w:iCs/>
          <w:sz w:val="22"/>
          <w:szCs w:val="22"/>
        </w:rPr>
        <w:t xml:space="preserve">Telecommunications Act 1989 </w:t>
      </w:r>
      <w:r w:rsidRPr="005C676C">
        <w:rPr>
          <w:sz w:val="22"/>
          <w:szCs w:val="22"/>
        </w:rPr>
        <w:t>or the right of AUSSAT or another carrier to make a request under section 49.</w:t>
      </w:r>
    </w:p>
    <w:p w14:paraId="50833BA8" w14:textId="77777777" w:rsidR="00523AFD" w:rsidRPr="005C676C" w:rsidRDefault="00523AFD" w:rsidP="00523AFD">
      <w:pPr>
        <w:widowControl w:val="0"/>
        <w:autoSpaceDE w:val="0"/>
        <w:autoSpaceDN w:val="0"/>
        <w:adjustRightInd w:val="0"/>
        <w:spacing w:before="120" w:after="60"/>
        <w:jc w:val="both"/>
        <w:rPr>
          <w:bCs/>
          <w:sz w:val="22"/>
          <w:szCs w:val="22"/>
        </w:rPr>
      </w:pPr>
      <w:r w:rsidRPr="005C676C">
        <w:rPr>
          <w:b/>
          <w:bCs/>
          <w:sz w:val="22"/>
          <w:szCs w:val="22"/>
        </w:rPr>
        <w:t>Competition between AUSSAT and Telecom/OTC</w:t>
      </w:r>
    </w:p>
    <w:p w14:paraId="55948DEC" w14:textId="77777777" w:rsidR="00523AFD" w:rsidRPr="005C676C" w:rsidRDefault="00523AFD" w:rsidP="00523AFD">
      <w:pPr>
        <w:widowControl w:val="0"/>
        <w:autoSpaceDE w:val="0"/>
        <w:autoSpaceDN w:val="0"/>
        <w:adjustRightInd w:val="0"/>
        <w:spacing w:before="120"/>
        <w:ind w:firstLine="322"/>
        <w:jc w:val="both"/>
        <w:rPr>
          <w:sz w:val="22"/>
          <w:szCs w:val="22"/>
        </w:rPr>
      </w:pPr>
      <w:r>
        <w:rPr>
          <w:sz w:val="22"/>
          <w:szCs w:val="22"/>
        </w:rPr>
        <w:t>“</w:t>
      </w:r>
      <w:r w:rsidRPr="00BD127D">
        <w:rPr>
          <w:sz w:val="22"/>
          <w:szCs w:val="22"/>
        </w:rPr>
        <w:t>10</w:t>
      </w:r>
      <w:r w:rsidRPr="005C676C">
        <w:rPr>
          <w:smallCaps/>
          <w:sz w:val="22"/>
          <w:szCs w:val="22"/>
        </w:rPr>
        <w:t>b</w:t>
      </w:r>
      <w:r w:rsidRPr="00BD127D">
        <w:rPr>
          <w:sz w:val="22"/>
          <w:szCs w:val="22"/>
        </w:rPr>
        <w:t xml:space="preserve">. </w:t>
      </w:r>
      <w:r w:rsidRPr="005C676C">
        <w:rPr>
          <w:sz w:val="22"/>
          <w:szCs w:val="22"/>
        </w:rPr>
        <w:t xml:space="preserve">(1) In spite of Divisions 1, 2 and 3 of Part 3 of the </w:t>
      </w:r>
      <w:r w:rsidRPr="005C676C">
        <w:rPr>
          <w:i/>
          <w:iCs/>
          <w:sz w:val="22"/>
          <w:szCs w:val="22"/>
        </w:rPr>
        <w:t xml:space="preserve">Telecommunications Act 1989 </w:t>
      </w:r>
      <w:r w:rsidRPr="005C676C">
        <w:rPr>
          <w:sz w:val="22"/>
          <w:szCs w:val="22"/>
        </w:rPr>
        <w:t>but subject to subsection (3), AUSSAT has the right, in the conduct of its business, to do any of the following:</w:t>
      </w:r>
    </w:p>
    <w:p w14:paraId="3F15742C" w14:textId="77777777" w:rsidR="00523AFD" w:rsidRPr="005C676C" w:rsidRDefault="00523AFD" w:rsidP="00523AFD">
      <w:pPr>
        <w:widowControl w:val="0"/>
        <w:tabs>
          <w:tab w:val="left" w:pos="840"/>
        </w:tabs>
        <w:autoSpaceDE w:val="0"/>
        <w:autoSpaceDN w:val="0"/>
        <w:adjustRightInd w:val="0"/>
        <w:spacing w:before="120"/>
        <w:ind w:left="840" w:hanging="398"/>
        <w:jc w:val="both"/>
        <w:rPr>
          <w:sz w:val="22"/>
          <w:szCs w:val="22"/>
        </w:rPr>
      </w:pPr>
      <w:r w:rsidRPr="005C676C">
        <w:rPr>
          <w:sz w:val="22"/>
          <w:szCs w:val="22"/>
        </w:rPr>
        <w:br w:type="page"/>
      </w:r>
      <w:r w:rsidRPr="005C676C">
        <w:rPr>
          <w:sz w:val="22"/>
          <w:szCs w:val="22"/>
        </w:rPr>
        <w:lastRenderedPageBreak/>
        <w:t>(a)</w:t>
      </w:r>
      <w:r w:rsidRPr="005C676C">
        <w:rPr>
          <w:sz w:val="22"/>
          <w:szCs w:val="22"/>
        </w:rPr>
        <w:tab/>
        <w:t>to provide any domestic or international public telecommunications infrastructure or network;</w:t>
      </w:r>
    </w:p>
    <w:p w14:paraId="351682DE" w14:textId="77777777" w:rsidR="00523AFD" w:rsidRPr="005C676C" w:rsidRDefault="00523AFD" w:rsidP="00523AFD">
      <w:pPr>
        <w:widowControl w:val="0"/>
        <w:tabs>
          <w:tab w:val="left" w:pos="840"/>
        </w:tabs>
        <w:autoSpaceDE w:val="0"/>
        <w:autoSpaceDN w:val="0"/>
        <w:adjustRightInd w:val="0"/>
        <w:spacing w:before="120"/>
        <w:ind w:left="840" w:hanging="398"/>
        <w:jc w:val="both"/>
        <w:rPr>
          <w:sz w:val="22"/>
          <w:szCs w:val="22"/>
        </w:rPr>
      </w:pPr>
      <w:r w:rsidRPr="005C676C">
        <w:rPr>
          <w:sz w:val="22"/>
          <w:szCs w:val="22"/>
        </w:rPr>
        <w:t>(b)</w:t>
      </w:r>
      <w:r w:rsidRPr="005C676C">
        <w:rPr>
          <w:sz w:val="22"/>
          <w:szCs w:val="22"/>
        </w:rPr>
        <w:tab/>
        <w:t>to provide access to international public telecommunications networks for Australia;</w:t>
      </w:r>
    </w:p>
    <w:p w14:paraId="3BA7520B" w14:textId="77777777" w:rsidR="00523AFD" w:rsidRPr="005C676C" w:rsidRDefault="00523AFD" w:rsidP="00523AFD">
      <w:pPr>
        <w:widowControl w:val="0"/>
        <w:tabs>
          <w:tab w:val="left" w:pos="840"/>
        </w:tabs>
        <w:autoSpaceDE w:val="0"/>
        <w:autoSpaceDN w:val="0"/>
        <w:adjustRightInd w:val="0"/>
        <w:spacing w:before="120"/>
        <w:ind w:left="840" w:hanging="398"/>
        <w:jc w:val="both"/>
        <w:rPr>
          <w:iCs/>
          <w:sz w:val="22"/>
          <w:szCs w:val="22"/>
        </w:rPr>
      </w:pPr>
      <w:r w:rsidRPr="005C676C">
        <w:rPr>
          <w:sz w:val="22"/>
          <w:szCs w:val="22"/>
        </w:rPr>
        <w:t>(c)</w:t>
      </w:r>
      <w:r w:rsidRPr="005C676C">
        <w:rPr>
          <w:sz w:val="22"/>
          <w:szCs w:val="22"/>
        </w:rPr>
        <w:tab/>
        <w:t xml:space="preserve">to supply telecommunications services of the kinds referred to in section 36 of the </w:t>
      </w:r>
      <w:r w:rsidRPr="005C676C">
        <w:rPr>
          <w:i/>
          <w:iCs/>
          <w:sz w:val="22"/>
          <w:szCs w:val="22"/>
        </w:rPr>
        <w:t>Telecommunications Act 1989.</w:t>
      </w:r>
    </w:p>
    <w:p w14:paraId="1D035035" w14:textId="77777777" w:rsidR="00523AFD" w:rsidRPr="005C676C" w:rsidRDefault="00523AFD" w:rsidP="00523AFD">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 Subject to subsection (1), the </w:t>
      </w:r>
      <w:r w:rsidRPr="005C676C">
        <w:rPr>
          <w:i/>
          <w:iCs/>
          <w:sz w:val="22"/>
          <w:szCs w:val="22"/>
        </w:rPr>
        <w:t xml:space="preserve">Telecommunications Act 1989 </w:t>
      </w:r>
      <w:r w:rsidRPr="005C676C">
        <w:rPr>
          <w:sz w:val="22"/>
          <w:szCs w:val="22"/>
        </w:rPr>
        <w:t>applies to AUSSAT, in relation to the provision of a service that AUSSAT has the right, under this Act, to provide, in the same way as it applies to any other carrier that has the right to provide the same service.</w:t>
      </w:r>
    </w:p>
    <w:p w14:paraId="2328BD6C" w14:textId="77777777" w:rsidR="00523AFD" w:rsidRPr="005C676C" w:rsidRDefault="00523AFD" w:rsidP="00523AFD">
      <w:pPr>
        <w:widowControl w:val="0"/>
        <w:autoSpaceDE w:val="0"/>
        <w:autoSpaceDN w:val="0"/>
        <w:adjustRightInd w:val="0"/>
        <w:spacing w:before="120"/>
        <w:ind w:firstLine="346"/>
        <w:jc w:val="both"/>
        <w:rPr>
          <w:iCs/>
          <w:sz w:val="22"/>
          <w:szCs w:val="22"/>
        </w:rPr>
      </w:pPr>
      <w:r>
        <w:rPr>
          <w:sz w:val="22"/>
          <w:szCs w:val="22"/>
        </w:rPr>
        <w:t>“</w:t>
      </w:r>
      <w:r w:rsidRPr="005C676C">
        <w:rPr>
          <w:sz w:val="22"/>
          <w:szCs w:val="22"/>
        </w:rPr>
        <w:t xml:space="preserve">(3) Nothing in this section is intended to affect the operation of sections 35, 47 and 48 of the </w:t>
      </w:r>
      <w:r w:rsidRPr="005C676C">
        <w:rPr>
          <w:i/>
          <w:iCs/>
          <w:sz w:val="22"/>
          <w:szCs w:val="22"/>
        </w:rPr>
        <w:t>Telecommunications Act 1989.</w:t>
      </w:r>
    </w:p>
    <w:p w14:paraId="6CF7AC9A" w14:textId="77777777" w:rsidR="00523AFD" w:rsidRPr="005C676C" w:rsidRDefault="00523AFD" w:rsidP="00523AFD">
      <w:pPr>
        <w:widowControl w:val="0"/>
        <w:autoSpaceDE w:val="0"/>
        <w:autoSpaceDN w:val="0"/>
        <w:adjustRightInd w:val="0"/>
        <w:spacing w:before="120" w:after="60"/>
        <w:jc w:val="both"/>
        <w:rPr>
          <w:bCs/>
          <w:sz w:val="22"/>
          <w:szCs w:val="22"/>
        </w:rPr>
      </w:pPr>
      <w:r w:rsidRPr="005C676C">
        <w:rPr>
          <w:b/>
          <w:bCs/>
          <w:sz w:val="22"/>
          <w:szCs w:val="22"/>
        </w:rPr>
        <w:t>Powers of AUSSAT</w:t>
      </w:r>
    </w:p>
    <w:p w14:paraId="74A57E03" w14:textId="77777777" w:rsidR="00523AFD" w:rsidRPr="005C676C" w:rsidRDefault="00523AFD" w:rsidP="00523AFD">
      <w:pPr>
        <w:widowControl w:val="0"/>
        <w:autoSpaceDE w:val="0"/>
        <w:autoSpaceDN w:val="0"/>
        <w:adjustRightInd w:val="0"/>
        <w:spacing w:before="120"/>
        <w:ind w:firstLine="346"/>
        <w:jc w:val="both"/>
        <w:rPr>
          <w:sz w:val="22"/>
          <w:szCs w:val="22"/>
        </w:rPr>
      </w:pPr>
      <w:r>
        <w:rPr>
          <w:sz w:val="22"/>
          <w:szCs w:val="22"/>
        </w:rPr>
        <w:t>“</w:t>
      </w:r>
      <w:r w:rsidRPr="005C676C">
        <w:rPr>
          <w:sz w:val="22"/>
          <w:szCs w:val="22"/>
        </w:rPr>
        <w:t>1</w:t>
      </w:r>
      <w:r w:rsidRPr="00BD127D">
        <w:rPr>
          <w:sz w:val="22"/>
          <w:szCs w:val="22"/>
        </w:rPr>
        <w:t>0</w:t>
      </w:r>
      <w:r w:rsidRPr="005C676C">
        <w:rPr>
          <w:smallCaps/>
          <w:sz w:val="22"/>
          <w:szCs w:val="22"/>
        </w:rPr>
        <w:t>c</w:t>
      </w:r>
      <w:r w:rsidRPr="005C676C">
        <w:rPr>
          <w:sz w:val="22"/>
          <w:szCs w:val="22"/>
        </w:rPr>
        <w:t>. To the extent that AUSSAT does not have such power under its Memorandum and Articles of Association, the Memorandum and Articles of Association are to be taken to confer on AUSSAT power to do all things necessary or convenient to be done for, or in connection with, the provision of any service that, by virtue of this Act, AUSSAT has the right to provide.</w:t>
      </w:r>
      <w:r>
        <w:rPr>
          <w:sz w:val="22"/>
          <w:szCs w:val="22"/>
        </w:rPr>
        <w:t>”</w:t>
      </w:r>
      <w:r w:rsidRPr="005C676C">
        <w:rPr>
          <w:sz w:val="22"/>
          <w:szCs w:val="22"/>
        </w:rPr>
        <w:t>.</w:t>
      </w:r>
    </w:p>
    <w:p w14:paraId="0BE032DA" w14:textId="77777777" w:rsidR="00523AFD" w:rsidRPr="005C676C" w:rsidRDefault="00523AFD" w:rsidP="00523AFD">
      <w:pPr>
        <w:widowControl w:val="0"/>
        <w:autoSpaceDE w:val="0"/>
        <w:autoSpaceDN w:val="0"/>
        <w:adjustRightInd w:val="0"/>
        <w:spacing w:before="120" w:after="60"/>
        <w:jc w:val="both"/>
        <w:rPr>
          <w:bCs/>
          <w:sz w:val="22"/>
          <w:szCs w:val="22"/>
        </w:rPr>
      </w:pPr>
      <w:r w:rsidRPr="005C676C">
        <w:rPr>
          <w:b/>
          <w:bCs/>
          <w:sz w:val="22"/>
          <w:szCs w:val="22"/>
        </w:rPr>
        <w:t>Repeals</w:t>
      </w:r>
    </w:p>
    <w:p w14:paraId="330B8F1E" w14:textId="77777777" w:rsidR="00523AFD" w:rsidRDefault="00523AFD" w:rsidP="00523AFD">
      <w:pPr>
        <w:widowControl w:val="0"/>
        <w:autoSpaceDE w:val="0"/>
        <w:autoSpaceDN w:val="0"/>
        <w:adjustRightInd w:val="0"/>
        <w:spacing w:before="120"/>
        <w:ind w:left="365"/>
        <w:jc w:val="both"/>
        <w:rPr>
          <w:sz w:val="22"/>
          <w:szCs w:val="22"/>
        </w:rPr>
      </w:pPr>
      <w:r w:rsidRPr="005C676C">
        <w:rPr>
          <w:b/>
          <w:bCs/>
          <w:sz w:val="22"/>
          <w:szCs w:val="22"/>
        </w:rPr>
        <w:t>7.</w:t>
      </w:r>
      <w:r w:rsidRPr="005C676C">
        <w:rPr>
          <w:sz w:val="22"/>
          <w:szCs w:val="22"/>
        </w:rPr>
        <w:t xml:space="preserve"> Sections 14 and 15 of the Principal Act are repealed.</w:t>
      </w:r>
    </w:p>
    <w:p w14:paraId="5D7E3508" w14:textId="77777777" w:rsidR="00233F6F" w:rsidRPr="005C676C" w:rsidRDefault="007E42CC" w:rsidP="00233F6F">
      <w:pPr>
        <w:widowControl w:val="0"/>
        <w:autoSpaceDE w:val="0"/>
        <w:autoSpaceDN w:val="0"/>
        <w:adjustRightInd w:val="0"/>
        <w:spacing w:before="120"/>
        <w:jc w:val="center"/>
        <w:rPr>
          <w:sz w:val="22"/>
          <w:szCs w:val="22"/>
        </w:rPr>
      </w:pPr>
      <w:r>
        <w:rPr>
          <w:sz w:val="22"/>
          <w:szCs w:val="22"/>
        </w:rPr>
        <w:pict w14:anchorId="1A6A2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4DC56A84" w14:textId="77777777" w:rsidR="00523AFD" w:rsidRPr="005C676C" w:rsidRDefault="00523AFD" w:rsidP="00233F6F">
      <w:pPr>
        <w:widowControl w:val="0"/>
        <w:autoSpaceDE w:val="0"/>
        <w:autoSpaceDN w:val="0"/>
        <w:adjustRightInd w:val="0"/>
        <w:spacing w:before="120"/>
        <w:jc w:val="center"/>
        <w:rPr>
          <w:bCs/>
          <w:sz w:val="22"/>
          <w:szCs w:val="22"/>
        </w:rPr>
      </w:pPr>
      <w:r w:rsidRPr="005C676C">
        <w:rPr>
          <w:b/>
          <w:bCs/>
          <w:sz w:val="22"/>
          <w:szCs w:val="22"/>
        </w:rPr>
        <w:t>NOTE</w:t>
      </w:r>
    </w:p>
    <w:p w14:paraId="29943866" w14:textId="3C10CEA3" w:rsidR="00523AFD" w:rsidRPr="007E42CC" w:rsidRDefault="00523AFD" w:rsidP="00523AFD">
      <w:pPr>
        <w:widowControl w:val="0"/>
        <w:autoSpaceDE w:val="0"/>
        <w:autoSpaceDN w:val="0"/>
        <w:adjustRightInd w:val="0"/>
        <w:spacing w:before="120"/>
        <w:ind w:left="293" w:hanging="293"/>
        <w:jc w:val="both"/>
        <w:rPr>
          <w:sz w:val="20"/>
          <w:szCs w:val="20"/>
        </w:rPr>
      </w:pPr>
      <w:r w:rsidRPr="007E42CC">
        <w:rPr>
          <w:sz w:val="20"/>
          <w:szCs w:val="20"/>
        </w:rPr>
        <w:t>1. No. 21, 1984, as amended. For previous amendments, see Nos. 121, 128 and 129, 1988; Nos. 21 and 63, 1989; and No. 23, 1990.</w:t>
      </w:r>
    </w:p>
    <w:p w14:paraId="364470DB" w14:textId="77777777" w:rsidR="00523AFD" w:rsidRPr="005C676C" w:rsidRDefault="00523AFD" w:rsidP="00523AFD">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7AAA4631" w14:textId="77777777" w:rsidR="00523AFD" w:rsidRPr="005C676C" w:rsidRDefault="00523AFD" w:rsidP="00233F6F">
      <w:pPr>
        <w:widowControl w:val="0"/>
        <w:autoSpaceDE w:val="0"/>
        <w:autoSpaceDN w:val="0"/>
        <w:adjustRightInd w:val="0"/>
        <w:ind w:left="734"/>
        <w:jc w:val="both"/>
        <w:rPr>
          <w:iCs/>
          <w:sz w:val="22"/>
          <w:szCs w:val="22"/>
        </w:rPr>
      </w:pPr>
      <w:r w:rsidRPr="005C676C">
        <w:rPr>
          <w:i/>
          <w:iCs/>
          <w:sz w:val="22"/>
          <w:szCs w:val="22"/>
        </w:rPr>
        <w:t>House of Representatives on 8 November 1990</w:t>
      </w:r>
    </w:p>
    <w:p w14:paraId="7153AE53" w14:textId="77777777" w:rsidR="00523AFD" w:rsidRDefault="00523AFD" w:rsidP="00233F6F">
      <w:pPr>
        <w:widowControl w:val="0"/>
        <w:autoSpaceDE w:val="0"/>
        <w:autoSpaceDN w:val="0"/>
        <w:adjustRightInd w:val="0"/>
        <w:ind w:left="734"/>
        <w:jc w:val="both"/>
      </w:pPr>
      <w:r w:rsidRPr="005C676C">
        <w:rPr>
          <w:i/>
          <w:iCs/>
          <w:sz w:val="22"/>
          <w:szCs w:val="22"/>
        </w:rPr>
        <w:t>Senate on 15 November 1990</w:t>
      </w:r>
      <w:r w:rsidR="0066396E">
        <w:rPr>
          <w:sz w:val="22"/>
          <w:szCs w:val="22"/>
        </w:rPr>
        <w:t>]</w:t>
      </w:r>
    </w:p>
    <w:sectPr w:rsidR="00523AFD" w:rsidSect="00165F05">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47B44" w15:done="0"/>
  <w15:commentEx w15:paraId="393D49CF" w15:done="0"/>
  <w15:commentEx w15:paraId="58A060AC" w15:done="0"/>
  <w15:commentEx w15:paraId="68A5F8C9" w15:done="0"/>
  <w15:commentEx w15:paraId="0C7008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47B44" w16cid:durableId="206D1AF1"/>
  <w16cid:commentId w16cid:paraId="393D49CF" w16cid:durableId="206D1AFE"/>
  <w16cid:commentId w16cid:paraId="58A060AC" w16cid:durableId="206D1B27"/>
  <w16cid:commentId w16cid:paraId="68A5F8C9" w16cid:durableId="206D1B5C"/>
  <w16cid:commentId w16cid:paraId="0C70080E" w16cid:durableId="206D1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AB3EE" w14:textId="77777777" w:rsidR="00C9409E" w:rsidRDefault="00C9409E">
      <w:r>
        <w:separator/>
      </w:r>
    </w:p>
  </w:endnote>
  <w:endnote w:type="continuationSeparator" w:id="0">
    <w:p w14:paraId="60EB72E6" w14:textId="77777777" w:rsidR="00C9409E" w:rsidRDefault="00C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36CA6" w14:textId="77777777" w:rsidR="00C9409E" w:rsidRDefault="00C9409E">
      <w:r>
        <w:separator/>
      </w:r>
    </w:p>
  </w:footnote>
  <w:footnote w:type="continuationSeparator" w:id="0">
    <w:p w14:paraId="4412A44C" w14:textId="77777777" w:rsidR="00C9409E" w:rsidRDefault="00C94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2DAC" w14:textId="23035404" w:rsidR="00233F6F" w:rsidRDefault="00233F6F" w:rsidP="00233F6F">
    <w:pPr>
      <w:pStyle w:val="Header"/>
      <w:jc w:val="center"/>
    </w:pPr>
    <w:proofErr w:type="spellStart"/>
    <w:r w:rsidRPr="005C676C">
      <w:rPr>
        <w:i/>
        <w:iCs/>
        <w:sz w:val="22"/>
        <w:szCs w:val="22"/>
      </w:rPr>
      <w:t>AUSSAT</w:t>
    </w:r>
    <w:proofErr w:type="spellEnd"/>
    <w:r w:rsidRPr="005C676C">
      <w:rPr>
        <w:i/>
        <w:iCs/>
        <w:sz w:val="22"/>
        <w:szCs w:val="22"/>
      </w:rPr>
      <w:t xml:space="preserve"> Amendment</w:t>
    </w:r>
    <w:r w:rsidR="007E42CC">
      <w:rPr>
        <w:i/>
        <w:iCs/>
        <w:sz w:val="22"/>
        <w:szCs w:val="22"/>
      </w:rPr>
      <w:t xml:space="preserve">   </w:t>
    </w:r>
    <w:r w:rsidRPr="005C676C">
      <w:rPr>
        <w:i/>
        <w:iCs/>
        <w:sz w:val="22"/>
        <w:szCs w:val="22"/>
      </w:rPr>
      <w:t xml:space="preserve"> No. 12,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FD"/>
    <w:rsid w:val="00165F05"/>
    <w:rsid w:val="00233F6F"/>
    <w:rsid w:val="002412F4"/>
    <w:rsid w:val="002B545C"/>
    <w:rsid w:val="004F6953"/>
    <w:rsid w:val="00523AFD"/>
    <w:rsid w:val="0066396E"/>
    <w:rsid w:val="006C2069"/>
    <w:rsid w:val="007E42CC"/>
    <w:rsid w:val="00C9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E8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F6F"/>
    <w:pPr>
      <w:tabs>
        <w:tab w:val="center" w:pos="4320"/>
        <w:tab w:val="right" w:pos="8640"/>
      </w:tabs>
    </w:pPr>
  </w:style>
  <w:style w:type="paragraph" w:styleId="Footer">
    <w:name w:val="footer"/>
    <w:basedOn w:val="Normal"/>
    <w:rsid w:val="00233F6F"/>
    <w:pPr>
      <w:tabs>
        <w:tab w:val="center" w:pos="4320"/>
        <w:tab w:val="right" w:pos="8640"/>
      </w:tabs>
    </w:pPr>
  </w:style>
  <w:style w:type="paragraph" w:styleId="BalloonText">
    <w:name w:val="Balloon Text"/>
    <w:basedOn w:val="Normal"/>
    <w:link w:val="BalloonTextChar"/>
    <w:rsid w:val="002412F4"/>
    <w:rPr>
      <w:rFonts w:ascii="Tahoma" w:hAnsi="Tahoma" w:cs="Tahoma"/>
      <w:sz w:val="16"/>
      <w:szCs w:val="16"/>
    </w:rPr>
  </w:style>
  <w:style w:type="character" w:customStyle="1" w:styleId="BalloonTextChar">
    <w:name w:val="Balloon Text Char"/>
    <w:basedOn w:val="DefaultParagraphFont"/>
    <w:link w:val="BalloonText"/>
    <w:rsid w:val="002412F4"/>
    <w:rPr>
      <w:rFonts w:ascii="Tahoma" w:hAnsi="Tahoma" w:cs="Tahoma"/>
      <w:sz w:val="16"/>
      <w:szCs w:val="16"/>
    </w:rPr>
  </w:style>
  <w:style w:type="character" w:styleId="CommentReference">
    <w:name w:val="annotation reference"/>
    <w:basedOn w:val="DefaultParagraphFont"/>
    <w:semiHidden/>
    <w:unhideWhenUsed/>
    <w:rsid w:val="002B545C"/>
    <w:rPr>
      <w:sz w:val="16"/>
      <w:szCs w:val="16"/>
    </w:rPr>
  </w:style>
  <w:style w:type="paragraph" w:styleId="CommentText">
    <w:name w:val="annotation text"/>
    <w:basedOn w:val="Normal"/>
    <w:link w:val="CommentTextChar"/>
    <w:semiHidden/>
    <w:unhideWhenUsed/>
    <w:rsid w:val="002B545C"/>
    <w:rPr>
      <w:sz w:val="20"/>
      <w:szCs w:val="20"/>
    </w:rPr>
  </w:style>
  <w:style w:type="character" w:customStyle="1" w:styleId="CommentTextChar">
    <w:name w:val="Comment Text Char"/>
    <w:basedOn w:val="DefaultParagraphFont"/>
    <w:link w:val="CommentText"/>
    <w:semiHidden/>
    <w:rsid w:val="002B545C"/>
  </w:style>
  <w:style w:type="paragraph" w:styleId="CommentSubject">
    <w:name w:val="annotation subject"/>
    <w:basedOn w:val="CommentText"/>
    <w:next w:val="CommentText"/>
    <w:link w:val="CommentSubjectChar"/>
    <w:semiHidden/>
    <w:unhideWhenUsed/>
    <w:rsid w:val="002B545C"/>
    <w:rPr>
      <w:b/>
      <w:bCs/>
    </w:rPr>
  </w:style>
  <w:style w:type="character" w:customStyle="1" w:styleId="CommentSubjectChar">
    <w:name w:val="Comment Subject Char"/>
    <w:basedOn w:val="CommentTextChar"/>
    <w:link w:val="CommentSubject"/>
    <w:semiHidden/>
    <w:rsid w:val="002B545C"/>
    <w:rPr>
      <w:b/>
      <w:bCs/>
    </w:rPr>
  </w:style>
  <w:style w:type="paragraph" w:styleId="Revision">
    <w:name w:val="Revision"/>
    <w:hidden/>
    <w:uiPriority w:val="99"/>
    <w:semiHidden/>
    <w:rsid w:val="007E42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F6F"/>
    <w:pPr>
      <w:tabs>
        <w:tab w:val="center" w:pos="4320"/>
        <w:tab w:val="right" w:pos="8640"/>
      </w:tabs>
    </w:pPr>
  </w:style>
  <w:style w:type="paragraph" w:styleId="Footer">
    <w:name w:val="footer"/>
    <w:basedOn w:val="Normal"/>
    <w:rsid w:val="00233F6F"/>
    <w:pPr>
      <w:tabs>
        <w:tab w:val="center" w:pos="4320"/>
        <w:tab w:val="right" w:pos="8640"/>
      </w:tabs>
    </w:pPr>
  </w:style>
  <w:style w:type="paragraph" w:styleId="BalloonText">
    <w:name w:val="Balloon Text"/>
    <w:basedOn w:val="Normal"/>
    <w:link w:val="BalloonTextChar"/>
    <w:rsid w:val="002412F4"/>
    <w:rPr>
      <w:rFonts w:ascii="Tahoma" w:hAnsi="Tahoma" w:cs="Tahoma"/>
      <w:sz w:val="16"/>
      <w:szCs w:val="16"/>
    </w:rPr>
  </w:style>
  <w:style w:type="character" w:customStyle="1" w:styleId="BalloonTextChar">
    <w:name w:val="Balloon Text Char"/>
    <w:basedOn w:val="DefaultParagraphFont"/>
    <w:link w:val="BalloonText"/>
    <w:rsid w:val="002412F4"/>
    <w:rPr>
      <w:rFonts w:ascii="Tahoma" w:hAnsi="Tahoma" w:cs="Tahoma"/>
      <w:sz w:val="16"/>
      <w:szCs w:val="16"/>
    </w:rPr>
  </w:style>
  <w:style w:type="character" w:styleId="CommentReference">
    <w:name w:val="annotation reference"/>
    <w:basedOn w:val="DefaultParagraphFont"/>
    <w:semiHidden/>
    <w:unhideWhenUsed/>
    <w:rsid w:val="002B545C"/>
    <w:rPr>
      <w:sz w:val="16"/>
      <w:szCs w:val="16"/>
    </w:rPr>
  </w:style>
  <w:style w:type="paragraph" w:styleId="CommentText">
    <w:name w:val="annotation text"/>
    <w:basedOn w:val="Normal"/>
    <w:link w:val="CommentTextChar"/>
    <w:semiHidden/>
    <w:unhideWhenUsed/>
    <w:rsid w:val="002B545C"/>
    <w:rPr>
      <w:sz w:val="20"/>
      <w:szCs w:val="20"/>
    </w:rPr>
  </w:style>
  <w:style w:type="character" w:customStyle="1" w:styleId="CommentTextChar">
    <w:name w:val="Comment Text Char"/>
    <w:basedOn w:val="DefaultParagraphFont"/>
    <w:link w:val="CommentText"/>
    <w:semiHidden/>
    <w:rsid w:val="002B545C"/>
  </w:style>
  <w:style w:type="paragraph" w:styleId="CommentSubject">
    <w:name w:val="annotation subject"/>
    <w:basedOn w:val="CommentText"/>
    <w:next w:val="CommentText"/>
    <w:link w:val="CommentSubjectChar"/>
    <w:semiHidden/>
    <w:unhideWhenUsed/>
    <w:rsid w:val="002B545C"/>
    <w:rPr>
      <w:b/>
      <w:bCs/>
    </w:rPr>
  </w:style>
  <w:style w:type="character" w:customStyle="1" w:styleId="CommentSubjectChar">
    <w:name w:val="Comment Subject Char"/>
    <w:basedOn w:val="CommentTextChar"/>
    <w:link w:val="CommentSubject"/>
    <w:semiHidden/>
    <w:rsid w:val="002B545C"/>
    <w:rPr>
      <w:b/>
      <w:bCs/>
    </w:rPr>
  </w:style>
  <w:style w:type="paragraph" w:styleId="Revision">
    <w:name w:val="Revision"/>
    <w:hidden/>
    <w:uiPriority w:val="99"/>
    <w:semiHidden/>
    <w:rsid w:val="007E42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3775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2019-04-25T19:54:00Z</dcterms:created>
  <dcterms:modified xsi:type="dcterms:W3CDTF">2019-10-09T23:14:00Z</dcterms:modified>
</cp:coreProperties>
</file>