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7C490" w14:textId="77777777" w:rsidR="00FA545A" w:rsidRDefault="001141E3" w:rsidP="00A52A0E">
      <w:pPr>
        <w:widowControl w:val="0"/>
        <w:shd w:val="clear" w:color="000000" w:fill="auto"/>
        <w:autoSpaceDE w:val="0"/>
        <w:autoSpaceDN w:val="0"/>
        <w:adjustRightInd w:val="0"/>
        <w:spacing w:before="120"/>
        <w:jc w:val="center"/>
        <w:rPr>
          <w:sz w:val="22"/>
          <w:szCs w:val="22"/>
        </w:rPr>
      </w:pPr>
      <w:r>
        <w:rPr>
          <w:noProof/>
          <w:sz w:val="22"/>
          <w:szCs w:val="22"/>
        </w:rPr>
        <w:pict w14:anchorId="36E56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11.75pt;height:79.5pt;visibility:visible">
            <v:imagedata r:id="rId7" o:title=""/>
          </v:shape>
        </w:pict>
      </w:r>
    </w:p>
    <w:p w14:paraId="0B1CA8E6" w14:textId="77777777" w:rsidR="00FA545A" w:rsidRPr="003560B1" w:rsidRDefault="00FA545A" w:rsidP="003560B1">
      <w:pPr>
        <w:widowControl w:val="0"/>
        <w:shd w:val="clear" w:color="000000" w:fill="auto"/>
        <w:autoSpaceDE w:val="0"/>
        <w:autoSpaceDN w:val="0"/>
        <w:adjustRightInd w:val="0"/>
        <w:spacing w:before="720"/>
        <w:jc w:val="center"/>
        <w:rPr>
          <w:sz w:val="36"/>
          <w:szCs w:val="36"/>
        </w:rPr>
      </w:pPr>
      <w:r w:rsidRPr="003560B1">
        <w:rPr>
          <w:b/>
          <w:bCs/>
          <w:sz w:val="36"/>
          <w:szCs w:val="36"/>
        </w:rPr>
        <w:t>Companies (Insolvency Assistance)</w:t>
      </w:r>
      <w:r>
        <w:rPr>
          <w:b/>
          <w:bCs/>
          <w:sz w:val="36"/>
          <w:szCs w:val="36"/>
        </w:rPr>
        <w:br/>
      </w:r>
      <w:r w:rsidRPr="003560B1">
        <w:rPr>
          <w:b/>
          <w:bCs/>
          <w:sz w:val="36"/>
          <w:szCs w:val="36"/>
        </w:rPr>
        <w:t>Amendment Act 1991</w:t>
      </w:r>
    </w:p>
    <w:p w14:paraId="65883833" w14:textId="02F3E802" w:rsidR="00FA545A" w:rsidRDefault="00FA545A" w:rsidP="003560B1">
      <w:pPr>
        <w:widowControl w:val="0"/>
        <w:shd w:val="clear" w:color="000000" w:fill="auto"/>
        <w:autoSpaceDE w:val="0"/>
        <w:autoSpaceDN w:val="0"/>
        <w:adjustRightInd w:val="0"/>
        <w:spacing w:before="720"/>
        <w:jc w:val="center"/>
        <w:rPr>
          <w:b/>
          <w:bCs/>
          <w:sz w:val="22"/>
          <w:szCs w:val="22"/>
        </w:rPr>
      </w:pPr>
      <w:r w:rsidRPr="001141E3">
        <w:rPr>
          <w:b/>
          <w:bCs/>
          <w:sz w:val="26"/>
          <w:szCs w:val="22"/>
        </w:rPr>
        <w:t>No. 34 of 1991</w:t>
      </w:r>
    </w:p>
    <w:p w14:paraId="35E0E2A8" w14:textId="77777777" w:rsidR="00FA545A" w:rsidRDefault="001141E3" w:rsidP="003560B1">
      <w:pPr>
        <w:widowControl w:val="0"/>
        <w:shd w:val="clear" w:color="000000" w:fill="auto"/>
        <w:autoSpaceDE w:val="0"/>
        <w:autoSpaceDN w:val="0"/>
        <w:adjustRightInd w:val="0"/>
        <w:spacing w:before="720"/>
        <w:jc w:val="center"/>
        <w:rPr>
          <w:sz w:val="22"/>
          <w:szCs w:val="22"/>
        </w:rPr>
      </w:pPr>
      <w:r>
        <w:rPr>
          <w:sz w:val="22"/>
          <w:szCs w:val="22"/>
        </w:rPr>
        <w:pict w14:anchorId="1964218A">
          <v:rect id="_x0000_i1026" style="width:468pt;height:1.5pt" o:hralign="center" o:hrstd="t" o:hrnoshade="t" o:hr="t" fillcolor="black" stroked="f"/>
        </w:pict>
      </w:r>
    </w:p>
    <w:p w14:paraId="0F64109D" w14:textId="77777777" w:rsidR="00FA545A" w:rsidRPr="00BE1713" w:rsidRDefault="00FA545A" w:rsidP="003560B1">
      <w:pPr>
        <w:widowControl w:val="0"/>
        <w:shd w:val="clear" w:color="000000" w:fill="auto"/>
        <w:autoSpaceDE w:val="0"/>
        <w:autoSpaceDN w:val="0"/>
        <w:adjustRightInd w:val="0"/>
        <w:spacing w:before="720"/>
        <w:jc w:val="center"/>
        <w:rPr>
          <w:sz w:val="26"/>
          <w:szCs w:val="22"/>
        </w:rPr>
      </w:pPr>
      <w:r w:rsidRPr="00BE1713">
        <w:rPr>
          <w:b/>
          <w:bCs/>
          <w:sz w:val="26"/>
          <w:szCs w:val="22"/>
        </w:rPr>
        <w:t>An Act to amend the law relating to companies</w:t>
      </w:r>
    </w:p>
    <w:p w14:paraId="0CDE18C0" w14:textId="77777777" w:rsidR="00FA545A" w:rsidRDefault="00FA545A" w:rsidP="003560B1">
      <w:pPr>
        <w:widowControl w:val="0"/>
        <w:shd w:val="clear" w:color="000000" w:fill="auto"/>
        <w:autoSpaceDE w:val="0"/>
        <w:autoSpaceDN w:val="0"/>
        <w:adjustRightInd w:val="0"/>
        <w:spacing w:before="120"/>
        <w:jc w:val="right"/>
        <w:rPr>
          <w:sz w:val="22"/>
          <w:szCs w:val="22"/>
        </w:rPr>
      </w:pPr>
      <w:r>
        <w:rPr>
          <w:sz w:val="22"/>
          <w:szCs w:val="22"/>
        </w:rPr>
        <w:t>[</w:t>
      </w:r>
      <w:r>
        <w:rPr>
          <w:i/>
          <w:iCs/>
          <w:sz w:val="22"/>
          <w:szCs w:val="22"/>
        </w:rPr>
        <w:t>Assented to 21 March 1991</w:t>
      </w:r>
      <w:r>
        <w:rPr>
          <w:sz w:val="22"/>
          <w:szCs w:val="22"/>
        </w:rPr>
        <w:t>]</w:t>
      </w:r>
    </w:p>
    <w:p w14:paraId="3F683CB1" w14:textId="77777777" w:rsidR="00FA545A" w:rsidRDefault="00FA545A" w:rsidP="003560B1">
      <w:pPr>
        <w:widowControl w:val="0"/>
        <w:shd w:val="clear" w:color="000000" w:fill="auto"/>
        <w:autoSpaceDE w:val="0"/>
        <w:autoSpaceDN w:val="0"/>
        <w:adjustRightInd w:val="0"/>
        <w:spacing w:before="120"/>
        <w:ind w:left="350"/>
        <w:jc w:val="both"/>
        <w:rPr>
          <w:sz w:val="22"/>
          <w:szCs w:val="22"/>
        </w:rPr>
      </w:pPr>
      <w:r>
        <w:rPr>
          <w:sz w:val="22"/>
          <w:szCs w:val="22"/>
        </w:rPr>
        <w:t>The Parliament of Australia enacts:</w:t>
      </w:r>
    </w:p>
    <w:p w14:paraId="1CED1BF5" w14:textId="77777777" w:rsidR="00FA545A" w:rsidRDefault="00FA545A" w:rsidP="00E74D7A">
      <w:pPr>
        <w:widowControl w:val="0"/>
        <w:shd w:val="clear" w:color="000000" w:fill="auto"/>
        <w:autoSpaceDE w:val="0"/>
        <w:autoSpaceDN w:val="0"/>
        <w:adjustRightInd w:val="0"/>
        <w:spacing w:before="120" w:after="60"/>
        <w:jc w:val="both"/>
        <w:rPr>
          <w:sz w:val="22"/>
          <w:szCs w:val="22"/>
        </w:rPr>
      </w:pPr>
      <w:r>
        <w:rPr>
          <w:b/>
          <w:bCs/>
          <w:sz w:val="22"/>
          <w:szCs w:val="22"/>
        </w:rPr>
        <w:t>Short title etc.</w:t>
      </w:r>
    </w:p>
    <w:p w14:paraId="4F564EAF" w14:textId="77777777" w:rsidR="00FA545A" w:rsidRDefault="00FA545A" w:rsidP="003560B1">
      <w:pPr>
        <w:widowControl w:val="0"/>
        <w:shd w:val="clear" w:color="000000" w:fill="auto"/>
        <w:tabs>
          <w:tab w:val="left" w:pos="634"/>
        </w:tabs>
        <w:autoSpaceDE w:val="0"/>
        <w:autoSpaceDN w:val="0"/>
        <w:adjustRightInd w:val="0"/>
        <w:spacing w:before="120"/>
        <w:ind w:firstLine="341"/>
        <w:jc w:val="both"/>
        <w:rPr>
          <w:sz w:val="22"/>
          <w:szCs w:val="22"/>
        </w:rPr>
      </w:pPr>
      <w:r>
        <w:rPr>
          <w:b/>
          <w:bCs/>
          <w:sz w:val="22"/>
          <w:szCs w:val="22"/>
        </w:rPr>
        <w:t>1.</w:t>
      </w:r>
      <w:r>
        <w:rPr>
          <w:b/>
          <w:bCs/>
          <w:sz w:val="22"/>
          <w:szCs w:val="22"/>
        </w:rPr>
        <w:tab/>
        <w:t xml:space="preserve">(1) </w:t>
      </w:r>
      <w:r>
        <w:rPr>
          <w:sz w:val="22"/>
          <w:szCs w:val="22"/>
        </w:rPr>
        <w:t xml:space="preserve">This Act may be cited as the </w:t>
      </w:r>
      <w:r>
        <w:rPr>
          <w:i/>
          <w:iCs/>
          <w:sz w:val="22"/>
          <w:szCs w:val="22"/>
        </w:rPr>
        <w:t xml:space="preserve">Companies </w:t>
      </w:r>
      <w:r>
        <w:rPr>
          <w:sz w:val="22"/>
          <w:szCs w:val="22"/>
        </w:rPr>
        <w:t>(</w:t>
      </w:r>
      <w:r>
        <w:rPr>
          <w:i/>
          <w:iCs/>
          <w:sz w:val="22"/>
          <w:szCs w:val="22"/>
        </w:rPr>
        <w:t>Insolvency Assistance</w:t>
      </w:r>
      <w:r>
        <w:rPr>
          <w:sz w:val="22"/>
          <w:szCs w:val="22"/>
        </w:rPr>
        <w:t>)</w:t>
      </w:r>
      <w:r>
        <w:rPr>
          <w:i/>
          <w:iCs/>
          <w:sz w:val="22"/>
          <w:szCs w:val="22"/>
        </w:rPr>
        <w:t xml:space="preserve"> Amendment Act 1991.</w:t>
      </w:r>
    </w:p>
    <w:p w14:paraId="3D1570C2" w14:textId="13B3358D" w:rsidR="00FA545A" w:rsidRDefault="00FA545A" w:rsidP="003560B1">
      <w:pPr>
        <w:widowControl w:val="0"/>
        <w:shd w:val="clear" w:color="000000" w:fill="auto"/>
        <w:autoSpaceDE w:val="0"/>
        <w:autoSpaceDN w:val="0"/>
        <w:adjustRightInd w:val="0"/>
        <w:spacing w:before="120"/>
        <w:ind w:left="346"/>
        <w:jc w:val="both"/>
        <w:rPr>
          <w:sz w:val="22"/>
          <w:szCs w:val="22"/>
        </w:rPr>
      </w:pPr>
      <w:r w:rsidRPr="001141E3">
        <w:rPr>
          <w:b/>
          <w:sz w:val="22"/>
          <w:szCs w:val="22"/>
        </w:rPr>
        <w:t>(</w:t>
      </w:r>
      <w:r>
        <w:rPr>
          <w:b/>
          <w:bCs/>
          <w:sz w:val="22"/>
          <w:szCs w:val="22"/>
        </w:rPr>
        <w:t>2</w:t>
      </w:r>
      <w:r w:rsidRPr="001141E3">
        <w:rPr>
          <w:b/>
          <w:sz w:val="22"/>
          <w:szCs w:val="22"/>
        </w:rPr>
        <w:t>)</w:t>
      </w:r>
      <w:r>
        <w:rPr>
          <w:sz w:val="22"/>
          <w:szCs w:val="22"/>
        </w:rPr>
        <w:tab/>
        <w:t xml:space="preserve">In this Act, </w:t>
      </w:r>
      <w:r>
        <w:rPr>
          <w:b/>
          <w:bCs/>
          <w:sz w:val="22"/>
          <w:szCs w:val="22"/>
        </w:rPr>
        <w:t xml:space="preserve">“Principal Act” </w:t>
      </w:r>
      <w:r>
        <w:rPr>
          <w:sz w:val="22"/>
          <w:szCs w:val="22"/>
        </w:rPr>
        <w:t xml:space="preserve">means the </w:t>
      </w:r>
      <w:r>
        <w:rPr>
          <w:i/>
          <w:iCs/>
          <w:sz w:val="22"/>
          <w:szCs w:val="22"/>
        </w:rPr>
        <w:t>Companies Act 1981.</w:t>
      </w:r>
    </w:p>
    <w:p w14:paraId="7A938C81" w14:textId="77777777" w:rsidR="00FA545A" w:rsidRDefault="00FA545A" w:rsidP="00E74D7A">
      <w:pPr>
        <w:widowControl w:val="0"/>
        <w:shd w:val="clear" w:color="000000" w:fill="auto"/>
        <w:autoSpaceDE w:val="0"/>
        <w:autoSpaceDN w:val="0"/>
        <w:adjustRightInd w:val="0"/>
        <w:spacing w:before="120" w:after="60"/>
        <w:jc w:val="both"/>
        <w:rPr>
          <w:sz w:val="22"/>
          <w:szCs w:val="22"/>
        </w:rPr>
      </w:pPr>
      <w:r>
        <w:rPr>
          <w:b/>
          <w:bCs/>
          <w:sz w:val="22"/>
          <w:szCs w:val="22"/>
        </w:rPr>
        <w:t>Commencement</w:t>
      </w:r>
    </w:p>
    <w:p w14:paraId="09821C64" w14:textId="77777777" w:rsidR="00FA545A" w:rsidRDefault="00FA545A" w:rsidP="003560B1">
      <w:pPr>
        <w:widowControl w:val="0"/>
        <w:shd w:val="clear" w:color="000000" w:fill="auto"/>
        <w:tabs>
          <w:tab w:val="left" w:pos="634"/>
        </w:tabs>
        <w:autoSpaceDE w:val="0"/>
        <w:autoSpaceDN w:val="0"/>
        <w:adjustRightInd w:val="0"/>
        <w:spacing w:before="120"/>
        <w:ind w:left="341"/>
        <w:jc w:val="both"/>
        <w:rPr>
          <w:sz w:val="22"/>
          <w:szCs w:val="22"/>
        </w:rPr>
      </w:pPr>
      <w:r>
        <w:rPr>
          <w:b/>
          <w:bCs/>
          <w:sz w:val="22"/>
          <w:szCs w:val="22"/>
        </w:rPr>
        <w:t>2.</w:t>
      </w:r>
      <w:r>
        <w:rPr>
          <w:b/>
          <w:bCs/>
          <w:sz w:val="22"/>
          <w:szCs w:val="22"/>
        </w:rPr>
        <w:tab/>
      </w:r>
      <w:r>
        <w:rPr>
          <w:sz w:val="22"/>
          <w:szCs w:val="22"/>
        </w:rPr>
        <w:t>This Act commences on a day to be fixed by Proclamation.</w:t>
      </w:r>
    </w:p>
    <w:p w14:paraId="5F87CE9D" w14:textId="77777777" w:rsidR="00FA545A" w:rsidRDefault="00FA545A" w:rsidP="00E74D7A">
      <w:pPr>
        <w:widowControl w:val="0"/>
        <w:shd w:val="clear" w:color="000000" w:fill="auto"/>
        <w:autoSpaceDE w:val="0"/>
        <w:autoSpaceDN w:val="0"/>
        <w:adjustRightInd w:val="0"/>
        <w:spacing w:before="120" w:after="60"/>
        <w:jc w:val="both"/>
        <w:rPr>
          <w:sz w:val="22"/>
          <w:szCs w:val="22"/>
        </w:rPr>
      </w:pPr>
      <w:r>
        <w:rPr>
          <w:b/>
          <w:bCs/>
          <w:sz w:val="22"/>
          <w:szCs w:val="22"/>
        </w:rPr>
        <w:t>Power to compromise with creditors and members</w:t>
      </w:r>
    </w:p>
    <w:p w14:paraId="780E5644" w14:textId="77777777" w:rsidR="00FA545A" w:rsidRDefault="00FA545A" w:rsidP="003560B1">
      <w:pPr>
        <w:widowControl w:val="0"/>
        <w:shd w:val="clear" w:color="000000" w:fill="auto"/>
        <w:tabs>
          <w:tab w:val="left" w:pos="634"/>
        </w:tabs>
        <w:autoSpaceDE w:val="0"/>
        <w:autoSpaceDN w:val="0"/>
        <w:adjustRightInd w:val="0"/>
        <w:spacing w:before="120"/>
        <w:ind w:left="341"/>
        <w:jc w:val="both"/>
        <w:rPr>
          <w:sz w:val="22"/>
          <w:szCs w:val="22"/>
        </w:rPr>
      </w:pPr>
      <w:r>
        <w:rPr>
          <w:b/>
          <w:bCs/>
          <w:sz w:val="22"/>
          <w:szCs w:val="22"/>
        </w:rPr>
        <w:t>3.</w:t>
      </w:r>
      <w:r>
        <w:rPr>
          <w:b/>
          <w:bCs/>
          <w:sz w:val="22"/>
          <w:szCs w:val="22"/>
        </w:rPr>
        <w:tab/>
      </w:r>
      <w:r>
        <w:rPr>
          <w:sz w:val="22"/>
          <w:szCs w:val="22"/>
        </w:rPr>
        <w:t>Section 315 of the Principal Act is amended:</w:t>
      </w:r>
    </w:p>
    <w:p w14:paraId="59106ADC" w14:textId="45C39A79" w:rsidR="00FA545A" w:rsidRDefault="00FA545A" w:rsidP="003560B1">
      <w:pPr>
        <w:widowControl w:val="0"/>
        <w:shd w:val="clear" w:color="000000" w:fill="auto"/>
        <w:autoSpaceDE w:val="0"/>
        <w:autoSpaceDN w:val="0"/>
        <w:adjustRightInd w:val="0"/>
        <w:spacing w:before="120"/>
        <w:ind w:left="394"/>
        <w:jc w:val="both"/>
        <w:rPr>
          <w:sz w:val="22"/>
          <w:szCs w:val="22"/>
        </w:rPr>
      </w:pPr>
      <w:r w:rsidRPr="001141E3">
        <w:rPr>
          <w:b/>
          <w:sz w:val="22"/>
          <w:szCs w:val="22"/>
        </w:rPr>
        <w:t>(</w:t>
      </w:r>
      <w:r>
        <w:rPr>
          <w:b/>
          <w:bCs/>
          <w:sz w:val="22"/>
          <w:szCs w:val="22"/>
        </w:rPr>
        <w:t>a</w:t>
      </w:r>
      <w:r w:rsidRPr="001141E3">
        <w:rPr>
          <w:b/>
          <w:sz w:val="22"/>
          <w:szCs w:val="22"/>
        </w:rPr>
        <w:t>)</w:t>
      </w:r>
      <w:r>
        <w:rPr>
          <w:sz w:val="22"/>
          <w:szCs w:val="22"/>
        </w:rPr>
        <w:tab/>
        <w:t>by inserting after subsection (1) the following subsections:</w:t>
      </w:r>
    </w:p>
    <w:p w14:paraId="65E05302" w14:textId="77777777" w:rsidR="00FA545A" w:rsidRDefault="00FA545A" w:rsidP="003560B1">
      <w:pPr>
        <w:widowControl w:val="0"/>
        <w:shd w:val="clear" w:color="000000" w:fill="auto"/>
        <w:autoSpaceDE w:val="0"/>
        <w:autoSpaceDN w:val="0"/>
        <w:adjustRightInd w:val="0"/>
        <w:spacing w:before="120"/>
        <w:ind w:left="998"/>
        <w:jc w:val="both"/>
        <w:rPr>
          <w:sz w:val="22"/>
          <w:szCs w:val="22"/>
        </w:rPr>
      </w:pPr>
      <w:r>
        <w:rPr>
          <w:sz w:val="22"/>
          <w:szCs w:val="22"/>
        </w:rPr>
        <w:t>“(1</w:t>
      </w:r>
      <w:r>
        <w:rPr>
          <w:smallCaps/>
          <w:sz w:val="22"/>
          <w:szCs w:val="22"/>
        </w:rPr>
        <w:t>a</w:t>
      </w:r>
      <w:r>
        <w:rPr>
          <w:sz w:val="22"/>
          <w:szCs w:val="22"/>
        </w:rPr>
        <w:t>) Where:</w:t>
      </w:r>
    </w:p>
    <w:p w14:paraId="69DD72CD" w14:textId="77777777" w:rsidR="00FA545A" w:rsidRDefault="00FA545A" w:rsidP="003560B1">
      <w:pPr>
        <w:widowControl w:val="0"/>
        <w:shd w:val="clear" w:color="000000" w:fill="auto"/>
        <w:autoSpaceDE w:val="0"/>
        <w:autoSpaceDN w:val="0"/>
        <w:adjustRightInd w:val="0"/>
        <w:spacing w:before="120"/>
        <w:ind w:left="1430" w:hanging="384"/>
        <w:jc w:val="both"/>
        <w:rPr>
          <w:sz w:val="22"/>
          <w:szCs w:val="22"/>
        </w:rPr>
      </w:pPr>
      <w:r>
        <w:rPr>
          <w:sz w:val="22"/>
          <w:szCs w:val="22"/>
        </w:rPr>
        <w:t>(a)</w:t>
      </w:r>
      <w:r>
        <w:rPr>
          <w:sz w:val="22"/>
          <w:szCs w:val="22"/>
        </w:rPr>
        <w:tab/>
        <w:t>a compromise or arrangement is proposed between 30 or more corporations that are wholly-owned subsidiaries of a holding company and the creditors or a class of the</w:t>
      </w:r>
    </w:p>
    <w:p w14:paraId="6F8A2512" w14:textId="079D35DB" w:rsidR="00FA545A" w:rsidRDefault="00FA545A" w:rsidP="003560B1">
      <w:pPr>
        <w:widowControl w:val="0"/>
        <w:shd w:val="clear" w:color="000000" w:fill="auto"/>
        <w:autoSpaceDE w:val="0"/>
        <w:autoSpaceDN w:val="0"/>
        <w:adjustRightInd w:val="0"/>
        <w:spacing w:before="120"/>
        <w:ind w:left="1051"/>
        <w:jc w:val="both"/>
        <w:rPr>
          <w:sz w:val="22"/>
          <w:szCs w:val="22"/>
        </w:rPr>
      </w:pPr>
      <w:r>
        <w:rPr>
          <w:sz w:val="22"/>
          <w:szCs w:val="22"/>
        </w:rPr>
        <w:br w:type="page"/>
      </w:r>
      <w:r>
        <w:rPr>
          <w:sz w:val="22"/>
          <w:szCs w:val="22"/>
        </w:rPr>
        <w:lastRenderedPageBreak/>
        <w:t>creditors of each of those subsidiaries and between the holding company and the creditors or a class of the creditors of the holding company; and</w:t>
      </w:r>
    </w:p>
    <w:p w14:paraId="21BD1462" w14:textId="77777777" w:rsidR="00FA545A" w:rsidRDefault="00FA545A" w:rsidP="003560B1">
      <w:pPr>
        <w:widowControl w:val="0"/>
        <w:shd w:val="clear" w:color="000000" w:fill="auto"/>
        <w:tabs>
          <w:tab w:val="left" w:pos="1051"/>
        </w:tabs>
        <w:autoSpaceDE w:val="0"/>
        <w:autoSpaceDN w:val="0"/>
        <w:adjustRightInd w:val="0"/>
        <w:spacing w:before="120"/>
        <w:ind w:left="1051" w:hanging="389"/>
        <w:jc w:val="both"/>
        <w:rPr>
          <w:sz w:val="22"/>
          <w:szCs w:val="22"/>
        </w:rPr>
      </w:pPr>
      <w:r>
        <w:rPr>
          <w:sz w:val="22"/>
          <w:szCs w:val="22"/>
        </w:rPr>
        <w:t>(b)</w:t>
      </w:r>
      <w:r>
        <w:rPr>
          <w:sz w:val="22"/>
          <w:szCs w:val="22"/>
        </w:rPr>
        <w:tab/>
        <w:t>the proposed compromise or arrangement in relation to each subsidiary includes a term that orders will be sought under section 317 transferring the whole of the undertaking and of the property and liabilities of the subsidiary to the holding company; and</w:t>
      </w:r>
    </w:p>
    <w:p w14:paraId="6DC3BC5B" w14:textId="77777777" w:rsidR="00FA545A" w:rsidRDefault="00FA545A" w:rsidP="003560B1">
      <w:pPr>
        <w:widowControl w:val="0"/>
        <w:shd w:val="clear" w:color="000000" w:fill="auto"/>
        <w:tabs>
          <w:tab w:val="left" w:pos="1051"/>
        </w:tabs>
        <w:autoSpaceDE w:val="0"/>
        <w:autoSpaceDN w:val="0"/>
        <w:adjustRightInd w:val="0"/>
        <w:spacing w:before="120"/>
        <w:ind w:left="1051" w:hanging="389"/>
        <w:jc w:val="both"/>
        <w:rPr>
          <w:sz w:val="22"/>
          <w:szCs w:val="22"/>
        </w:rPr>
      </w:pPr>
      <w:r>
        <w:rPr>
          <w:sz w:val="22"/>
          <w:szCs w:val="22"/>
        </w:rPr>
        <w:t>(c)</w:t>
      </w:r>
      <w:r>
        <w:rPr>
          <w:sz w:val="22"/>
          <w:szCs w:val="22"/>
        </w:rPr>
        <w:tab/>
        <w:t>the Court is sati</w:t>
      </w:r>
      <w:bookmarkStart w:id="0" w:name="_GoBack"/>
      <w:bookmarkEnd w:id="0"/>
      <w:r>
        <w:rPr>
          <w:sz w:val="22"/>
          <w:szCs w:val="22"/>
        </w:rPr>
        <w:t>sfied, on the application in a summary way of the holding company or of a creditor of the holding company or, if the holding company is being wound up, of the liquidator, that the number of meetings that would be required between creditors in order to consider the proposed compromises or arrangements would be so great as to result in a significant impediment to the timely and effective consideration by those creditors of the terms of the compromises or arrangements;</w:t>
      </w:r>
    </w:p>
    <w:p w14:paraId="091DD736" w14:textId="77777777" w:rsidR="00FA545A" w:rsidRDefault="00FA545A" w:rsidP="003560B1">
      <w:pPr>
        <w:widowControl w:val="0"/>
        <w:shd w:val="clear" w:color="000000" w:fill="auto"/>
        <w:autoSpaceDE w:val="0"/>
        <w:autoSpaceDN w:val="0"/>
        <w:adjustRightInd w:val="0"/>
        <w:spacing w:before="120"/>
        <w:ind w:left="398"/>
        <w:jc w:val="both"/>
        <w:rPr>
          <w:sz w:val="22"/>
          <w:szCs w:val="22"/>
        </w:rPr>
      </w:pPr>
      <w:r>
        <w:rPr>
          <w:sz w:val="22"/>
          <w:szCs w:val="22"/>
        </w:rPr>
        <w:t>the Court may order a meeting or meetings, on a consolidated basis, of the creditors of the holding company and of each of the subsidiaries or of such class or classes of those creditors as the Court determines and, where the Court makes such an order, the Court may approve the explanatory statement required by paragraph 316 (1) (a) to accompany notices of the meeting or meetings.</w:t>
      </w:r>
    </w:p>
    <w:p w14:paraId="58D5F8AD" w14:textId="77777777" w:rsidR="00FA545A" w:rsidRDefault="00FA545A" w:rsidP="003560B1">
      <w:pPr>
        <w:widowControl w:val="0"/>
        <w:shd w:val="clear" w:color="000000" w:fill="auto"/>
        <w:autoSpaceDE w:val="0"/>
        <w:autoSpaceDN w:val="0"/>
        <w:adjustRightInd w:val="0"/>
        <w:spacing w:before="120"/>
        <w:ind w:left="619"/>
        <w:jc w:val="both"/>
        <w:rPr>
          <w:sz w:val="22"/>
          <w:szCs w:val="22"/>
        </w:rPr>
      </w:pPr>
      <w:r>
        <w:rPr>
          <w:sz w:val="22"/>
          <w:szCs w:val="22"/>
        </w:rPr>
        <w:t>“(1</w:t>
      </w:r>
      <w:r>
        <w:rPr>
          <w:smallCaps/>
          <w:sz w:val="22"/>
          <w:szCs w:val="22"/>
        </w:rPr>
        <w:t>b</w:t>
      </w:r>
      <w:r>
        <w:rPr>
          <w:sz w:val="22"/>
          <w:szCs w:val="22"/>
        </w:rPr>
        <w:t>) Where:</w:t>
      </w:r>
    </w:p>
    <w:p w14:paraId="23B1D852" w14:textId="77777777" w:rsidR="00FA545A" w:rsidRDefault="00FA545A" w:rsidP="003560B1">
      <w:pPr>
        <w:widowControl w:val="0"/>
        <w:shd w:val="clear" w:color="000000" w:fill="auto"/>
        <w:tabs>
          <w:tab w:val="left" w:pos="1027"/>
        </w:tabs>
        <w:autoSpaceDE w:val="0"/>
        <w:autoSpaceDN w:val="0"/>
        <w:adjustRightInd w:val="0"/>
        <w:spacing w:before="120"/>
        <w:ind w:left="1027" w:hanging="365"/>
        <w:jc w:val="both"/>
        <w:rPr>
          <w:sz w:val="22"/>
          <w:szCs w:val="22"/>
        </w:rPr>
      </w:pPr>
      <w:r>
        <w:rPr>
          <w:sz w:val="22"/>
          <w:szCs w:val="22"/>
        </w:rPr>
        <w:t>(a)</w:t>
      </w:r>
      <w:r>
        <w:rPr>
          <w:sz w:val="22"/>
          <w:szCs w:val="22"/>
        </w:rPr>
        <w:tab/>
        <w:t xml:space="preserve">there are fewer than 30 wholly-owned subsidiaries of the holding company but the matters referred to in paragraphs </w:t>
      </w:r>
      <w:r>
        <w:rPr>
          <w:smallCaps/>
          <w:sz w:val="22"/>
          <w:szCs w:val="22"/>
        </w:rPr>
        <w:t xml:space="preserve">(1a) </w:t>
      </w:r>
      <w:r>
        <w:rPr>
          <w:sz w:val="22"/>
          <w:szCs w:val="22"/>
        </w:rPr>
        <w:t>(b) and (c) are satisfied; and</w:t>
      </w:r>
    </w:p>
    <w:p w14:paraId="78C48299" w14:textId="77777777" w:rsidR="00FA545A" w:rsidRDefault="00FA545A" w:rsidP="003560B1">
      <w:pPr>
        <w:widowControl w:val="0"/>
        <w:shd w:val="clear" w:color="000000" w:fill="auto"/>
        <w:tabs>
          <w:tab w:val="left" w:pos="1027"/>
        </w:tabs>
        <w:autoSpaceDE w:val="0"/>
        <w:autoSpaceDN w:val="0"/>
        <w:adjustRightInd w:val="0"/>
        <w:spacing w:before="120"/>
        <w:ind w:left="1027" w:hanging="365"/>
        <w:jc w:val="both"/>
        <w:rPr>
          <w:sz w:val="22"/>
          <w:szCs w:val="22"/>
        </w:rPr>
      </w:pPr>
      <w:r>
        <w:rPr>
          <w:sz w:val="22"/>
          <w:szCs w:val="22"/>
        </w:rPr>
        <w:t>(b)</w:t>
      </w:r>
      <w:r>
        <w:rPr>
          <w:sz w:val="22"/>
          <w:szCs w:val="22"/>
        </w:rPr>
        <w:tab/>
        <w:t>the Court considers that circumstances exist that would justify its doing so;</w:t>
      </w:r>
    </w:p>
    <w:p w14:paraId="25D32C5B" w14:textId="77777777" w:rsidR="00FA545A" w:rsidRDefault="00FA545A" w:rsidP="003560B1">
      <w:pPr>
        <w:widowControl w:val="0"/>
        <w:shd w:val="clear" w:color="000000" w:fill="auto"/>
        <w:autoSpaceDE w:val="0"/>
        <w:autoSpaceDN w:val="0"/>
        <w:adjustRightInd w:val="0"/>
        <w:spacing w:before="120"/>
        <w:ind w:left="403"/>
        <w:jc w:val="both"/>
        <w:rPr>
          <w:sz w:val="22"/>
          <w:szCs w:val="22"/>
        </w:rPr>
      </w:pPr>
      <w:r>
        <w:rPr>
          <w:sz w:val="22"/>
          <w:szCs w:val="22"/>
        </w:rPr>
        <w:t>the Court may make an order under subsection (1</w:t>
      </w:r>
      <w:r>
        <w:rPr>
          <w:smallCaps/>
          <w:sz w:val="22"/>
          <w:szCs w:val="22"/>
        </w:rPr>
        <w:t>a</w:t>
      </w:r>
      <w:r>
        <w:rPr>
          <w:sz w:val="22"/>
          <w:szCs w:val="22"/>
        </w:rPr>
        <w:t>) in relation to the proposed compromise or arrangement.</w:t>
      </w:r>
    </w:p>
    <w:p w14:paraId="315973CE" w14:textId="77777777" w:rsidR="00FA545A" w:rsidRDefault="00FA545A" w:rsidP="003560B1">
      <w:pPr>
        <w:widowControl w:val="0"/>
        <w:shd w:val="clear" w:color="000000" w:fill="auto"/>
        <w:autoSpaceDE w:val="0"/>
        <w:autoSpaceDN w:val="0"/>
        <w:adjustRightInd w:val="0"/>
        <w:spacing w:before="120"/>
        <w:ind w:left="413" w:firstLine="216"/>
        <w:jc w:val="both"/>
        <w:rPr>
          <w:sz w:val="22"/>
          <w:szCs w:val="22"/>
        </w:rPr>
      </w:pPr>
      <w:r>
        <w:rPr>
          <w:sz w:val="22"/>
          <w:szCs w:val="22"/>
        </w:rPr>
        <w:t>“(1</w:t>
      </w:r>
      <w:r>
        <w:rPr>
          <w:smallCaps/>
          <w:sz w:val="22"/>
          <w:szCs w:val="22"/>
        </w:rPr>
        <w:t>c</w:t>
      </w:r>
      <w:r>
        <w:rPr>
          <w:sz w:val="22"/>
          <w:szCs w:val="22"/>
        </w:rPr>
        <w:t xml:space="preserve">) Where an order is made under subsection </w:t>
      </w:r>
      <w:r>
        <w:rPr>
          <w:smallCaps/>
          <w:sz w:val="22"/>
          <w:szCs w:val="22"/>
        </w:rPr>
        <w:t xml:space="preserve">(1a) </w:t>
      </w:r>
      <w:r>
        <w:rPr>
          <w:sz w:val="22"/>
          <w:szCs w:val="22"/>
        </w:rPr>
        <w:t>in relation to a proposed compromise or arrangement, the succeeding provisions of this Part apply to the compromise or arrangement as if:</w:t>
      </w:r>
    </w:p>
    <w:p w14:paraId="4FBC6A05" w14:textId="77777777" w:rsidR="00FA545A" w:rsidRDefault="00FA545A" w:rsidP="003560B1">
      <w:pPr>
        <w:widowControl w:val="0"/>
        <w:shd w:val="clear" w:color="000000" w:fill="auto"/>
        <w:tabs>
          <w:tab w:val="left" w:pos="1042"/>
        </w:tabs>
        <w:autoSpaceDE w:val="0"/>
        <w:autoSpaceDN w:val="0"/>
        <w:adjustRightInd w:val="0"/>
        <w:spacing w:before="120"/>
        <w:ind w:left="1042" w:hanging="389"/>
        <w:jc w:val="both"/>
        <w:rPr>
          <w:sz w:val="22"/>
          <w:szCs w:val="22"/>
        </w:rPr>
      </w:pPr>
      <w:r>
        <w:rPr>
          <w:sz w:val="22"/>
          <w:szCs w:val="22"/>
        </w:rPr>
        <w:t>(a)</w:t>
      </w:r>
      <w:r>
        <w:rPr>
          <w:sz w:val="22"/>
          <w:szCs w:val="22"/>
        </w:rPr>
        <w:tab/>
        <w:t>references in this Part to a company included references to all of the corporations to which the order relates; and</w:t>
      </w:r>
    </w:p>
    <w:p w14:paraId="0A3C26E6" w14:textId="77777777" w:rsidR="00FA545A" w:rsidRDefault="00FA545A" w:rsidP="003560B1">
      <w:pPr>
        <w:widowControl w:val="0"/>
        <w:shd w:val="clear" w:color="000000" w:fill="auto"/>
        <w:tabs>
          <w:tab w:val="left" w:pos="1042"/>
        </w:tabs>
        <w:autoSpaceDE w:val="0"/>
        <w:autoSpaceDN w:val="0"/>
        <w:adjustRightInd w:val="0"/>
        <w:spacing w:before="120"/>
        <w:ind w:left="1042" w:hanging="389"/>
        <w:jc w:val="both"/>
        <w:rPr>
          <w:sz w:val="22"/>
          <w:szCs w:val="22"/>
        </w:rPr>
      </w:pPr>
      <w:r>
        <w:rPr>
          <w:sz w:val="22"/>
          <w:szCs w:val="22"/>
        </w:rPr>
        <w:t>(b)</w:t>
      </w:r>
      <w:r>
        <w:rPr>
          <w:sz w:val="22"/>
          <w:szCs w:val="22"/>
        </w:rPr>
        <w:tab/>
        <w:t>references in this Part to creditors of a company included references to the creditors of all of the corporations to which the order relates; and</w:t>
      </w:r>
    </w:p>
    <w:p w14:paraId="40ACFA4E" w14:textId="77777777" w:rsidR="00FA545A" w:rsidRDefault="00FA545A" w:rsidP="003560B1">
      <w:pPr>
        <w:widowControl w:val="0"/>
        <w:shd w:val="clear" w:color="000000" w:fill="auto"/>
        <w:tabs>
          <w:tab w:val="left" w:pos="1042"/>
        </w:tabs>
        <w:autoSpaceDE w:val="0"/>
        <w:autoSpaceDN w:val="0"/>
        <w:adjustRightInd w:val="0"/>
        <w:spacing w:before="120"/>
        <w:ind w:left="1042" w:hanging="389"/>
        <w:jc w:val="both"/>
        <w:rPr>
          <w:sz w:val="22"/>
          <w:szCs w:val="22"/>
        </w:rPr>
      </w:pPr>
      <w:r>
        <w:rPr>
          <w:sz w:val="22"/>
          <w:szCs w:val="22"/>
        </w:rPr>
        <w:t>(c)</w:t>
      </w:r>
      <w:r>
        <w:rPr>
          <w:sz w:val="22"/>
          <w:szCs w:val="22"/>
        </w:rPr>
        <w:tab/>
        <w:t>references in this Part to a class of the creditors of a company were references to the relevant class of creditors of all of the corporations to which the order relates.”;</w:t>
      </w:r>
    </w:p>
    <w:p w14:paraId="470B5761" w14:textId="77777777" w:rsidR="00FA545A" w:rsidRDefault="00FA545A" w:rsidP="003560B1">
      <w:pPr>
        <w:widowControl w:val="0"/>
        <w:shd w:val="clear" w:color="000000" w:fill="auto"/>
        <w:autoSpaceDE w:val="0"/>
        <w:autoSpaceDN w:val="0"/>
        <w:adjustRightInd w:val="0"/>
        <w:spacing w:before="120"/>
        <w:ind w:left="394"/>
        <w:jc w:val="both"/>
        <w:rPr>
          <w:sz w:val="22"/>
          <w:szCs w:val="22"/>
        </w:rPr>
      </w:pPr>
      <w:r w:rsidRPr="003560B1">
        <w:rPr>
          <w:b/>
          <w:bCs/>
          <w:sz w:val="22"/>
          <w:szCs w:val="22"/>
        </w:rPr>
        <w:t>(b)</w:t>
      </w:r>
      <w:r>
        <w:rPr>
          <w:sz w:val="22"/>
          <w:szCs w:val="22"/>
        </w:rPr>
        <w:tab/>
        <w:t xml:space="preserve">by inserting in subsections (2), (3), (4) and (19) “or </w:t>
      </w:r>
      <w:r>
        <w:rPr>
          <w:smallCaps/>
          <w:sz w:val="22"/>
          <w:szCs w:val="22"/>
        </w:rPr>
        <w:t xml:space="preserve">(1a)” </w:t>
      </w:r>
      <w:r>
        <w:rPr>
          <w:sz w:val="22"/>
          <w:szCs w:val="22"/>
        </w:rPr>
        <w:t>after “subsection (1)”;</w:t>
      </w:r>
    </w:p>
    <w:p w14:paraId="1924044D" w14:textId="77777777" w:rsidR="00FA545A" w:rsidRDefault="00FA545A" w:rsidP="003560B1">
      <w:pPr>
        <w:widowControl w:val="0"/>
        <w:shd w:val="clear" w:color="000000" w:fill="auto"/>
        <w:autoSpaceDE w:val="0"/>
        <w:autoSpaceDN w:val="0"/>
        <w:adjustRightInd w:val="0"/>
        <w:spacing w:before="120"/>
        <w:ind w:left="394"/>
        <w:jc w:val="both"/>
        <w:rPr>
          <w:sz w:val="22"/>
          <w:szCs w:val="22"/>
        </w:rPr>
      </w:pPr>
      <w:r>
        <w:rPr>
          <w:sz w:val="22"/>
          <w:szCs w:val="22"/>
        </w:rPr>
        <w:br w:type="page"/>
      </w:r>
      <w:r>
        <w:rPr>
          <w:b/>
          <w:bCs/>
          <w:sz w:val="22"/>
          <w:szCs w:val="22"/>
        </w:rPr>
        <w:lastRenderedPageBreak/>
        <w:t>(c)</w:t>
      </w:r>
      <w:r>
        <w:rPr>
          <w:sz w:val="22"/>
          <w:szCs w:val="22"/>
        </w:rPr>
        <w:tab/>
        <w:t>by inserting in subsection (15) “or (1</w:t>
      </w:r>
      <w:r>
        <w:rPr>
          <w:smallCaps/>
          <w:sz w:val="22"/>
          <w:szCs w:val="22"/>
        </w:rPr>
        <w:t>a</w:t>
      </w:r>
      <w:r>
        <w:rPr>
          <w:sz w:val="22"/>
          <w:szCs w:val="22"/>
        </w:rPr>
        <w:t>)” after “subsection (1)” (first occurring);</w:t>
      </w:r>
    </w:p>
    <w:p w14:paraId="15C5AC35" w14:textId="77777777" w:rsidR="00FA545A" w:rsidRDefault="00FA545A" w:rsidP="003560B1">
      <w:pPr>
        <w:widowControl w:val="0"/>
        <w:shd w:val="clear" w:color="000000" w:fill="auto"/>
        <w:autoSpaceDE w:val="0"/>
        <w:autoSpaceDN w:val="0"/>
        <w:adjustRightInd w:val="0"/>
        <w:spacing w:before="120"/>
        <w:ind w:left="749" w:hanging="360"/>
        <w:jc w:val="both"/>
        <w:rPr>
          <w:sz w:val="22"/>
          <w:szCs w:val="22"/>
        </w:rPr>
      </w:pPr>
      <w:r>
        <w:rPr>
          <w:b/>
          <w:bCs/>
          <w:sz w:val="22"/>
          <w:szCs w:val="22"/>
        </w:rPr>
        <w:t>(d)</w:t>
      </w:r>
      <w:r>
        <w:rPr>
          <w:sz w:val="22"/>
          <w:szCs w:val="22"/>
        </w:rPr>
        <w:tab/>
        <w:t xml:space="preserve">by inserting in subsection (15) “or </w:t>
      </w:r>
      <w:r>
        <w:rPr>
          <w:smallCaps/>
          <w:sz w:val="22"/>
          <w:szCs w:val="22"/>
        </w:rPr>
        <w:t xml:space="preserve">(1a), </w:t>
      </w:r>
      <w:r>
        <w:rPr>
          <w:sz w:val="22"/>
          <w:szCs w:val="22"/>
        </w:rPr>
        <w:t>as the case may be” after “subsection (1)” (last occurring).</w:t>
      </w:r>
    </w:p>
    <w:p w14:paraId="5B6C2380" w14:textId="77777777" w:rsidR="00BE1713" w:rsidRDefault="00BE1713" w:rsidP="00BE1713">
      <w:pPr>
        <w:widowControl w:val="0"/>
        <w:pBdr>
          <w:bottom w:val="single" w:sz="4" w:space="1" w:color="auto"/>
        </w:pBdr>
        <w:shd w:val="clear" w:color="000000" w:fill="auto"/>
        <w:autoSpaceDE w:val="0"/>
        <w:autoSpaceDN w:val="0"/>
        <w:adjustRightInd w:val="0"/>
        <w:spacing w:before="120"/>
        <w:jc w:val="both"/>
        <w:rPr>
          <w:sz w:val="22"/>
          <w:szCs w:val="22"/>
        </w:rPr>
      </w:pPr>
    </w:p>
    <w:p w14:paraId="5E9AD2D2" w14:textId="33314481" w:rsidR="00FA545A" w:rsidRPr="001141E3" w:rsidRDefault="00FA545A" w:rsidP="003560B1">
      <w:pPr>
        <w:widowControl w:val="0"/>
        <w:shd w:val="clear" w:color="000000" w:fill="auto"/>
        <w:autoSpaceDE w:val="0"/>
        <w:autoSpaceDN w:val="0"/>
        <w:adjustRightInd w:val="0"/>
        <w:spacing w:before="120"/>
        <w:jc w:val="both"/>
        <w:rPr>
          <w:sz w:val="20"/>
          <w:szCs w:val="20"/>
        </w:rPr>
      </w:pPr>
      <w:r w:rsidRPr="001141E3">
        <w:rPr>
          <w:sz w:val="20"/>
          <w:szCs w:val="20"/>
        </w:rPr>
        <w:t>[</w:t>
      </w:r>
      <w:r w:rsidRPr="001141E3">
        <w:rPr>
          <w:i/>
          <w:iCs/>
          <w:sz w:val="20"/>
          <w:szCs w:val="20"/>
        </w:rPr>
        <w:t>Minister’s second reading speech made in</w:t>
      </w:r>
      <w:r w:rsidRPr="001141E3">
        <w:rPr>
          <w:sz w:val="20"/>
          <w:szCs w:val="20"/>
        </w:rPr>
        <w:t>—</w:t>
      </w:r>
    </w:p>
    <w:p w14:paraId="74969CA6" w14:textId="77777777" w:rsidR="00FA545A" w:rsidRPr="001141E3" w:rsidRDefault="00FA545A" w:rsidP="003560B1">
      <w:pPr>
        <w:widowControl w:val="0"/>
        <w:shd w:val="clear" w:color="000000" w:fill="auto"/>
        <w:autoSpaceDE w:val="0"/>
        <w:autoSpaceDN w:val="0"/>
        <w:adjustRightInd w:val="0"/>
        <w:ind w:left="749"/>
        <w:jc w:val="both"/>
        <w:rPr>
          <w:sz w:val="20"/>
          <w:szCs w:val="20"/>
        </w:rPr>
      </w:pPr>
      <w:r w:rsidRPr="001141E3">
        <w:rPr>
          <w:i/>
          <w:iCs/>
          <w:sz w:val="20"/>
          <w:szCs w:val="20"/>
        </w:rPr>
        <w:t>House of Representatives on 5 December 1990</w:t>
      </w:r>
    </w:p>
    <w:p w14:paraId="51048EC1" w14:textId="77777777" w:rsidR="00FA545A" w:rsidRPr="001141E3" w:rsidRDefault="00FA545A" w:rsidP="003560B1">
      <w:pPr>
        <w:widowControl w:val="0"/>
        <w:shd w:val="clear" w:color="000000" w:fill="auto"/>
        <w:autoSpaceDE w:val="0"/>
        <w:autoSpaceDN w:val="0"/>
        <w:adjustRightInd w:val="0"/>
        <w:ind w:left="749"/>
        <w:jc w:val="both"/>
        <w:rPr>
          <w:sz w:val="20"/>
          <w:szCs w:val="20"/>
        </w:rPr>
      </w:pPr>
      <w:r w:rsidRPr="001141E3">
        <w:rPr>
          <w:i/>
          <w:iCs/>
          <w:sz w:val="20"/>
          <w:szCs w:val="20"/>
        </w:rPr>
        <w:t>Senate on 6 March 1991</w:t>
      </w:r>
      <w:r w:rsidR="002F3416" w:rsidRPr="001141E3">
        <w:rPr>
          <w:sz w:val="20"/>
          <w:szCs w:val="20"/>
        </w:rPr>
        <w:t>]</w:t>
      </w:r>
    </w:p>
    <w:sectPr w:rsidR="00FA545A" w:rsidRPr="001141E3" w:rsidSect="00DC0223">
      <w:head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7B1EA0" w15:done="0"/>
  <w15:commentEx w15:paraId="46B32D4A" w15:done="0"/>
  <w15:commentEx w15:paraId="65C0C76A" w15:done="0"/>
  <w15:commentEx w15:paraId="588C4892" w15:done="0"/>
  <w15:commentEx w15:paraId="155D4A6B" w15:done="0"/>
  <w15:commentEx w15:paraId="59BB8120" w15:done="0"/>
  <w15:commentEx w15:paraId="24005E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7B1EA0" w16cid:durableId="207009B1"/>
  <w16cid:commentId w16cid:paraId="46B32D4A" w16cid:durableId="207009C2"/>
  <w16cid:commentId w16cid:paraId="65C0C76A" w16cid:durableId="207009C9"/>
  <w16cid:commentId w16cid:paraId="588C4892" w16cid:durableId="207009D2"/>
  <w16cid:commentId w16cid:paraId="155D4A6B" w16cid:durableId="207009D9"/>
  <w16cid:commentId w16cid:paraId="59BB8120" w16cid:durableId="207009E3"/>
  <w16cid:commentId w16cid:paraId="24005E8B" w16cid:durableId="20700A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9274B" w14:textId="77777777" w:rsidR="002F6DBD" w:rsidRDefault="002F6DBD">
      <w:r>
        <w:separator/>
      </w:r>
    </w:p>
  </w:endnote>
  <w:endnote w:type="continuationSeparator" w:id="0">
    <w:p w14:paraId="460CE5C7" w14:textId="77777777" w:rsidR="002F6DBD" w:rsidRDefault="002F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95626" w14:textId="77777777" w:rsidR="002F6DBD" w:rsidRDefault="002F6DBD">
      <w:r>
        <w:separator/>
      </w:r>
    </w:p>
  </w:footnote>
  <w:footnote w:type="continuationSeparator" w:id="0">
    <w:p w14:paraId="691A8432" w14:textId="77777777" w:rsidR="002F6DBD" w:rsidRDefault="002F6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9E889" w14:textId="7105D3DA" w:rsidR="00FA545A" w:rsidRDefault="00FA545A" w:rsidP="003560B1">
    <w:pPr>
      <w:pStyle w:val="Header"/>
      <w:jc w:val="center"/>
    </w:pPr>
    <w:r>
      <w:rPr>
        <w:i/>
        <w:iCs/>
        <w:sz w:val="22"/>
        <w:szCs w:val="22"/>
      </w:rPr>
      <w:t xml:space="preserve">Companies </w:t>
    </w:r>
    <w:r>
      <w:rPr>
        <w:sz w:val="22"/>
        <w:szCs w:val="22"/>
      </w:rPr>
      <w:t>(</w:t>
    </w:r>
    <w:r>
      <w:rPr>
        <w:i/>
        <w:iCs/>
        <w:sz w:val="22"/>
        <w:szCs w:val="22"/>
      </w:rPr>
      <w:t>Insolvency Assistance</w:t>
    </w:r>
    <w:r>
      <w:rPr>
        <w:sz w:val="22"/>
        <w:szCs w:val="22"/>
      </w:rPr>
      <w:t>)</w:t>
    </w:r>
    <w:r>
      <w:rPr>
        <w:i/>
        <w:iCs/>
        <w:sz w:val="22"/>
        <w:szCs w:val="22"/>
      </w:rPr>
      <w:t xml:space="preserve"> Amendment </w:t>
    </w:r>
    <w:r w:rsidR="001141E3">
      <w:rPr>
        <w:i/>
        <w:iCs/>
        <w:sz w:val="22"/>
        <w:szCs w:val="22"/>
      </w:rPr>
      <w:t xml:space="preserve">   </w:t>
    </w:r>
    <w:r>
      <w:rPr>
        <w:i/>
        <w:iCs/>
        <w:sz w:val="22"/>
        <w:szCs w:val="22"/>
      </w:rPr>
      <w:t>No. 34,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doNotTrackMoves/>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A97"/>
    <w:rsid w:val="001141E3"/>
    <w:rsid w:val="002F3416"/>
    <w:rsid w:val="002F6DBD"/>
    <w:rsid w:val="003560B1"/>
    <w:rsid w:val="003B2F2D"/>
    <w:rsid w:val="00511683"/>
    <w:rsid w:val="009A23D4"/>
    <w:rsid w:val="00A45381"/>
    <w:rsid w:val="00A52A0E"/>
    <w:rsid w:val="00A61103"/>
    <w:rsid w:val="00AC2700"/>
    <w:rsid w:val="00BE1713"/>
    <w:rsid w:val="00DC0223"/>
    <w:rsid w:val="00E74D7A"/>
    <w:rsid w:val="00FA545A"/>
    <w:rsid w:val="00FA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7F79CC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60B1"/>
    <w:pPr>
      <w:tabs>
        <w:tab w:val="center" w:pos="4320"/>
        <w:tab w:val="right" w:pos="8640"/>
      </w:tabs>
    </w:pPr>
  </w:style>
  <w:style w:type="character" w:customStyle="1" w:styleId="HeaderChar">
    <w:name w:val="Header Char"/>
    <w:link w:val="Header"/>
    <w:uiPriority w:val="99"/>
    <w:semiHidden/>
    <w:rsid w:val="00931626"/>
    <w:rPr>
      <w:sz w:val="24"/>
      <w:szCs w:val="24"/>
    </w:rPr>
  </w:style>
  <w:style w:type="paragraph" w:styleId="Footer">
    <w:name w:val="footer"/>
    <w:basedOn w:val="Normal"/>
    <w:link w:val="FooterChar"/>
    <w:uiPriority w:val="99"/>
    <w:rsid w:val="003560B1"/>
    <w:pPr>
      <w:tabs>
        <w:tab w:val="center" w:pos="4320"/>
        <w:tab w:val="right" w:pos="8640"/>
      </w:tabs>
    </w:pPr>
  </w:style>
  <w:style w:type="character" w:customStyle="1" w:styleId="FooterChar">
    <w:name w:val="Footer Char"/>
    <w:link w:val="Footer"/>
    <w:uiPriority w:val="99"/>
    <w:semiHidden/>
    <w:rsid w:val="00931626"/>
    <w:rPr>
      <w:sz w:val="24"/>
      <w:szCs w:val="24"/>
    </w:rPr>
  </w:style>
  <w:style w:type="character" w:styleId="CommentReference">
    <w:name w:val="annotation reference"/>
    <w:uiPriority w:val="99"/>
    <w:semiHidden/>
    <w:unhideWhenUsed/>
    <w:rsid w:val="00A45381"/>
    <w:rPr>
      <w:sz w:val="16"/>
      <w:szCs w:val="16"/>
    </w:rPr>
  </w:style>
  <w:style w:type="paragraph" w:styleId="CommentText">
    <w:name w:val="annotation text"/>
    <w:basedOn w:val="Normal"/>
    <w:link w:val="CommentTextChar"/>
    <w:uiPriority w:val="99"/>
    <w:semiHidden/>
    <w:unhideWhenUsed/>
    <w:rsid w:val="00A45381"/>
    <w:rPr>
      <w:sz w:val="20"/>
      <w:szCs w:val="20"/>
    </w:rPr>
  </w:style>
  <w:style w:type="character" w:customStyle="1" w:styleId="CommentTextChar">
    <w:name w:val="Comment Text Char"/>
    <w:basedOn w:val="DefaultParagraphFont"/>
    <w:link w:val="CommentText"/>
    <w:uiPriority w:val="99"/>
    <w:semiHidden/>
    <w:rsid w:val="00A45381"/>
  </w:style>
  <w:style w:type="paragraph" w:styleId="CommentSubject">
    <w:name w:val="annotation subject"/>
    <w:basedOn w:val="CommentText"/>
    <w:next w:val="CommentText"/>
    <w:link w:val="CommentSubjectChar"/>
    <w:uiPriority w:val="99"/>
    <w:semiHidden/>
    <w:unhideWhenUsed/>
    <w:rsid w:val="00A45381"/>
    <w:rPr>
      <w:b/>
      <w:bCs/>
    </w:rPr>
  </w:style>
  <w:style w:type="character" w:customStyle="1" w:styleId="CommentSubjectChar">
    <w:name w:val="Comment Subject Char"/>
    <w:link w:val="CommentSubject"/>
    <w:uiPriority w:val="99"/>
    <w:semiHidden/>
    <w:rsid w:val="00A45381"/>
    <w:rPr>
      <w:b/>
      <w:bCs/>
    </w:rPr>
  </w:style>
  <w:style w:type="paragraph" w:styleId="BalloonText">
    <w:name w:val="Balloon Text"/>
    <w:basedOn w:val="Normal"/>
    <w:link w:val="BalloonTextChar"/>
    <w:uiPriority w:val="99"/>
    <w:semiHidden/>
    <w:unhideWhenUsed/>
    <w:rsid w:val="00A45381"/>
    <w:rPr>
      <w:rFonts w:ascii="Segoe UI" w:hAnsi="Segoe UI" w:cs="Segoe UI"/>
      <w:sz w:val="18"/>
      <w:szCs w:val="18"/>
    </w:rPr>
  </w:style>
  <w:style w:type="character" w:customStyle="1" w:styleId="BalloonTextChar">
    <w:name w:val="Balloon Text Char"/>
    <w:link w:val="BalloonText"/>
    <w:uiPriority w:val="99"/>
    <w:semiHidden/>
    <w:rsid w:val="00A45381"/>
    <w:rPr>
      <w:rFonts w:ascii="Segoe UI" w:hAnsi="Segoe UI" w:cs="Segoe UI"/>
      <w:sz w:val="18"/>
      <w:szCs w:val="18"/>
    </w:rPr>
  </w:style>
  <w:style w:type="paragraph" w:styleId="Revision">
    <w:name w:val="Revision"/>
    <w:hidden/>
    <w:uiPriority w:val="99"/>
    <w:semiHidden/>
    <w:rsid w:val="001141E3"/>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dc:creator>
  <cp:keywords/>
  <dc:description/>
  <cp:lastModifiedBy>Pettingill, Tia</cp:lastModifiedBy>
  <cp:revision>3</cp:revision>
  <dcterms:created xsi:type="dcterms:W3CDTF">2019-04-28T01:16:00Z</dcterms:created>
  <dcterms:modified xsi:type="dcterms:W3CDTF">2019-10-10T01:00:00Z</dcterms:modified>
</cp:coreProperties>
</file>