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AEE18" w14:textId="77777777" w:rsidR="00166B23" w:rsidRPr="003243AA" w:rsidRDefault="007D5F7C" w:rsidP="003243AA">
      <w:pPr>
        <w:jc w:val="center"/>
        <w:rPr>
          <w:sz w:val="22"/>
          <w:szCs w:val="24"/>
        </w:rPr>
      </w:pPr>
      <w:r w:rsidRPr="003243AA">
        <w:rPr>
          <w:noProof/>
          <w:sz w:val="22"/>
          <w:szCs w:val="24"/>
          <w:lang w:val="en-AU" w:eastAsia="en-AU"/>
        </w:rPr>
        <w:drawing>
          <wp:inline distT="0" distB="0" distL="0" distR="0" wp14:anchorId="0CFE6A10" wp14:editId="1737A1E2">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7CCFBBE" w14:textId="77777777" w:rsidR="004906F0" w:rsidRDefault="004906F0" w:rsidP="004906F0">
      <w:pPr>
        <w:shd w:val="clear" w:color="auto" w:fill="FFFFFF"/>
        <w:jc w:val="center"/>
        <w:rPr>
          <w:b/>
          <w:bCs/>
          <w:sz w:val="36"/>
          <w:szCs w:val="40"/>
        </w:rPr>
      </w:pPr>
    </w:p>
    <w:p w14:paraId="2DE26684" w14:textId="77777777" w:rsidR="004906F0" w:rsidRDefault="004906F0" w:rsidP="004906F0">
      <w:pPr>
        <w:shd w:val="clear" w:color="auto" w:fill="FFFFFF"/>
        <w:jc w:val="center"/>
        <w:rPr>
          <w:b/>
          <w:bCs/>
          <w:sz w:val="36"/>
          <w:szCs w:val="40"/>
        </w:rPr>
      </w:pPr>
    </w:p>
    <w:p w14:paraId="61839C29" w14:textId="77777777" w:rsidR="004906F0" w:rsidRDefault="004906F0" w:rsidP="004906F0">
      <w:pPr>
        <w:shd w:val="clear" w:color="auto" w:fill="FFFFFF"/>
        <w:jc w:val="center"/>
        <w:rPr>
          <w:b/>
          <w:bCs/>
          <w:sz w:val="36"/>
          <w:szCs w:val="40"/>
        </w:rPr>
      </w:pPr>
    </w:p>
    <w:p w14:paraId="110AB24E" w14:textId="77777777" w:rsidR="004906F0" w:rsidRDefault="009A55F7" w:rsidP="004906F0">
      <w:pPr>
        <w:shd w:val="clear" w:color="auto" w:fill="FFFFFF"/>
        <w:jc w:val="center"/>
        <w:rPr>
          <w:b/>
          <w:bCs/>
          <w:sz w:val="36"/>
          <w:szCs w:val="40"/>
        </w:rPr>
      </w:pPr>
      <w:r w:rsidRPr="003243AA">
        <w:rPr>
          <w:b/>
          <w:bCs/>
          <w:sz w:val="36"/>
          <w:szCs w:val="40"/>
        </w:rPr>
        <w:t>Coa</w:t>
      </w:r>
      <w:bookmarkStart w:id="0" w:name="_GoBack"/>
      <w:bookmarkEnd w:id="0"/>
      <w:r w:rsidRPr="003243AA">
        <w:rPr>
          <w:b/>
          <w:bCs/>
          <w:sz w:val="36"/>
          <w:szCs w:val="40"/>
        </w:rPr>
        <w:t xml:space="preserve">l Tariff Legislation Amendment Act </w:t>
      </w:r>
    </w:p>
    <w:p w14:paraId="626712E8" w14:textId="77777777" w:rsidR="00166B23" w:rsidRPr="003243AA" w:rsidRDefault="009A55F7" w:rsidP="004906F0">
      <w:pPr>
        <w:shd w:val="clear" w:color="auto" w:fill="FFFFFF"/>
        <w:jc w:val="center"/>
        <w:rPr>
          <w:sz w:val="36"/>
        </w:rPr>
      </w:pPr>
      <w:r w:rsidRPr="003243AA">
        <w:rPr>
          <w:b/>
          <w:bCs/>
          <w:sz w:val="36"/>
          <w:szCs w:val="40"/>
        </w:rPr>
        <w:t>1992</w:t>
      </w:r>
    </w:p>
    <w:p w14:paraId="274D2D71" w14:textId="77777777" w:rsidR="00166B23" w:rsidRPr="00B67FBF" w:rsidRDefault="009A55F7" w:rsidP="003243AA">
      <w:pPr>
        <w:shd w:val="clear" w:color="auto" w:fill="FFFFFF"/>
        <w:spacing w:before="965"/>
        <w:jc w:val="center"/>
        <w:rPr>
          <w:sz w:val="28"/>
          <w:szCs w:val="28"/>
        </w:rPr>
      </w:pPr>
      <w:r w:rsidRPr="00B67FBF">
        <w:rPr>
          <w:b/>
          <w:bCs/>
          <w:sz w:val="28"/>
          <w:szCs w:val="28"/>
        </w:rPr>
        <w:t>No. 65 of 1992</w:t>
      </w:r>
    </w:p>
    <w:p w14:paraId="56D515C0" w14:textId="101B2D96" w:rsidR="00166B23" w:rsidRPr="00AC6B6A" w:rsidRDefault="003243AA" w:rsidP="003243AA">
      <w:pPr>
        <w:shd w:val="clear" w:color="auto" w:fill="FFFFFF"/>
        <w:spacing w:before="1877"/>
        <w:jc w:val="center"/>
        <w:rPr>
          <w:sz w:val="28"/>
        </w:rPr>
      </w:pPr>
      <w:r w:rsidRPr="00AC6B6A">
        <w:rPr>
          <w:b/>
          <w:bCs/>
          <w:noProof/>
          <w:sz w:val="28"/>
          <w:szCs w:val="30"/>
          <w:lang w:val="en-AU" w:eastAsia="en-AU"/>
        </w:rPr>
        <mc:AlternateContent>
          <mc:Choice Requires="wps">
            <w:drawing>
              <wp:anchor distT="0" distB="0" distL="114300" distR="114300" simplePos="0" relativeHeight="251660288" behindDoc="0" locked="0" layoutInCell="1" allowOverlap="1" wp14:anchorId="4C4A2C2C" wp14:editId="548D825A">
                <wp:simplePos x="0" y="0"/>
                <wp:positionH relativeFrom="column">
                  <wp:posOffset>9525</wp:posOffset>
                </wp:positionH>
                <wp:positionV relativeFrom="paragraph">
                  <wp:posOffset>617220</wp:posOffset>
                </wp:positionV>
                <wp:extent cx="582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6440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6pt" to="459.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" strokecolor="black [3040]" strokeweight="1.5pt"/>
            </w:pict>
          </mc:Fallback>
        </mc:AlternateContent>
      </w:r>
      <w:r w:rsidRPr="00AC6B6A">
        <w:rPr>
          <w:b/>
          <w:bCs/>
          <w:noProof/>
          <w:sz w:val="28"/>
          <w:szCs w:val="30"/>
          <w:lang w:val="en-AU" w:eastAsia="en-AU"/>
        </w:rPr>
        <mc:AlternateContent>
          <mc:Choice Requires="wps">
            <w:drawing>
              <wp:anchor distT="0" distB="0" distL="114300" distR="114300" simplePos="0" relativeHeight="251659264" behindDoc="0" locked="0" layoutInCell="1" allowOverlap="1" wp14:anchorId="53CEA5E3" wp14:editId="39BEE496">
                <wp:simplePos x="0" y="0"/>
                <wp:positionH relativeFrom="column">
                  <wp:posOffset>9525</wp:posOffset>
                </wp:positionH>
                <wp:positionV relativeFrom="paragraph">
                  <wp:posOffset>588645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1CE5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6.35pt" to="459.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xq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" strokecolor="black [3040]"/>
            </w:pict>
          </mc:Fallback>
        </mc:AlternateContent>
      </w:r>
      <w:r w:rsidR="009A55F7" w:rsidRPr="00AC6B6A">
        <w:rPr>
          <w:b/>
          <w:bCs/>
          <w:sz w:val="28"/>
          <w:szCs w:val="30"/>
        </w:rPr>
        <w:t xml:space="preserve">An Act to repeal the </w:t>
      </w:r>
      <w:r w:rsidR="009A55F7" w:rsidRPr="00AC6B6A">
        <w:rPr>
          <w:b/>
          <w:bCs/>
          <w:i/>
          <w:iCs/>
          <w:sz w:val="28"/>
          <w:szCs w:val="30"/>
        </w:rPr>
        <w:t xml:space="preserve">Customs Tariff (Coal Export Duty) Act 1975 </w:t>
      </w:r>
      <w:r w:rsidR="009A55F7" w:rsidRPr="00AC6B6A">
        <w:rPr>
          <w:b/>
          <w:bCs/>
          <w:sz w:val="28"/>
          <w:szCs w:val="30"/>
        </w:rPr>
        <w:t xml:space="preserve">and to amend the </w:t>
      </w:r>
      <w:r w:rsidR="009A55F7" w:rsidRPr="00AC6B6A">
        <w:rPr>
          <w:b/>
          <w:bCs/>
          <w:i/>
          <w:iCs/>
          <w:sz w:val="28"/>
          <w:szCs w:val="30"/>
        </w:rPr>
        <w:t>Excise Tariff Act 1921</w:t>
      </w:r>
      <w:r w:rsidR="009A55F7" w:rsidRPr="0034053E">
        <w:rPr>
          <w:b/>
          <w:bCs/>
          <w:iCs/>
          <w:sz w:val="28"/>
          <w:szCs w:val="30"/>
        </w:rPr>
        <w:t>,</w:t>
      </w:r>
      <w:r w:rsidR="009A55F7" w:rsidRPr="00AC6B6A">
        <w:rPr>
          <w:b/>
          <w:bCs/>
          <w:i/>
          <w:iCs/>
          <w:sz w:val="28"/>
          <w:szCs w:val="30"/>
        </w:rPr>
        <w:t xml:space="preserve"> </w:t>
      </w:r>
      <w:r w:rsidR="009A55F7" w:rsidRPr="00AC6B6A">
        <w:rPr>
          <w:b/>
          <w:bCs/>
          <w:sz w:val="28"/>
          <w:szCs w:val="30"/>
        </w:rPr>
        <w:t>and for related purposes</w:t>
      </w:r>
    </w:p>
    <w:p w14:paraId="47B04E73" w14:textId="77777777" w:rsidR="00166B23" w:rsidRPr="003243AA" w:rsidRDefault="009A55F7" w:rsidP="003243AA">
      <w:pPr>
        <w:shd w:val="clear" w:color="auto" w:fill="FFFFFF"/>
        <w:spacing w:before="240" w:after="240"/>
        <w:jc w:val="right"/>
        <w:rPr>
          <w:sz w:val="22"/>
        </w:rPr>
      </w:pPr>
      <w:r w:rsidRPr="003243AA">
        <w:rPr>
          <w:sz w:val="22"/>
          <w:szCs w:val="24"/>
        </w:rPr>
        <w:t>[</w:t>
      </w:r>
      <w:r w:rsidRPr="003243AA">
        <w:rPr>
          <w:i/>
          <w:iCs/>
          <w:sz w:val="22"/>
          <w:szCs w:val="24"/>
        </w:rPr>
        <w:t>Assented to 26 June 1992</w:t>
      </w:r>
      <w:r w:rsidRPr="003243AA">
        <w:rPr>
          <w:sz w:val="22"/>
          <w:szCs w:val="24"/>
        </w:rPr>
        <w:t>]</w:t>
      </w:r>
    </w:p>
    <w:p w14:paraId="51BE7A9A" w14:textId="4F47D077" w:rsidR="00166B23" w:rsidRPr="003243AA" w:rsidRDefault="009A55F7" w:rsidP="003243AA">
      <w:pPr>
        <w:shd w:val="clear" w:color="auto" w:fill="FFFFFF"/>
        <w:spacing w:before="120"/>
        <w:ind w:left="350"/>
        <w:jc w:val="both"/>
        <w:rPr>
          <w:sz w:val="22"/>
        </w:rPr>
      </w:pPr>
      <w:r w:rsidRPr="003243AA">
        <w:rPr>
          <w:sz w:val="22"/>
          <w:szCs w:val="24"/>
        </w:rPr>
        <w:t>The Parliament of Australia enacts:</w:t>
      </w:r>
    </w:p>
    <w:p w14:paraId="13724435" w14:textId="77777777" w:rsidR="00166B23" w:rsidRPr="003243AA" w:rsidRDefault="009A55F7" w:rsidP="003243AA">
      <w:pPr>
        <w:widowControl/>
        <w:shd w:val="clear" w:color="auto" w:fill="FFFFFF"/>
        <w:spacing w:before="120" w:after="120"/>
        <w:jc w:val="center"/>
        <w:rPr>
          <w:sz w:val="22"/>
        </w:rPr>
      </w:pPr>
      <w:r w:rsidRPr="003243AA">
        <w:rPr>
          <w:b/>
          <w:bCs/>
          <w:sz w:val="22"/>
          <w:szCs w:val="24"/>
        </w:rPr>
        <w:t>PART 1</w:t>
      </w:r>
      <w:r w:rsidRPr="003243AA">
        <w:rPr>
          <w:rFonts w:eastAsia="Times New Roman"/>
          <w:b/>
          <w:bCs/>
          <w:sz w:val="22"/>
          <w:szCs w:val="24"/>
        </w:rPr>
        <w:t>—PRELIMINARY</w:t>
      </w:r>
    </w:p>
    <w:p w14:paraId="21AF6C10" w14:textId="77777777" w:rsidR="00166B23" w:rsidRPr="003243AA" w:rsidRDefault="009A55F7" w:rsidP="003243AA">
      <w:pPr>
        <w:shd w:val="clear" w:color="auto" w:fill="FFFFFF"/>
        <w:spacing w:before="120"/>
        <w:ind w:left="14"/>
        <w:jc w:val="both"/>
        <w:rPr>
          <w:sz w:val="22"/>
        </w:rPr>
      </w:pPr>
      <w:r w:rsidRPr="003243AA">
        <w:rPr>
          <w:b/>
          <w:bCs/>
          <w:sz w:val="22"/>
          <w:szCs w:val="24"/>
        </w:rPr>
        <w:t>Short title</w:t>
      </w:r>
    </w:p>
    <w:p w14:paraId="61D16E3D" w14:textId="77777777" w:rsidR="00166B23" w:rsidRPr="003243AA" w:rsidRDefault="009A55F7" w:rsidP="003243AA">
      <w:pPr>
        <w:shd w:val="clear" w:color="auto" w:fill="FFFFFF"/>
        <w:spacing w:before="120"/>
        <w:ind w:firstLine="355"/>
        <w:jc w:val="both"/>
        <w:rPr>
          <w:sz w:val="22"/>
        </w:rPr>
      </w:pPr>
      <w:r w:rsidRPr="003243AA">
        <w:rPr>
          <w:b/>
          <w:bCs/>
          <w:sz w:val="22"/>
          <w:szCs w:val="24"/>
        </w:rPr>
        <w:t>1.</w:t>
      </w:r>
      <w:r w:rsidRPr="003243AA">
        <w:rPr>
          <w:sz w:val="22"/>
          <w:szCs w:val="24"/>
        </w:rPr>
        <w:t xml:space="preserve"> This Act may be cited as the </w:t>
      </w:r>
      <w:r w:rsidRPr="003243AA">
        <w:rPr>
          <w:i/>
          <w:iCs/>
          <w:sz w:val="22"/>
          <w:szCs w:val="24"/>
        </w:rPr>
        <w:t>Coal Tariff Legislation Amendment Act 1992.</w:t>
      </w:r>
    </w:p>
    <w:p w14:paraId="3A7EFE7D" w14:textId="77777777" w:rsidR="00166B23" w:rsidRPr="003243AA" w:rsidRDefault="009A55F7" w:rsidP="003243AA">
      <w:pPr>
        <w:shd w:val="clear" w:color="auto" w:fill="FFFFFF"/>
        <w:spacing w:before="120"/>
        <w:ind w:left="10"/>
        <w:jc w:val="both"/>
        <w:rPr>
          <w:sz w:val="22"/>
        </w:rPr>
      </w:pPr>
      <w:r w:rsidRPr="003243AA">
        <w:rPr>
          <w:b/>
          <w:bCs/>
          <w:sz w:val="22"/>
          <w:szCs w:val="24"/>
        </w:rPr>
        <w:t>Commencement</w:t>
      </w:r>
    </w:p>
    <w:p w14:paraId="34F5E391" w14:textId="77777777" w:rsidR="00166B23" w:rsidRPr="003243AA" w:rsidRDefault="009A55F7" w:rsidP="003243AA">
      <w:pPr>
        <w:shd w:val="clear" w:color="auto" w:fill="FFFFFF"/>
        <w:spacing w:before="120"/>
        <w:ind w:left="10" w:firstLine="341"/>
        <w:jc w:val="both"/>
        <w:rPr>
          <w:sz w:val="22"/>
        </w:rPr>
      </w:pPr>
      <w:r w:rsidRPr="003243AA">
        <w:rPr>
          <w:b/>
          <w:bCs/>
          <w:sz w:val="22"/>
          <w:szCs w:val="24"/>
        </w:rPr>
        <w:t xml:space="preserve">2.(1) </w:t>
      </w:r>
      <w:r w:rsidRPr="003243AA">
        <w:rPr>
          <w:sz w:val="22"/>
          <w:szCs w:val="24"/>
        </w:rPr>
        <w:t>This Part, and section 4 commence on the day on which this Act receives the Royal Assent.</w:t>
      </w:r>
    </w:p>
    <w:p w14:paraId="58280991" w14:textId="77777777" w:rsidR="00166B23" w:rsidRPr="003243AA" w:rsidRDefault="009A55F7" w:rsidP="003243AA">
      <w:pPr>
        <w:numPr>
          <w:ilvl w:val="0"/>
          <w:numId w:val="1"/>
        </w:numPr>
        <w:shd w:val="clear" w:color="auto" w:fill="FFFFFF"/>
        <w:tabs>
          <w:tab w:val="left" w:pos="739"/>
        </w:tabs>
        <w:spacing w:before="120"/>
        <w:ind w:left="346"/>
        <w:jc w:val="both"/>
        <w:rPr>
          <w:b/>
          <w:bCs/>
          <w:sz w:val="22"/>
          <w:szCs w:val="24"/>
        </w:rPr>
      </w:pPr>
      <w:r w:rsidRPr="003243AA">
        <w:rPr>
          <w:sz w:val="22"/>
          <w:szCs w:val="24"/>
        </w:rPr>
        <w:t>Part 2 commences on 1 July 1992.</w:t>
      </w:r>
    </w:p>
    <w:p w14:paraId="1303DBFE" w14:textId="77777777" w:rsidR="00166B23" w:rsidRPr="003243AA" w:rsidRDefault="009A55F7" w:rsidP="003243AA">
      <w:pPr>
        <w:numPr>
          <w:ilvl w:val="0"/>
          <w:numId w:val="1"/>
        </w:numPr>
        <w:shd w:val="clear" w:color="auto" w:fill="FFFFFF"/>
        <w:tabs>
          <w:tab w:val="left" w:pos="739"/>
        </w:tabs>
        <w:spacing w:before="120"/>
        <w:ind w:left="10" w:firstLine="336"/>
        <w:jc w:val="both"/>
        <w:rPr>
          <w:b/>
          <w:bCs/>
          <w:sz w:val="22"/>
          <w:szCs w:val="24"/>
        </w:rPr>
      </w:pPr>
      <w:r w:rsidRPr="003243AA">
        <w:rPr>
          <w:sz w:val="22"/>
          <w:szCs w:val="24"/>
        </w:rPr>
        <w:t>Subsections 5(1) and (2) commence on such days as are fixed by Proclamation.</w:t>
      </w:r>
    </w:p>
    <w:p w14:paraId="161B4A5C" w14:textId="77777777" w:rsidR="00166B23" w:rsidRPr="003243AA" w:rsidRDefault="00166B23" w:rsidP="003243AA">
      <w:pPr>
        <w:numPr>
          <w:ilvl w:val="0"/>
          <w:numId w:val="1"/>
        </w:numPr>
        <w:shd w:val="clear" w:color="auto" w:fill="FFFFFF"/>
        <w:tabs>
          <w:tab w:val="left" w:pos="739"/>
        </w:tabs>
        <w:spacing w:before="120"/>
        <w:ind w:left="10" w:firstLine="336"/>
        <w:jc w:val="both"/>
        <w:rPr>
          <w:b/>
          <w:bCs/>
          <w:sz w:val="22"/>
          <w:szCs w:val="24"/>
        </w:rPr>
        <w:sectPr w:rsidR="00166B23" w:rsidRPr="003243AA" w:rsidSect="00B47DAF">
          <w:headerReference w:type="default" r:id="rId10"/>
          <w:type w:val="continuous"/>
          <w:pgSz w:w="12240" w:h="15840"/>
          <w:pgMar w:top="1440" w:right="1440" w:bottom="1440" w:left="1440" w:header="720" w:footer="720" w:gutter="0"/>
          <w:cols w:space="60"/>
          <w:noEndnote/>
          <w:titlePg/>
          <w:docGrid w:linePitch="272"/>
        </w:sectPr>
      </w:pPr>
    </w:p>
    <w:p w14:paraId="30006FE8" w14:textId="77777777" w:rsidR="00166B23" w:rsidRPr="003243AA" w:rsidRDefault="009A55F7" w:rsidP="003243AA">
      <w:pPr>
        <w:shd w:val="clear" w:color="auto" w:fill="FFFFFF"/>
        <w:spacing w:before="120"/>
        <w:ind w:left="14" w:firstLine="336"/>
        <w:jc w:val="both"/>
        <w:rPr>
          <w:sz w:val="22"/>
        </w:rPr>
      </w:pPr>
      <w:r w:rsidRPr="003243AA">
        <w:rPr>
          <w:b/>
          <w:bCs/>
          <w:sz w:val="22"/>
          <w:szCs w:val="24"/>
        </w:rPr>
        <w:lastRenderedPageBreak/>
        <w:t>(4)</w:t>
      </w:r>
      <w:r w:rsidRPr="003243AA">
        <w:rPr>
          <w:sz w:val="22"/>
          <w:szCs w:val="24"/>
        </w:rPr>
        <w:t xml:space="preserve"> If either subsection 5(1) or 5(2) does not commence under subsection (3) within the period of 12 months beginning on the day on which this Act receives the Royal Assent, it commences on the first day after the end of that period.</w:t>
      </w:r>
    </w:p>
    <w:p w14:paraId="1BD1F1DF" w14:textId="77777777" w:rsidR="00166B23" w:rsidRPr="003243AA" w:rsidRDefault="009A55F7" w:rsidP="00AC6B6A">
      <w:pPr>
        <w:widowControl/>
        <w:shd w:val="clear" w:color="auto" w:fill="FFFFFF"/>
        <w:spacing w:before="360" w:after="240"/>
        <w:jc w:val="center"/>
        <w:rPr>
          <w:sz w:val="22"/>
        </w:rPr>
      </w:pPr>
      <w:r w:rsidRPr="003243AA">
        <w:rPr>
          <w:b/>
          <w:bCs/>
          <w:sz w:val="22"/>
          <w:szCs w:val="24"/>
        </w:rPr>
        <w:t>PART 2</w:t>
      </w:r>
      <w:r w:rsidRPr="003243AA">
        <w:rPr>
          <w:rFonts w:eastAsia="Times New Roman"/>
          <w:b/>
          <w:bCs/>
          <w:sz w:val="22"/>
          <w:szCs w:val="24"/>
        </w:rPr>
        <w:t>—REPEAL OF THE CUSTOMS TARIFF (COAL EXPORT DUTY) ACT 1975</w:t>
      </w:r>
    </w:p>
    <w:p w14:paraId="6038C2A3" w14:textId="77777777" w:rsidR="00166B23" w:rsidRPr="003243AA" w:rsidRDefault="009A55F7" w:rsidP="00AC6B6A">
      <w:pPr>
        <w:shd w:val="clear" w:color="auto" w:fill="FFFFFF"/>
        <w:spacing w:before="120"/>
        <w:jc w:val="both"/>
        <w:rPr>
          <w:sz w:val="22"/>
        </w:rPr>
      </w:pPr>
      <w:r w:rsidRPr="003243AA">
        <w:rPr>
          <w:b/>
          <w:bCs/>
          <w:sz w:val="22"/>
          <w:szCs w:val="24"/>
        </w:rPr>
        <w:t>Repeal of Act</w:t>
      </w:r>
    </w:p>
    <w:p w14:paraId="7C8FE41E" w14:textId="77777777" w:rsidR="00166B23" w:rsidRPr="003243AA" w:rsidRDefault="009A55F7" w:rsidP="003243AA">
      <w:pPr>
        <w:shd w:val="clear" w:color="auto" w:fill="FFFFFF"/>
        <w:spacing w:before="120"/>
        <w:ind w:left="355"/>
        <w:jc w:val="both"/>
        <w:rPr>
          <w:sz w:val="22"/>
        </w:rPr>
      </w:pPr>
      <w:r w:rsidRPr="003243AA">
        <w:rPr>
          <w:b/>
          <w:bCs/>
          <w:sz w:val="22"/>
          <w:szCs w:val="24"/>
        </w:rPr>
        <w:t>3.(1)</w:t>
      </w:r>
      <w:r w:rsidRPr="003243AA">
        <w:rPr>
          <w:sz w:val="22"/>
          <w:szCs w:val="24"/>
        </w:rPr>
        <w:t xml:space="preserve"> The </w:t>
      </w:r>
      <w:r w:rsidRPr="003243AA">
        <w:rPr>
          <w:i/>
          <w:iCs/>
          <w:sz w:val="22"/>
          <w:szCs w:val="24"/>
        </w:rPr>
        <w:t xml:space="preserve">Customs Tariff (Coal Export Duty) Act 1975 </w:t>
      </w:r>
      <w:r w:rsidRPr="003243AA">
        <w:rPr>
          <w:sz w:val="22"/>
          <w:szCs w:val="24"/>
        </w:rPr>
        <w:t>is repealed.</w:t>
      </w:r>
    </w:p>
    <w:p w14:paraId="372F4B3C" w14:textId="77777777" w:rsidR="00166B23" w:rsidRPr="003243AA" w:rsidRDefault="009A55F7" w:rsidP="003243AA">
      <w:pPr>
        <w:shd w:val="clear" w:color="auto" w:fill="FFFFFF"/>
        <w:spacing w:before="120"/>
        <w:ind w:left="19" w:firstLine="341"/>
        <w:jc w:val="both"/>
        <w:rPr>
          <w:sz w:val="22"/>
        </w:rPr>
      </w:pPr>
      <w:r w:rsidRPr="003243AA">
        <w:rPr>
          <w:b/>
          <w:bCs/>
          <w:sz w:val="22"/>
          <w:szCs w:val="24"/>
        </w:rPr>
        <w:t xml:space="preserve">(2) </w:t>
      </w:r>
      <w:r w:rsidRPr="003243AA">
        <w:rPr>
          <w:sz w:val="22"/>
          <w:szCs w:val="24"/>
        </w:rPr>
        <w:t xml:space="preserve">Despite the repeal effected by subsection (1), the </w:t>
      </w:r>
      <w:r w:rsidRPr="003243AA">
        <w:rPr>
          <w:i/>
          <w:iCs/>
          <w:sz w:val="22"/>
          <w:szCs w:val="24"/>
        </w:rPr>
        <w:t xml:space="preserve">Customs Tariff (Coal Export Duty) Act 1975 </w:t>
      </w:r>
      <w:r w:rsidRPr="003243AA">
        <w:rPr>
          <w:sz w:val="22"/>
          <w:szCs w:val="24"/>
        </w:rPr>
        <w:t>continues to apply in relation to:</w:t>
      </w:r>
    </w:p>
    <w:p w14:paraId="2C660BD9" w14:textId="77777777" w:rsidR="00166B23" w:rsidRPr="003243AA" w:rsidRDefault="009A55F7" w:rsidP="003243AA">
      <w:pPr>
        <w:numPr>
          <w:ilvl w:val="0"/>
          <w:numId w:val="2"/>
        </w:numPr>
        <w:shd w:val="clear" w:color="auto" w:fill="FFFFFF"/>
        <w:tabs>
          <w:tab w:val="left" w:pos="792"/>
        </w:tabs>
        <w:spacing w:before="120"/>
        <w:ind w:left="792" w:hanging="394"/>
        <w:jc w:val="both"/>
        <w:rPr>
          <w:sz w:val="22"/>
          <w:szCs w:val="24"/>
        </w:rPr>
      </w:pPr>
      <w:r w:rsidRPr="003243AA">
        <w:rPr>
          <w:sz w:val="22"/>
          <w:szCs w:val="24"/>
        </w:rPr>
        <w:t>coal loaded onto a ship before the commencement of this Part for export from Australia; or</w:t>
      </w:r>
    </w:p>
    <w:p w14:paraId="61E14F82" w14:textId="77777777" w:rsidR="00166B23" w:rsidRPr="003243AA" w:rsidRDefault="009A55F7" w:rsidP="003243AA">
      <w:pPr>
        <w:numPr>
          <w:ilvl w:val="0"/>
          <w:numId w:val="2"/>
        </w:numPr>
        <w:shd w:val="clear" w:color="auto" w:fill="FFFFFF"/>
        <w:tabs>
          <w:tab w:val="left" w:pos="792"/>
        </w:tabs>
        <w:spacing w:before="120"/>
        <w:ind w:left="792" w:hanging="394"/>
        <w:jc w:val="both"/>
        <w:rPr>
          <w:sz w:val="22"/>
          <w:szCs w:val="24"/>
        </w:rPr>
      </w:pPr>
      <w:r w:rsidRPr="003243AA">
        <w:rPr>
          <w:sz w:val="22"/>
          <w:szCs w:val="24"/>
        </w:rPr>
        <w:t>coal loaded onto a ship on or after the commencement of this Part for export from Australia as part of a consignment of coal for export from Australia the loading of which onto that ship commenced before the commencement of this Part.</w:t>
      </w:r>
    </w:p>
    <w:p w14:paraId="1BB4199A" w14:textId="77777777" w:rsidR="00166B23" w:rsidRPr="003243AA" w:rsidRDefault="009A55F7" w:rsidP="00AC6B6A">
      <w:pPr>
        <w:widowControl/>
        <w:shd w:val="clear" w:color="auto" w:fill="FFFFFF"/>
        <w:spacing w:before="360" w:after="240"/>
        <w:jc w:val="center"/>
        <w:rPr>
          <w:sz w:val="22"/>
        </w:rPr>
      </w:pPr>
      <w:r w:rsidRPr="003243AA">
        <w:rPr>
          <w:b/>
          <w:bCs/>
          <w:sz w:val="22"/>
          <w:szCs w:val="24"/>
        </w:rPr>
        <w:t>PART 3</w:t>
      </w:r>
      <w:r w:rsidRPr="003243AA">
        <w:rPr>
          <w:rFonts w:eastAsia="Times New Roman"/>
          <w:b/>
          <w:bCs/>
          <w:sz w:val="22"/>
          <w:szCs w:val="24"/>
        </w:rPr>
        <w:t>—AMENDMENTS OF THE EXCISE TARIFF ACT 1921</w:t>
      </w:r>
    </w:p>
    <w:p w14:paraId="6746E795" w14:textId="77777777" w:rsidR="00166B23" w:rsidRPr="003243AA" w:rsidRDefault="009A55F7" w:rsidP="00AC6B6A">
      <w:pPr>
        <w:shd w:val="clear" w:color="auto" w:fill="FFFFFF"/>
        <w:spacing w:before="120"/>
        <w:jc w:val="both"/>
        <w:rPr>
          <w:sz w:val="22"/>
        </w:rPr>
      </w:pPr>
      <w:r w:rsidRPr="003243AA">
        <w:rPr>
          <w:b/>
          <w:bCs/>
          <w:sz w:val="22"/>
          <w:szCs w:val="24"/>
        </w:rPr>
        <w:t>Principal Act</w:t>
      </w:r>
    </w:p>
    <w:p w14:paraId="262F39A3" w14:textId="77777777" w:rsidR="00166B23" w:rsidRPr="003243AA" w:rsidRDefault="009A55F7" w:rsidP="003243AA">
      <w:pPr>
        <w:shd w:val="clear" w:color="auto" w:fill="FFFFFF"/>
        <w:spacing w:before="120"/>
        <w:ind w:left="346"/>
        <w:jc w:val="both"/>
        <w:rPr>
          <w:sz w:val="22"/>
        </w:rPr>
      </w:pPr>
      <w:r w:rsidRPr="003243AA">
        <w:rPr>
          <w:b/>
          <w:bCs/>
          <w:sz w:val="22"/>
          <w:szCs w:val="24"/>
        </w:rPr>
        <w:t xml:space="preserve">4. </w:t>
      </w:r>
      <w:r w:rsidRPr="003243AA">
        <w:rPr>
          <w:sz w:val="22"/>
          <w:szCs w:val="24"/>
        </w:rPr>
        <w:t xml:space="preserve">In this Part, </w:t>
      </w:r>
      <w:r w:rsidR="007D5F7C" w:rsidRPr="003243AA">
        <w:rPr>
          <w:b/>
          <w:bCs/>
          <w:sz w:val="22"/>
          <w:szCs w:val="24"/>
        </w:rPr>
        <w:t>“</w:t>
      </w:r>
      <w:r w:rsidRPr="003243AA">
        <w:rPr>
          <w:b/>
          <w:bCs/>
          <w:sz w:val="22"/>
          <w:szCs w:val="24"/>
        </w:rPr>
        <w:t>Principal Act</w:t>
      </w:r>
      <w:r w:rsidR="007D5F7C" w:rsidRPr="003243AA">
        <w:rPr>
          <w:b/>
          <w:bCs/>
          <w:sz w:val="22"/>
          <w:szCs w:val="24"/>
        </w:rPr>
        <w:t>”</w:t>
      </w:r>
      <w:r w:rsidRPr="003243AA">
        <w:rPr>
          <w:b/>
          <w:bCs/>
          <w:sz w:val="22"/>
          <w:szCs w:val="24"/>
        </w:rPr>
        <w:t xml:space="preserve"> </w:t>
      </w:r>
      <w:r w:rsidRPr="003243AA">
        <w:rPr>
          <w:sz w:val="22"/>
          <w:szCs w:val="24"/>
        </w:rPr>
        <w:t xml:space="preserve">means the </w:t>
      </w:r>
      <w:r w:rsidRPr="003243AA">
        <w:rPr>
          <w:i/>
          <w:iCs/>
          <w:sz w:val="22"/>
          <w:szCs w:val="24"/>
        </w:rPr>
        <w:t>Excise Tariff Act 1921</w:t>
      </w:r>
      <w:r w:rsidRPr="003243AA">
        <w:rPr>
          <w:sz w:val="22"/>
          <w:szCs w:val="24"/>
          <w:vertAlign w:val="superscript"/>
        </w:rPr>
        <w:t>1</w:t>
      </w:r>
      <w:r w:rsidRPr="003243AA">
        <w:rPr>
          <w:i/>
          <w:iCs/>
          <w:sz w:val="22"/>
          <w:szCs w:val="24"/>
        </w:rPr>
        <w:t>.</w:t>
      </w:r>
    </w:p>
    <w:p w14:paraId="7CC2FB60" w14:textId="77777777" w:rsidR="00166B23" w:rsidRPr="003243AA" w:rsidRDefault="009A55F7" w:rsidP="003243AA">
      <w:pPr>
        <w:shd w:val="clear" w:color="auto" w:fill="FFFFFF"/>
        <w:spacing w:before="120"/>
        <w:jc w:val="both"/>
        <w:rPr>
          <w:sz w:val="22"/>
        </w:rPr>
      </w:pPr>
      <w:r w:rsidRPr="003243AA">
        <w:rPr>
          <w:b/>
          <w:bCs/>
          <w:sz w:val="22"/>
          <w:szCs w:val="24"/>
        </w:rPr>
        <w:t>Amendments of Schedule to Principal Act</w:t>
      </w:r>
    </w:p>
    <w:p w14:paraId="5F3297EC" w14:textId="77777777" w:rsidR="00166B23" w:rsidRPr="003243AA" w:rsidRDefault="009A55F7" w:rsidP="003243AA">
      <w:pPr>
        <w:shd w:val="clear" w:color="auto" w:fill="FFFFFF"/>
        <w:spacing w:before="120"/>
        <w:ind w:left="5" w:firstLine="336"/>
        <w:jc w:val="both"/>
        <w:rPr>
          <w:sz w:val="22"/>
        </w:rPr>
      </w:pPr>
      <w:r w:rsidRPr="003243AA">
        <w:rPr>
          <w:b/>
          <w:bCs/>
          <w:sz w:val="22"/>
          <w:szCs w:val="24"/>
        </w:rPr>
        <w:t xml:space="preserve">5.(1) </w:t>
      </w:r>
      <w:r w:rsidRPr="003243AA">
        <w:rPr>
          <w:sz w:val="22"/>
          <w:szCs w:val="24"/>
        </w:rPr>
        <w:t xml:space="preserve">The Schedule to the Principal Act is amended by omitting the rate of duty specified in the Schedule in respect of item 20 and substituting </w:t>
      </w:r>
      <w:r w:rsidR="007D5F7C" w:rsidRPr="003243AA">
        <w:rPr>
          <w:sz w:val="22"/>
          <w:szCs w:val="24"/>
        </w:rPr>
        <w:t>“</w:t>
      </w:r>
      <w:r w:rsidRPr="003243AA">
        <w:rPr>
          <w:sz w:val="22"/>
          <w:szCs w:val="24"/>
        </w:rPr>
        <w:t xml:space="preserve">$0.20 per </w:t>
      </w:r>
      <w:proofErr w:type="spellStart"/>
      <w:r w:rsidRPr="003243AA">
        <w:rPr>
          <w:sz w:val="22"/>
          <w:szCs w:val="24"/>
        </w:rPr>
        <w:t>tonne</w:t>
      </w:r>
      <w:proofErr w:type="spellEnd"/>
      <w:r w:rsidR="007D5F7C" w:rsidRPr="003243AA">
        <w:rPr>
          <w:sz w:val="22"/>
          <w:szCs w:val="24"/>
        </w:rPr>
        <w:t>”</w:t>
      </w:r>
      <w:r w:rsidRPr="003243AA">
        <w:rPr>
          <w:sz w:val="22"/>
          <w:szCs w:val="24"/>
        </w:rPr>
        <w:t>.</w:t>
      </w:r>
    </w:p>
    <w:p w14:paraId="32FB10ED" w14:textId="77777777" w:rsidR="00166B23" w:rsidRPr="003243AA" w:rsidRDefault="003243AA" w:rsidP="003243AA">
      <w:pPr>
        <w:shd w:val="clear" w:color="auto" w:fill="FFFFFF"/>
        <w:spacing w:before="120" w:after="480"/>
        <w:ind w:left="5" w:firstLine="336"/>
        <w:jc w:val="both"/>
        <w:rPr>
          <w:sz w:val="22"/>
        </w:rPr>
      </w:pPr>
      <w:r>
        <w:rPr>
          <w:b/>
          <w:bCs/>
          <w:noProof/>
          <w:sz w:val="22"/>
          <w:szCs w:val="24"/>
          <w:lang w:val="en-AU" w:eastAsia="en-AU"/>
        </w:rPr>
        <mc:AlternateContent>
          <mc:Choice Requires="wps">
            <w:drawing>
              <wp:anchor distT="0" distB="0" distL="114300" distR="114300" simplePos="0" relativeHeight="251661312" behindDoc="0" locked="0" layoutInCell="1" allowOverlap="1" wp14:anchorId="6B541047" wp14:editId="13016011">
                <wp:simplePos x="0" y="0"/>
                <wp:positionH relativeFrom="column">
                  <wp:posOffset>38100</wp:posOffset>
                </wp:positionH>
                <wp:positionV relativeFrom="paragraph">
                  <wp:posOffset>661035</wp:posOffset>
                </wp:positionV>
                <wp:extent cx="584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FF5C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2.05pt" to="46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" strokecolor="black [3040]"/>
            </w:pict>
          </mc:Fallback>
        </mc:AlternateContent>
      </w:r>
      <w:r w:rsidR="009A55F7" w:rsidRPr="003243AA">
        <w:rPr>
          <w:b/>
          <w:bCs/>
          <w:sz w:val="22"/>
          <w:szCs w:val="24"/>
        </w:rPr>
        <w:t>(2)</w:t>
      </w:r>
      <w:r w:rsidR="009A55F7" w:rsidRPr="003243AA">
        <w:rPr>
          <w:sz w:val="22"/>
          <w:szCs w:val="24"/>
        </w:rPr>
        <w:t xml:space="preserve"> The Schedule to the Principal Act is amended by omitting the rate of duty specified in the Schedule in respect of item 20 and substituting </w:t>
      </w:r>
      <w:r w:rsidR="007D5F7C" w:rsidRPr="003243AA">
        <w:rPr>
          <w:sz w:val="22"/>
          <w:szCs w:val="24"/>
        </w:rPr>
        <w:t>“</w:t>
      </w:r>
      <w:r w:rsidR="009A55F7" w:rsidRPr="003243AA">
        <w:rPr>
          <w:sz w:val="22"/>
          <w:szCs w:val="24"/>
        </w:rPr>
        <w:t>Free</w:t>
      </w:r>
      <w:r w:rsidR="007D5F7C" w:rsidRPr="003243AA">
        <w:rPr>
          <w:sz w:val="22"/>
          <w:szCs w:val="24"/>
        </w:rPr>
        <w:t>”</w:t>
      </w:r>
      <w:r w:rsidR="009A55F7" w:rsidRPr="003243AA">
        <w:rPr>
          <w:sz w:val="22"/>
          <w:szCs w:val="24"/>
        </w:rPr>
        <w:t>.</w:t>
      </w:r>
    </w:p>
    <w:p w14:paraId="64C525EB" w14:textId="77777777" w:rsidR="00166B23" w:rsidRPr="003243AA" w:rsidRDefault="009A55F7" w:rsidP="00AC6B6A">
      <w:pPr>
        <w:widowControl/>
        <w:shd w:val="clear" w:color="auto" w:fill="FFFFFF"/>
        <w:spacing w:before="720" w:after="120"/>
        <w:jc w:val="center"/>
        <w:rPr>
          <w:sz w:val="22"/>
        </w:rPr>
      </w:pPr>
      <w:r w:rsidRPr="003243AA">
        <w:rPr>
          <w:b/>
          <w:bCs/>
          <w:sz w:val="22"/>
          <w:szCs w:val="24"/>
        </w:rPr>
        <w:t>NOTE</w:t>
      </w:r>
    </w:p>
    <w:p w14:paraId="7A4C8FB2" w14:textId="77777777" w:rsidR="00166B23" w:rsidRPr="003243AA" w:rsidRDefault="009A55F7" w:rsidP="00AC6B6A">
      <w:pPr>
        <w:shd w:val="clear" w:color="auto" w:fill="FFFFFF"/>
        <w:spacing w:before="120"/>
        <w:ind w:left="254" w:hanging="254"/>
        <w:jc w:val="both"/>
      </w:pPr>
      <w:r w:rsidRPr="003243AA">
        <w:t>1. No. 26, 1921, as amended. For previous amendments, see No. 28, 1924; No. 28, 1926; No. 4, 1928; Nos. 20 and 21, 1933; No. 17, 1936; Nos. 24 and 70, 1938; Nos. 29, 54 and 65, 1939; Nos. 3, 4, 14 and 93, 1948; Nos. 77 and 82, 1949; Nos. 61, 62 and 80, 1950; No. 83, 1952; No. 78, 1953; Nos. 16, 59 and 87, 1956; No. 82, 1957; No. 19, 1958; Nos. 26, 65 and 66, 1959; Nos. 26 and 57, 1960; Nos. 21 and 55, 1961; No. 73, 1962; Nos. 41 and 91, 1963; No. 125, 1964; Nos. 83 and 140, 1965; Nos. 18 and 82, 1967; Nos. 74 and 75, 1968; Nos. 5 and 33, 1969; No. 81, 1970; No. 108, 1971; Nos. 22, 64 and 119, 1972; Nos. 20, 23, 146 and 216, 1973; No. 121, 1974; No. 104, 1975; Nos. 104 and 136, 1977; Nos. 48 and 184, 1978; Nos. 81, 83 and 164, 1979; Nos. 43, 44, 45 and 122, 1980; No. 50, 1981; Nos. 45, 54 and 80, 1982; Nos. 27 and 99, 1983;</w:t>
      </w:r>
    </w:p>
    <w:p w14:paraId="66318C02" w14:textId="77777777" w:rsidR="00166B23" w:rsidRPr="003243AA" w:rsidRDefault="00166B23" w:rsidP="003243AA">
      <w:pPr>
        <w:shd w:val="clear" w:color="auto" w:fill="FFFFFF"/>
        <w:spacing w:before="120"/>
        <w:ind w:left="283" w:hanging="254"/>
        <w:jc w:val="both"/>
        <w:sectPr w:rsidR="00166B23" w:rsidRPr="003243AA" w:rsidSect="003243AA">
          <w:pgSz w:w="12240" w:h="15840"/>
          <w:pgMar w:top="1440" w:right="1440" w:bottom="1440" w:left="1440" w:header="720" w:footer="720" w:gutter="0"/>
          <w:cols w:space="60"/>
          <w:noEndnote/>
          <w:docGrid w:linePitch="272"/>
        </w:sectPr>
      </w:pPr>
    </w:p>
    <w:p w14:paraId="15D51BBF" w14:textId="77777777" w:rsidR="00166B23" w:rsidRPr="003243AA" w:rsidRDefault="009A55F7" w:rsidP="003243AA">
      <w:pPr>
        <w:shd w:val="clear" w:color="auto" w:fill="FFFFFF"/>
        <w:spacing w:before="120"/>
        <w:ind w:left="283"/>
        <w:jc w:val="both"/>
      </w:pPr>
      <w:r w:rsidRPr="003243AA">
        <w:rPr>
          <w:szCs w:val="22"/>
        </w:rPr>
        <w:lastRenderedPageBreak/>
        <w:t>Nos. 53, 72 and 131, 1984; Nos. 39, 41 and 189, 1985; Nos. 20 and 160, 1986; Nos. 53, 76, 104, 145 and 150, 1987; Nos. 29 and 149, 1988; Nos. 77 and 177, 1989; No. 112, 1990; and No. 80, 1991.</w:t>
      </w:r>
    </w:p>
    <w:p w14:paraId="2B961AE5" w14:textId="77777777" w:rsidR="00166B23" w:rsidRPr="003243AA" w:rsidRDefault="009A55F7" w:rsidP="003243AA">
      <w:pPr>
        <w:shd w:val="clear" w:color="auto" w:fill="FFFFFF"/>
        <w:spacing w:before="120"/>
        <w:jc w:val="both"/>
      </w:pPr>
      <w:r w:rsidRPr="003243AA">
        <w:rPr>
          <w:szCs w:val="22"/>
        </w:rPr>
        <w:t>[</w:t>
      </w:r>
      <w:r w:rsidRPr="003243AA">
        <w:rPr>
          <w:i/>
          <w:iCs/>
          <w:szCs w:val="22"/>
        </w:rPr>
        <w:t>Minister</w:t>
      </w:r>
      <w:r w:rsidR="007D5F7C" w:rsidRPr="003243AA">
        <w:rPr>
          <w:i/>
          <w:iCs/>
          <w:szCs w:val="22"/>
        </w:rPr>
        <w:t>’</w:t>
      </w:r>
      <w:r w:rsidRPr="003243AA">
        <w:rPr>
          <w:i/>
          <w:iCs/>
          <w:szCs w:val="22"/>
        </w:rPr>
        <w:t>s second reading speech made in</w:t>
      </w:r>
      <w:r w:rsidRPr="003243AA">
        <w:rPr>
          <w:rFonts w:eastAsia="Times New Roman"/>
          <w:szCs w:val="22"/>
        </w:rPr>
        <w:t>—</w:t>
      </w:r>
    </w:p>
    <w:p w14:paraId="389298FC" w14:textId="77777777" w:rsidR="00166B23" w:rsidRPr="003243AA" w:rsidRDefault="009A55F7" w:rsidP="003243AA">
      <w:pPr>
        <w:shd w:val="clear" w:color="auto" w:fill="FFFFFF"/>
        <w:ind w:left="739"/>
        <w:jc w:val="both"/>
      </w:pPr>
      <w:r w:rsidRPr="003243AA">
        <w:rPr>
          <w:i/>
          <w:iCs/>
          <w:szCs w:val="22"/>
        </w:rPr>
        <w:t>House of Representatives on 30 April 1992</w:t>
      </w:r>
    </w:p>
    <w:p w14:paraId="6B03D48F" w14:textId="77777777" w:rsidR="009A55F7" w:rsidRPr="003243AA" w:rsidRDefault="009A55F7" w:rsidP="003243AA">
      <w:pPr>
        <w:shd w:val="clear" w:color="auto" w:fill="FFFFFF"/>
        <w:ind w:left="739"/>
        <w:jc w:val="both"/>
      </w:pPr>
      <w:r w:rsidRPr="003243AA">
        <w:rPr>
          <w:i/>
          <w:iCs/>
          <w:szCs w:val="22"/>
        </w:rPr>
        <w:t>Senate on 27 May 1992</w:t>
      </w:r>
      <w:r w:rsidRPr="003243AA">
        <w:rPr>
          <w:szCs w:val="22"/>
        </w:rPr>
        <w:t>]</w:t>
      </w:r>
    </w:p>
    <w:sectPr w:rsidR="009A55F7" w:rsidRPr="003243AA" w:rsidSect="003243AA">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71DDE" w15:done="0"/>
  <w15:commentEx w15:paraId="2CCD0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71DDE" w16cid:durableId="20A25FF8"/>
  <w16cid:commentId w16cid:paraId="2CCD06D7" w16cid:durableId="20A26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9C5EC" w14:textId="77777777" w:rsidR="00081A16" w:rsidRDefault="00081A16" w:rsidP="00B47DAF">
      <w:r>
        <w:separator/>
      </w:r>
    </w:p>
  </w:endnote>
  <w:endnote w:type="continuationSeparator" w:id="0">
    <w:p w14:paraId="1547ED25" w14:textId="77777777" w:rsidR="00081A16" w:rsidRDefault="00081A16" w:rsidP="00B4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5B464" w14:textId="77777777" w:rsidR="00081A16" w:rsidRDefault="00081A16" w:rsidP="00B47DAF">
      <w:r>
        <w:separator/>
      </w:r>
    </w:p>
  </w:footnote>
  <w:footnote w:type="continuationSeparator" w:id="0">
    <w:p w14:paraId="3AF92299" w14:textId="77777777" w:rsidR="00081A16" w:rsidRDefault="00081A16" w:rsidP="00B47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2CF86" w14:textId="77777777" w:rsidR="00B47DAF" w:rsidRPr="00B47DAF" w:rsidRDefault="00B47DAF" w:rsidP="00B47DAF">
    <w:pPr>
      <w:pStyle w:val="Header"/>
      <w:tabs>
        <w:tab w:val="clear" w:pos="4680"/>
        <w:tab w:val="center" w:pos="4320"/>
      </w:tabs>
      <w:jc w:val="center"/>
      <w:rPr>
        <w:sz w:val="22"/>
      </w:rPr>
    </w:pPr>
    <w:r w:rsidRPr="00B47DAF">
      <w:rPr>
        <w:i/>
        <w:iCs/>
        <w:sz w:val="22"/>
        <w:szCs w:val="24"/>
      </w:rPr>
      <w:t>Coal Tariff Legislation Amendment</w:t>
    </w:r>
    <w:r w:rsidRPr="00B47DAF">
      <w:rPr>
        <w:i/>
        <w:iCs/>
        <w:sz w:val="22"/>
        <w:szCs w:val="24"/>
      </w:rPr>
      <w:tab/>
      <w:t>No. 65,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619B"/>
    <w:multiLevelType w:val="singleLevel"/>
    <w:tmpl w:val="987076B4"/>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7E914F79"/>
    <w:multiLevelType w:val="singleLevel"/>
    <w:tmpl w:val="11CC45EC"/>
    <w:lvl w:ilvl="0">
      <w:start w:val="2"/>
      <w:numFmt w:val="decimal"/>
      <w:lvlText w:val="(%1)"/>
      <w:legacy w:legacy="1" w:legacySpace="0" w:legacyIndent="393"/>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C"/>
    <w:rsid w:val="00081A16"/>
    <w:rsid w:val="00166B23"/>
    <w:rsid w:val="002C54D5"/>
    <w:rsid w:val="003243AA"/>
    <w:rsid w:val="0034053E"/>
    <w:rsid w:val="004757B5"/>
    <w:rsid w:val="004906F0"/>
    <w:rsid w:val="00583CAE"/>
    <w:rsid w:val="007C46AD"/>
    <w:rsid w:val="007D5F7C"/>
    <w:rsid w:val="00870782"/>
    <w:rsid w:val="008D5F27"/>
    <w:rsid w:val="009A55F7"/>
    <w:rsid w:val="00A31942"/>
    <w:rsid w:val="00AC6B6A"/>
    <w:rsid w:val="00B47DAF"/>
    <w:rsid w:val="00B6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8A3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AA"/>
    <w:rPr>
      <w:rFonts w:ascii="Tahoma" w:hAnsi="Tahoma" w:cs="Tahoma"/>
      <w:sz w:val="16"/>
      <w:szCs w:val="16"/>
    </w:rPr>
  </w:style>
  <w:style w:type="character" w:customStyle="1" w:styleId="BalloonTextChar">
    <w:name w:val="Balloon Text Char"/>
    <w:basedOn w:val="DefaultParagraphFont"/>
    <w:link w:val="BalloonText"/>
    <w:uiPriority w:val="99"/>
    <w:semiHidden/>
    <w:rsid w:val="003243AA"/>
    <w:rPr>
      <w:rFonts w:ascii="Tahoma" w:hAnsi="Tahoma" w:cs="Tahoma"/>
      <w:sz w:val="16"/>
      <w:szCs w:val="16"/>
    </w:rPr>
  </w:style>
  <w:style w:type="paragraph" w:styleId="Header">
    <w:name w:val="header"/>
    <w:basedOn w:val="Normal"/>
    <w:link w:val="HeaderChar"/>
    <w:uiPriority w:val="99"/>
    <w:unhideWhenUsed/>
    <w:rsid w:val="00B47DAF"/>
    <w:pPr>
      <w:tabs>
        <w:tab w:val="center" w:pos="4680"/>
        <w:tab w:val="right" w:pos="9360"/>
      </w:tabs>
    </w:pPr>
  </w:style>
  <w:style w:type="character" w:customStyle="1" w:styleId="HeaderChar">
    <w:name w:val="Header Char"/>
    <w:basedOn w:val="DefaultParagraphFont"/>
    <w:link w:val="Header"/>
    <w:uiPriority w:val="99"/>
    <w:rsid w:val="00B47DAF"/>
    <w:rPr>
      <w:rFonts w:ascii="Times New Roman" w:hAnsi="Times New Roman" w:cs="Times New Roman"/>
      <w:sz w:val="20"/>
      <w:szCs w:val="20"/>
    </w:rPr>
  </w:style>
  <w:style w:type="paragraph" w:styleId="Footer">
    <w:name w:val="footer"/>
    <w:basedOn w:val="Normal"/>
    <w:link w:val="FooterChar"/>
    <w:uiPriority w:val="99"/>
    <w:unhideWhenUsed/>
    <w:rsid w:val="00B47DAF"/>
    <w:pPr>
      <w:tabs>
        <w:tab w:val="center" w:pos="4680"/>
        <w:tab w:val="right" w:pos="9360"/>
      </w:tabs>
    </w:pPr>
  </w:style>
  <w:style w:type="character" w:customStyle="1" w:styleId="FooterChar">
    <w:name w:val="Footer Char"/>
    <w:basedOn w:val="DefaultParagraphFont"/>
    <w:link w:val="Footer"/>
    <w:uiPriority w:val="99"/>
    <w:rsid w:val="00B47DA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70782"/>
    <w:rPr>
      <w:sz w:val="16"/>
      <w:szCs w:val="16"/>
    </w:rPr>
  </w:style>
  <w:style w:type="paragraph" w:styleId="CommentText">
    <w:name w:val="annotation text"/>
    <w:basedOn w:val="Normal"/>
    <w:link w:val="CommentTextChar"/>
    <w:uiPriority w:val="99"/>
    <w:semiHidden/>
    <w:unhideWhenUsed/>
    <w:rsid w:val="00870782"/>
  </w:style>
  <w:style w:type="character" w:customStyle="1" w:styleId="CommentTextChar">
    <w:name w:val="Comment Text Char"/>
    <w:basedOn w:val="DefaultParagraphFont"/>
    <w:link w:val="CommentText"/>
    <w:uiPriority w:val="99"/>
    <w:semiHidden/>
    <w:rsid w:val="008707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782"/>
    <w:rPr>
      <w:b/>
      <w:bCs/>
    </w:rPr>
  </w:style>
  <w:style w:type="character" w:customStyle="1" w:styleId="CommentSubjectChar">
    <w:name w:val="Comment Subject Char"/>
    <w:basedOn w:val="CommentTextChar"/>
    <w:link w:val="CommentSubject"/>
    <w:uiPriority w:val="99"/>
    <w:semiHidden/>
    <w:rsid w:val="00870782"/>
    <w:rPr>
      <w:rFonts w:ascii="Times New Roman" w:hAnsi="Times New Roman" w:cs="Times New Roman"/>
      <w:b/>
      <w:bCs/>
      <w:sz w:val="20"/>
      <w:szCs w:val="20"/>
    </w:rPr>
  </w:style>
  <w:style w:type="paragraph" w:styleId="Revision">
    <w:name w:val="Revision"/>
    <w:hidden/>
    <w:uiPriority w:val="99"/>
    <w:semiHidden/>
    <w:rsid w:val="0034053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AA"/>
    <w:rPr>
      <w:rFonts w:ascii="Tahoma" w:hAnsi="Tahoma" w:cs="Tahoma"/>
      <w:sz w:val="16"/>
      <w:szCs w:val="16"/>
    </w:rPr>
  </w:style>
  <w:style w:type="character" w:customStyle="1" w:styleId="BalloonTextChar">
    <w:name w:val="Balloon Text Char"/>
    <w:basedOn w:val="DefaultParagraphFont"/>
    <w:link w:val="BalloonText"/>
    <w:uiPriority w:val="99"/>
    <w:semiHidden/>
    <w:rsid w:val="003243AA"/>
    <w:rPr>
      <w:rFonts w:ascii="Tahoma" w:hAnsi="Tahoma" w:cs="Tahoma"/>
      <w:sz w:val="16"/>
      <w:szCs w:val="16"/>
    </w:rPr>
  </w:style>
  <w:style w:type="paragraph" w:styleId="Header">
    <w:name w:val="header"/>
    <w:basedOn w:val="Normal"/>
    <w:link w:val="HeaderChar"/>
    <w:uiPriority w:val="99"/>
    <w:unhideWhenUsed/>
    <w:rsid w:val="00B47DAF"/>
    <w:pPr>
      <w:tabs>
        <w:tab w:val="center" w:pos="4680"/>
        <w:tab w:val="right" w:pos="9360"/>
      </w:tabs>
    </w:pPr>
  </w:style>
  <w:style w:type="character" w:customStyle="1" w:styleId="HeaderChar">
    <w:name w:val="Header Char"/>
    <w:basedOn w:val="DefaultParagraphFont"/>
    <w:link w:val="Header"/>
    <w:uiPriority w:val="99"/>
    <w:rsid w:val="00B47DAF"/>
    <w:rPr>
      <w:rFonts w:ascii="Times New Roman" w:hAnsi="Times New Roman" w:cs="Times New Roman"/>
      <w:sz w:val="20"/>
      <w:szCs w:val="20"/>
    </w:rPr>
  </w:style>
  <w:style w:type="paragraph" w:styleId="Footer">
    <w:name w:val="footer"/>
    <w:basedOn w:val="Normal"/>
    <w:link w:val="FooterChar"/>
    <w:uiPriority w:val="99"/>
    <w:unhideWhenUsed/>
    <w:rsid w:val="00B47DAF"/>
    <w:pPr>
      <w:tabs>
        <w:tab w:val="center" w:pos="4680"/>
        <w:tab w:val="right" w:pos="9360"/>
      </w:tabs>
    </w:pPr>
  </w:style>
  <w:style w:type="character" w:customStyle="1" w:styleId="FooterChar">
    <w:name w:val="Footer Char"/>
    <w:basedOn w:val="DefaultParagraphFont"/>
    <w:link w:val="Footer"/>
    <w:uiPriority w:val="99"/>
    <w:rsid w:val="00B47DA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70782"/>
    <w:rPr>
      <w:sz w:val="16"/>
      <w:szCs w:val="16"/>
    </w:rPr>
  </w:style>
  <w:style w:type="paragraph" w:styleId="CommentText">
    <w:name w:val="annotation text"/>
    <w:basedOn w:val="Normal"/>
    <w:link w:val="CommentTextChar"/>
    <w:uiPriority w:val="99"/>
    <w:semiHidden/>
    <w:unhideWhenUsed/>
    <w:rsid w:val="00870782"/>
  </w:style>
  <w:style w:type="character" w:customStyle="1" w:styleId="CommentTextChar">
    <w:name w:val="Comment Text Char"/>
    <w:basedOn w:val="DefaultParagraphFont"/>
    <w:link w:val="CommentText"/>
    <w:uiPriority w:val="99"/>
    <w:semiHidden/>
    <w:rsid w:val="0087078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782"/>
    <w:rPr>
      <w:b/>
      <w:bCs/>
    </w:rPr>
  </w:style>
  <w:style w:type="character" w:customStyle="1" w:styleId="CommentSubjectChar">
    <w:name w:val="Comment Subject Char"/>
    <w:basedOn w:val="CommentTextChar"/>
    <w:link w:val="CommentSubject"/>
    <w:uiPriority w:val="99"/>
    <w:semiHidden/>
    <w:rsid w:val="00870782"/>
    <w:rPr>
      <w:rFonts w:ascii="Times New Roman" w:hAnsi="Times New Roman" w:cs="Times New Roman"/>
      <w:b/>
      <w:bCs/>
      <w:sz w:val="20"/>
      <w:szCs w:val="20"/>
    </w:rPr>
  </w:style>
  <w:style w:type="paragraph" w:styleId="Revision">
    <w:name w:val="Revision"/>
    <w:hidden/>
    <w:uiPriority w:val="99"/>
    <w:semiHidden/>
    <w:rsid w:val="0034053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B247-DAB2-44BB-AC98-D824ADE0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2564</Characters>
  <Application>Microsoft Office Word</Application>
  <DocSecurity>0</DocSecurity>
  <Lines>58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2019-06-05T05:37:00Z</dcterms:created>
  <dcterms:modified xsi:type="dcterms:W3CDTF">2019-10-22T03:16:00Z</dcterms:modified>
</cp:coreProperties>
</file>