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F11404" w14:textId="77777777" w:rsidR="00BD4635" w:rsidRPr="007A54B3" w:rsidRDefault="003D5109" w:rsidP="007A54B3">
      <w:pPr>
        <w:jc w:val="center"/>
        <w:rPr>
          <w:sz w:val="24"/>
          <w:szCs w:val="24"/>
        </w:rPr>
      </w:pPr>
      <w:r w:rsidRPr="007A54B3">
        <w:rPr>
          <w:noProof/>
          <w:sz w:val="24"/>
          <w:szCs w:val="24"/>
          <w:lang w:val="en-AU" w:eastAsia="en-AU"/>
        </w:rPr>
        <w:drawing>
          <wp:inline distT="0" distB="0" distL="0" distR="0" wp14:anchorId="75E11DD5" wp14:editId="5842757B">
            <wp:extent cx="1460500" cy="106045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0500" cy="1060450"/>
                    </a:xfrm>
                    <a:prstGeom prst="rect">
                      <a:avLst/>
                    </a:prstGeom>
                    <a:noFill/>
                    <a:ln>
                      <a:noFill/>
                    </a:ln>
                  </pic:spPr>
                </pic:pic>
              </a:graphicData>
            </a:graphic>
          </wp:inline>
        </w:drawing>
      </w:r>
    </w:p>
    <w:p w14:paraId="3D99D244" w14:textId="77777777" w:rsidR="00BD4635" w:rsidRPr="007A54B3" w:rsidRDefault="00BD4635" w:rsidP="007A54B3">
      <w:pPr>
        <w:shd w:val="clear" w:color="auto" w:fill="FFFFFF"/>
        <w:spacing w:before="1632"/>
        <w:jc w:val="center"/>
        <w:rPr>
          <w:sz w:val="36"/>
        </w:rPr>
      </w:pPr>
      <w:r w:rsidRPr="007A54B3">
        <w:rPr>
          <w:b/>
          <w:bCs/>
          <w:sz w:val="36"/>
          <w:szCs w:val="38"/>
        </w:rPr>
        <w:t>Customs T</w:t>
      </w:r>
      <w:bookmarkStart w:id="0" w:name="_GoBack"/>
      <w:bookmarkEnd w:id="0"/>
      <w:r w:rsidRPr="007A54B3">
        <w:rPr>
          <w:b/>
          <w:bCs/>
          <w:sz w:val="36"/>
          <w:szCs w:val="38"/>
        </w:rPr>
        <w:t>ariff (Anti-Dumping) Amendment Act 1992</w:t>
      </w:r>
    </w:p>
    <w:p w14:paraId="51245B6F" w14:textId="77777777" w:rsidR="00BD4635" w:rsidRPr="002614BB" w:rsidRDefault="00BD4635" w:rsidP="007A54B3">
      <w:pPr>
        <w:shd w:val="clear" w:color="auto" w:fill="FFFFFF"/>
        <w:spacing w:before="989"/>
        <w:ind w:left="67"/>
        <w:jc w:val="center"/>
        <w:rPr>
          <w:sz w:val="28"/>
          <w:szCs w:val="28"/>
        </w:rPr>
      </w:pPr>
      <w:r w:rsidRPr="002614BB">
        <w:rPr>
          <w:b/>
          <w:bCs/>
          <w:sz w:val="28"/>
          <w:szCs w:val="28"/>
        </w:rPr>
        <w:t>No. 90 of 1992</w:t>
      </w:r>
    </w:p>
    <w:p w14:paraId="7AD49E44" w14:textId="77777777" w:rsidR="00BD4635" w:rsidRPr="002614BB" w:rsidRDefault="007A54B3" w:rsidP="007A54B3">
      <w:pPr>
        <w:shd w:val="clear" w:color="auto" w:fill="FFFFFF"/>
        <w:spacing w:before="2438"/>
        <w:jc w:val="center"/>
        <w:rPr>
          <w:sz w:val="28"/>
          <w:szCs w:val="28"/>
        </w:rPr>
      </w:pPr>
      <w:r w:rsidRPr="002614BB">
        <w:rPr>
          <w:b/>
          <w:bCs/>
          <w:noProof/>
          <w:sz w:val="28"/>
          <w:szCs w:val="28"/>
          <w:lang w:val="en-AU" w:eastAsia="en-AU"/>
        </w:rPr>
        <mc:AlternateContent>
          <mc:Choice Requires="wps">
            <w:drawing>
              <wp:anchor distT="0" distB="0" distL="114300" distR="114300" simplePos="0" relativeHeight="251661312" behindDoc="0" locked="0" layoutInCell="1" allowOverlap="1" wp14:anchorId="08A1C854" wp14:editId="418EED6C">
                <wp:simplePos x="0" y="0"/>
                <wp:positionH relativeFrom="column">
                  <wp:posOffset>9525</wp:posOffset>
                </wp:positionH>
                <wp:positionV relativeFrom="paragraph">
                  <wp:posOffset>1021715</wp:posOffset>
                </wp:positionV>
                <wp:extent cx="6076950" cy="0"/>
                <wp:effectExtent l="0" t="19050" r="0" b="19050"/>
                <wp:wrapNone/>
                <wp:docPr id="4" name="Straight Connector 4"/>
                <wp:cNvGraphicFramePr/>
                <a:graphic xmlns:a="http://schemas.openxmlformats.org/drawingml/2006/main">
                  <a:graphicData uri="http://schemas.microsoft.com/office/word/2010/wordprocessingShape">
                    <wps:wsp>
                      <wps:cNvCnPr/>
                      <wps:spPr>
                        <a:xfrm>
                          <a:off x="0" y="0"/>
                          <a:ext cx="6076950"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E5E9476" id="Straight Connector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75pt,80.45pt" to="479.25pt,8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" strokecolor="black [3040]" strokeweight="2.25pt"/>
            </w:pict>
          </mc:Fallback>
        </mc:AlternateContent>
      </w:r>
      <w:r w:rsidRPr="002614BB">
        <w:rPr>
          <w:b/>
          <w:bCs/>
          <w:noProof/>
          <w:sz w:val="28"/>
          <w:szCs w:val="28"/>
          <w:lang w:val="en-AU" w:eastAsia="en-AU"/>
        </w:rPr>
        <mc:AlternateContent>
          <mc:Choice Requires="wps">
            <w:drawing>
              <wp:anchor distT="0" distB="0" distL="114300" distR="114300" simplePos="0" relativeHeight="251660288" behindDoc="0" locked="0" layoutInCell="1" allowOverlap="1" wp14:anchorId="233716D6" wp14:editId="1373D7FA">
                <wp:simplePos x="0" y="0"/>
                <wp:positionH relativeFrom="column">
                  <wp:posOffset>9525</wp:posOffset>
                </wp:positionH>
                <wp:positionV relativeFrom="paragraph">
                  <wp:posOffset>983615</wp:posOffset>
                </wp:positionV>
                <wp:extent cx="607695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60769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BCA3A26"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75pt,77.45pt" to="479.25pt,7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" strokecolor="black [3040]"/>
            </w:pict>
          </mc:Fallback>
        </mc:AlternateContent>
      </w:r>
      <w:r w:rsidR="00BD4635" w:rsidRPr="002614BB">
        <w:rPr>
          <w:b/>
          <w:bCs/>
          <w:sz w:val="28"/>
          <w:szCs w:val="28"/>
        </w:rPr>
        <w:t xml:space="preserve">An Act to amend the </w:t>
      </w:r>
      <w:r w:rsidR="00BD4635" w:rsidRPr="002614BB">
        <w:rPr>
          <w:b/>
          <w:bCs/>
          <w:i/>
          <w:iCs/>
          <w:sz w:val="28"/>
          <w:szCs w:val="28"/>
        </w:rPr>
        <w:t>Customs Tariff (Anti-Dumping) Act 1975</w:t>
      </w:r>
    </w:p>
    <w:p w14:paraId="49C89AF4" w14:textId="04A607C6" w:rsidR="00BD4635" w:rsidRPr="007A54B3" w:rsidRDefault="00BD4635" w:rsidP="007A54B3">
      <w:pPr>
        <w:shd w:val="clear" w:color="auto" w:fill="FFFFFF"/>
        <w:spacing w:before="360"/>
        <w:jc w:val="right"/>
        <w:rPr>
          <w:sz w:val="22"/>
        </w:rPr>
      </w:pPr>
      <w:r w:rsidRPr="007A54B3">
        <w:rPr>
          <w:sz w:val="22"/>
          <w:szCs w:val="24"/>
        </w:rPr>
        <w:t>[</w:t>
      </w:r>
      <w:r w:rsidRPr="007A54B3">
        <w:rPr>
          <w:i/>
          <w:iCs/>
          <w:sz w:val="22"/>
          <w:szCs w:val="24"/>
        </w:rPr>
        <w:t xml:space="preserve">Assented to </w:t>
      </w:r>
      <w:r w:rsidR="007405E5">
        <w:rPr>
          <w:i/>
          <w:iCs/>
          <w:sz w:val="22"/>
          <w:szCs w:val="24"/>
        </w:rPr>
        <w:t>30</w:t>
      </w:r>
      <w:r w:rsidRPr="007A54B3">
        <w:rPr>
          <w:i/>
          <w:iCs/>
          <w:sz w:val="22"/>
          <w:szCs w:val="24"/>
        </w:rPr>
        <w:t xml:space="preserve"> June 1992</w:t>
      </w:r>
      <w:r w:rsidRPr="007A54B3">
        <w:rPr>
          <w:sz w:val="22"/>
          <w:szCs w:val="24"/>
        </w:rPr>
        <w:t>]</w:t>
      </w:r>
    </w:p>
    <w:p w14:paraId="2FED4D0C" w14:textId="20F7A95E" w:rsidR="00BD4635" w:rsidRPr="007A54B3" w:rsidRDefault="00BD4635" w:rsidP="007A54B3">
      <w:pPr>
        <w:shd w:val="clear" w:color="auto" w:fill="FFFFFF"/>
        <w:spacing w:before="120"/>
        <w:ind w:left="350"/>
        <w:rPr>
          <w:sz w:val="22"/>
        </w:rPr>
      </w:pPr>
      <w:r w:rsidRPr="007A54B3">
        <w:rPr>
          <w:sz w:val="22"/>
          <w:szCs w:val="24"/>
        </w:rPr>
        <w:t>The Parliament of Australia enacts:</w:t>
      </w:r>
    </w:p>
    <w:p w14:paraId="3DB186FF" w14:textId="77777777" w:rsidR="00BD4635" w:rsidRPr="007A54B3" w:rsidRDefault="00BD4635" w:rsidP="007A54B3">
      <w:pPr>
        <w:shd w:val="clear" w:color="auto" w:fill="FFFFFF"/>
        <w:spacing w:before="120"/>
        <w:rPr>
          <w:sz w:val="22"/>
        </w:rPr>
      </w:pPr>
      <w:r w:rsidRPr="007A54B3">
        <w:rPr>
          <w:b/>
          <w:bCs/>
          <w:sz w:val="22"/>
          <w:szCs w:val="24"/>
        </w:rPr>
        <w:t>Short title etc.</w:t>
      </w:r>
    </w:p>
    <w:p w14:paraId="5E94C2F8" w14:textId="77777777" w:rsidR="00BD4635" w:rsidRPr="007A54B3" w:rsidRDefault="00BD4635" w:rsidP="007A54B3">
      <w:pPr>
        <w:shd w:val="clear" w:color="auto" w:fill="FFFFFF"/>
        <w:spacing w:before="120"/>
        <w:ind w:firstLine="360"/>
        <w:jc w:val="both"/>
        <w:rPr>
          <w:sz w:val="22"/>
        </w:rPr>
      </w:pPr>
      <w:r w:rsidRPr="007A54B3">
        <w:rPr>
          <w:b/>
          <w:bCs/>
          <w:sz w:val="22"/>
          <w:szCs w:val="24"/>
        </w:rPr>
        <w:t xml:space="preserve">1.(1) </w:t>
      </w:r>
      <w:r w:rsidRPr="007A54B3">
        <w:rPr>
          <w:sz w:val="22"/>
          <w:szCs w:val="24"/>
        </w:rPr>
        <w:t xml:space="preserve">This Act may be cited as the </w:t>
      </w:r>
      <w:r w:rsidRPr="007A54B3">
        <w:rPr>
          <w:i/>
          <w:iCs/>
          <w:sz w:val="22"/>
          <w:szCs w:val="24"/>
        </w:rPr>
        <w:t>Customs Tariff (Anti-Dumping) Amendment Act 1992.</w:t>
      </w:r>
    </w:p>
    <w:p w14:paraId="0C08983C" w14:textId="77777777" w:rsidR="00BD4635" w:rsidRPr="007A54B3" w:rsidRDefault="00BD4635" w:rsidP="007A54B3">
      <w:pPr>
        <w:shd w:val="clear" w:color="auto" w:fill="FFFFFF"/>
        <w:spacing w:before="120"/>
        <w:ind w:left="10" w:firstLine="341"/>
        <w:jc w:val="both"/>
        <w:rPr>
          <w:sz w:val="22"/>
        </w:rPr>
      </w:pPr>
      <w:r w:rsidRPr="007A54B3">
        <w:rPr>
          <w:b/>
          <w:bCs/>
          <w:sz w:val="22"/>
          <w:szCs w:val="24"/>
        </w:rPr>
        <w:t>(2)</w:t>
      </w:r>
      <w:r w:rsidRPr="007A54B3">
        <w:rPr>
          <w:sz w:val="22"/>
          <w:szCs w:val="24"/>
        </w:rPr>
        <w:t xml:space="preserve"> In this Act, </w:t>
      </w:r>
      <w:r w:rsidRPr="007A54B3">
        <w:rPr>
          <w:b/>
          <w:bCs/>
          <w:sz w:val="22"/>
          <w:szCs w:val="24"/>
        </w:rPr>
        <w:t xml:space="preserve">“Principal Act” </w:t>
      </w:r>
      <w:r w:rsidRPr="007A54B3">
        <w:rPr>
          <w:sz w:val="22"/>
          <w:szCs w:val="24"/>
        </w:rPr>
        <w:t xml:space="preserve">means the </w:t>
      </w:r>
      <w:r w:rsidRPr="007A54B3">
        <w:rPr>
          <w:i/>
          <w:iCs/>
          <w:sz w:val="22"/>
          <w:szCs w:val="24"/>
        </w:rPr>
        <w:t>Customs Tariff (Anti-Dumping) Act 1975</w:t>
      </w:r>
      <w:r w:rsidRPr="007A54B3">
        <w:rPr>
          <w:sz w:val="22"/>
          <w:szCs w:val="24"/>
          <w:vertAlign w:val="superscript"/>
        </w:rPr>
        <w:t>1</w:t>
      </w:r>
      <w:r w:rsidRPr="007A54B3">
        <w:rPr>
          <w:sz w:val="22"/>
          <w:szCs w:val="24"/>
        </w:rPr>
        <w:t>.</w:t>
      </w:r>
    </w:p>
    <w:p w14:paraId="40C4FE1A" w14:textId="77777777" w:rsidR="00BD4635" w:rsidRPr="007A54B3" w:rsidRDefault="00BD4635" w:rsidP="007A54B3">
      <w:pPr>
        <w:shd w:val="clear" w:color="auto" w:fill="FFFFFF"/>
        <w:spacing w:before="120"/>
        <w:rPr>
          <w:sz w:val="22"/>
        </w:rPr>
      </w:pPr>
      <w:r w:rsidRPr="007A54B3">
        <w:rPr>
          <w:b/>
          <w:bCs/>
          <w:sz w:val="22"/>
          <w:szCs w:val="24"/>
        </w:rPr>
        <w:t>Commencement</w:t>
      </w:r>
    </w:p>
    <w:p w14:paraId="60551026" w14:textId="77777777" w:rsidR="00BD4635" w:rsidRPr="007A54B3" w:rsidRDefault="00BD4635" w:rsidP="007A54B3">
      <w:pPr>
        <w:shd w:val="clear" w:color="auto" w:fill="FFFFFF"/>
        <w:spacing w:before="120"/>
        <w:ind w:left="350"/>
        <w:rPr>
          <w:sz w:val="22"/>
        </w:rPr>
      </w:pPr>
      <w:r w:rsidRPr="007A54B3">
        <w:rPr>
          <w:b/>
          <w:bCs/>
          <w:sz w:val="22"/>
          <w:szCs w:val="24"/>
        </w:rPr>
        <w:t xml:space="preserve">2.(1) </w:t>
      </w:r>
      <w:r w:rsidRPr="007A54B3">
        <w:rPr>
          <w:sz w:val="22"/>
          <w:szCs w:val="24"/>
        </w:rPr>
        <w:t>This Act commences on a day to be fixed by Proclamation.</w:t>
      </w:r>
    </w:p>
    <w:p w14:paraId="3A596071" w14:textId="77777777" w:rsidR="00BD4635" w:rsidRPr="007A54B3" w:rsidRDefault="00BD4635" w:rsidP="007A54B3">
      <w:pPr>
        <w:shd w:val="clear" w:color="auto" w:fill="FFFFFF"/>
        <w:spacing w:before="120"/>
        <w:ind w:left="10" w:firstLine="336"/>
        <w:jc w:val="both"/>
        <w:rPr>
          <w:sz w:val="22"/>
        </w:rPr>
      </w:pPr>
      <w:r w:rsidRPr="007A54B3">
        <w:rPr>
          <w:b/>
          <w:bCs/>
          <w:sz w:val="22"/>
          <w:szCs w:val="24"/>
        </w:rPr>
        <w:t>(2)</w:t>
      </w:r>
      <w:r w:rsidRPr="007A54B3">
        <w:rPr>
          <w:sz w:val="22"/>
          <w:szCs w:val="24"/>
        </w:rPr>
        <w:t xml:space="preserve"> If the commencement of this Act is not fixed by a Proclamation published in the </w:t>
      </w:r>
      <w:r w:rsidRPr="007A54B3">
        <w:rPr>
          <w:i/>
          <w:iCs/>
          <w:sz w:val="22"/>
          <w:szCs w:val="24"/>
        </w:rPr>
        <w:t xml:space="preserve">Gazette </w:t>
      </w:r>
      <w:r w:rsidRPr="007A54B3">
        <w:rPr>
          <w:sz w:val="22"/>
          <w:szCs w:val="24"/>
        </w:rPr>
        <w:t>within the period of 6 months beginning on the day on which this Act receives the Royal Assent, this Act commences on the first day after the end of that period.</w:t>
      </w:r>
    </w:p>
    <w:p w14:paraId="11D59257" w14:textId="77777777" w:rsidR="00BD4635" w:rsidRPr="007A54B3" w:rsidRDefault="00BD4635" w:rsidP="007A54B3">
      <w:pPr>
        <w:shd w:val="clear" w:color="auto" w:fill="FFFFFF"/>
        <w:spacing w:before="120"/>
        <w:ind w:left="10" w:firstLine="336"/>
        <w:jc w:val="both"/>
        <w:rPr>
          <w:sz w:val="22"/>
        </w:rPr>
        <w:sectPr w:rsidR="00BD4635" w:rsidRPr="007A54B3" w:rsidSect="004A2538">
          <w:headerReference w:type="default" r:id="rId9"/>
          <w:type w:val="continuous"/>
          <w:pgSz w:w="12240" w:h="15840" w:code="1"/>
          <w:pgMar w:top="1440" w:right="1440" w:bottom="1440" w:left="1440" w:header="720" w:footer="720" w:gutter="0"/>
          <w:cols w:space="60"/>
          <w:noEndnote/>
          <w:titlePg/>
          <w:docGrid w:linePitch="272"/>
        </w:sectPr>
      </w:pPr>
    </w:p>
    <w:p w14:paraId="495BCB6D" w14:textId="77777777" w:rsidR="00BD4635" w:rsidRPr="007A54B3" w:rsidRDefault="00BD4635" w:rsidP="007A54B3">
      <w:pPr>
        <w:shd w:val="clear" w:color="auto" w:fill="FFFFFF"/>
        <w:spacing w:before="120"/>
        <w:rPr>
          <w:sz w:val="22"/>
        </w:rPr>
      </w:pPr>
      <w:r w:rsidRPr="007A54B3">
        <w:rPr>
          <w:b/>
          <w:bCs/>
          <w:sz w:val="22"/>
          <w:szCs w:val="24"/>
        </w:rPr>
        <w:lastRenderedPageBreak/>
        <w:t>Dumping duties</w:t>
      </w:r>
    </w:p>
    <w:p w14:paraId="6197FACC" w14:textId="77777777" w:rsidR="00BD4635" w:rsidRPr="007A54B3" w:rsidRDefault="00BD4635" w:rsidP="007A54B3">
      <w:pPr>
        <w:shd w:val="clear" w:color="auto" w:fill="FFFFFF"/>
        <w:tabs>
          <w:tab w:val="left" w:pos="629"/>
        </w:tabs>
        <w:spacing w:before="120"/>
        <w:ind w:left="331"/>
        <w:rPr>
          <w:sz w:val="22"/>
        </w:rPr>
      </w:pPr>
      <w:r w:rsidRPr="007A54B3">
        <w:rPr>
          <w:b/>
          <w:bCs/>
          <w:sz w:val="22"/>
          <w:szCs w:val="24"/>
        </w:rPr>
        <w:t>3.</w:t>
      </w:r>
      <w:r w:rsidRPr="007A54B3">
        <w:rPr>
          <w:b/>
          <w:bCs/>
          <w:sz w:val="22"/>
          <w:szCs w:val="24"/>
        </w:rPr>
        <w:tab/>
      </w:r>
      <w:r w:rsidRPr="007A54B3">
        <w:rPr>
          <w:sz w:val="22"/>
          <w:szCs w:val="24"/>
        </w:rPr>
        <w:t>Section 8 of the Principal Act is amended:</w:t>
      </w:r>
    </w:p>
    <w:p w14:paraId="1E7D5B06" w14:textId="77777777" w:rsidR="00BD4635" w:rsidRPr="007A54B3" w:rsidRDefault="00BD4635" w:rsidP="007A54B3">
      <w:pPr>
        <w:shd w:val="clear" w:color="auto" w:fill="FFFFFF"/>
        <w:tabs>
          <w:tab w:val="left" w:pos="773"/>
        </w:tabs>
        <w:spacing w:before="120"/>
        <w:ind w:left="384"/>
        <w:rPr>
          <w:sz w:val="22"/>
        </w:rPr>
      </w:pPr>
      <w:r w:rsidRPr="007A54B3">
        <w:rPr>
          <w:b/>
          <w:bCs/>
          <w:sz w:val="22"/>
          <w:szCs w:val="24"/>
        </w:rPr>
        <w:t>(a)</w:t>
      </w:r>
      <w:r w:rsidRPr="007A54B3">
        <w:rPr>
          <w:sz w:val="22"/>
          <w:szCs w:val="24"/>
        </w:rPr>
        <w:tab/>
        <w:t>by inserting after subsection (5A) the following subsection:</w:t>
      </w:r>
    </w:p>
    <w:p w14:paraId="4A19B2C5" w14:textId="77777777" w:rsidR="00BD4635" w:rsidRPr="007A54B3" w:rsidRDefault="00BD4635" w:rsidP="007A54B3">
      <w:pPr>
        <w:shd w:val="clear" w:color="auto" w:fill="FFFFFF"/>
        <w:spacing w:before="120"/>
        <w:ind w:left="768" w:firstLine="221"/>
        <w:jc w:val="both"/>
        <w:rPr>
          <w:sz w:val="22"/>
        </w:rPr>
      </w:pPr>
      <w:r w:rsidRPr="007A54B3">
        <w:rPr>
          <w:sz w:val="22"/>
          <w:szCs w:val="24"/>
        </w:rPr>
        <w:t>“(5AA) If, in the circumstances specified in section 269TJA of the Customs Act, both a notice under section 269TG of that Act and a notice under section 269TJ of that Act are published at the same time and in respect of the same goods, the Minister must, in exercising his or her powers under subsection (5) in relation to dumping duty in respect of the goods, have regard to the desirability of ensuring that the amount of dumping duty in respect of the goods, when aggregated with the amount of countervailing duty in respect of the goods, is not greater than is necessary to prevent the injury or a recurrence of the injury, or to remove the hindrance referred to in paragraphs 269TG(1)(b) and 269TJ(1)(b) or in paragraphs 269TG(2)(b) and 269TJ(2)(b), as the case requires.”;</w:t>
      </w:r>
    </w:p>
    <w:p w14:paraId="56EC153E" w14:textId="77777777" w:rsidR="00BD4635" w:rsidRPr="007A54B3" w:rsidRDefault="00BD4635" w:rsidP="007A54B3">
      <w:pPr>
        <w:numPr>
          <w:ilvl w:val="0"/>
          <w:numId w:val="1"/>
        </w:numPr>
        <w:shd w:val="clear" w:color="auto" w:fill="FFFFFF"/>
        <w:tabs>
          <w:tab w:val="left" w:pos="773"/>
        </w:tabs>
        <w:spacing w:before="120"/>
        <w:ind w:left="384"/>
        <w:rPr>
          <w:b/>
          <w:bCs/>
          <w:sz w:val="22"/>
          <w:szCs w:val="24"/>
        </w:rPr>
      </w:pPr>
      <w:r w:rsidRPr="007A54B3">
        <w:rPr>
          <w:sz w:val="22"/>
          <w:szCs w:val="24"/>
        </w:rPr>
        <w:t>by omitting from paragraph (7)(b) “Commercial”;</w:t>
      </w:r>
    </w:p>
    <w:p w14:paraId="39F7D805" w14:textId="77777777" w:rsidR="00BD4635" w:rsidRPr="007A54B3" w:rsidRDefault="00BD4635" w:rsidP="007A54B3">
      <w:pPr>
        <w:numPr>
          <w:ilvl w:val="0"/>
          <w:numId w:val="1"/>
        </w:numPr>
        <w:shd w:val="clear" w:color="auto" w:fill="FFFFFF"/>
        <w:tabs>
          <w:tab w:val="left" w:pos="773"/>
        </w:tabs>
        <w:spacing w:before="120"/>
        <w:ind w:left="384"/>
        <w:rPr>
          <w:b/>
          <w:bCs/>
          <w:sz w:val="22"/>
          <w:szCs w:val="24"/>
        </w:rPr>
      </w:pPr>
      <w:r w:rsidRPr="007A54B3">
        <w:rPr>
          <w:sz w:val="22"/>
          <w:szCs w:val="24"/>
        </w:rPr>
        <w:t>by adding at the end the following subsection:</w:t>
      </w:r>
    </w:p>
    <w:p w14:paraId="74271241" w14:textId="77777777" w:rsidR="00BD4635" w:rsidRPr="007A54B3" w:rsidRDefault="00BD4635" w:rsidP="007A54B3">
      <w:pPr>
        <w:shd w:val="clear" w:color="auto" w:fill="FFFFFF"/>
        <w:spacing w:before="120"/>
        <w:ind w:left="768" w:firstLine="216"/>
        <w:jc w:val="both"/>
        <w:rPr>
          <w:sz w:val="22"/>
        </w:rPr>
      </w:pPr>
      <w:r w:rsidRPr="007A54B3">
        <w:rPr>
          <w:sz w:val="22"/>
          <w:szCs w:val="24"/>
        </w:rPr>
        <w:t xml:space="preserve">“(9) In this section, a reference to a Tariff Concession Order includes a reference to a Commercial Tariff Concession Order made under Part XVA of the Customs Act as in force before section 10 of the </w:t>
      </w:r>
      <w:r w:rsidRPr="007A54B3">
        <w:rPr>
          <w:i/>
          <w:iCs/>
          <w:sz w:val="22"/>
          <w:szCs w:val="24"/>
        </w:rPr>
        <w:t xml:space="preserve">Customs Legislation (Tariff Concessions and Anti-Dumping) Amendment Act 1992 </w:t>
      </w:r>
      <w:r w:rsidRPr="007A54B3">
        <w:rPr>
          <w:sz w:val="22"/>
          <w:szCs w:val="24"/>
        </w:rPr>
        <w:t>commences.”.</w:t>
      </w:r>
    </w:p>
    <w:p w14:paraId="19F42AAC" w14:textId="77777777" w:rsidR="00BD4635" w:rsidRPr="007A54B3" w:rsidRDefault="00BD4635" w:rsidP="007A54B3">
      <w:pPr>
        <w:shd w:val="clear" w:color="auto" w:fill="FFFFFF"/>
        <w:spacing w:before="120"/>
        <w:rPr>
          <w:sz w:val="22"/>
        </w:rPr>
      </w:pPr>
      <w:r w:rsidRPr="007A54B3">
        <w:rPr>
          <w:b/>
          <w:bCs/>
          <w:sz w:val="22"/>
          <w:szCs w:val="24"/>
        </w:rPr>
        <w:t>Countervailing duties</w:t>
      </w:r>
    </w:p>
    <w:p w14:paraId="4715C10E" w14:textId="77777777" w:rsidR="00BD4635" w:rsidRPr="007A54B3" w:rsidRDefault="00BD4635" w:rsidP="007A54B3">
      <w:pPr>
        <w:shd w:val="clear" w:color="auto" w:fill="FFFFFF"/>
        <w:tabs>
          <w:tab w:val="left" w:pos="629"/>
        </w:tabs>
        <w:spacing w:before="120"/>
        <w:ind w:left="331"/>
        <w:rPr>
          <w:sz w:val="22"/>
        </w:rPr>
      </w:pPr>
      <w:r w:rsidRPr="007A54B3">
        <w:rPr>
          <w:b/>
          <w:bCs/>
          <w:sz w:val="22"/>
          <w:szCs w:val="24"/>
        </w:rPr>
        <w:t>4.</w:t>
      </w:r>
      <w:r w:rsidRPr="007A54B3">
        <w:rPr>
          <w:b/>
          <w:bCs/>
          <w:sz w:val="22"/>
          <w:szCs w:val="24"/>
        </w:rPr>
        <w:tab/>
      </w:r>
      <w:r w:rsidRPr="007A54B3">
        <w:rPr>
          <w:sz w:val="22"/>
          <w:szCs w:val="24"/>
        </w:rPr>
        <w:t>Section 10 of the Principal Act is amended:</w:t>
      </w:r>
    </w:p>
    <w:p w14:paraId="289C153F" w14:textId="77777777" w:rsidR="00BD4635" w:rsidRPr="007A54B3" w:rsidRDefault="00BD4635" w:rsidP="007A54B3">
      <w:pPr>
        <w:shd w:val="clear" w:color="auto" w:fill="FFFFFF"/>
        <w:tabs>
          <w:tab w:val="left" w:pos="768"/>
        </w:tabs>
        <w:spacing w:before="120"/>
        <w:ind w:left="374"/>
        <w:rPr>
          <w:sz w:val="22"/>
        </w:rPr>
      </w:pPr>
      <w:r w:rsidRPr="007A54B3">
        <w:rPr>
          <w:b/>
          <w:bCs/>
          <w:sz w:val="22"/>
          <w:szCs w:val="24"/>
        </w:rPr>
        <w:t>(a)</w:t>
      </w:r>
      <w:r w:rsidRPr="007A54B3">
        <w:rPr>
          <w:sz w:val="22"/>
          <w:szCs w:val="24"/>
        </w:rPr>
        <w:tab/>
        <w:t>by inserting after subsection (5A) the following subsection:</w:t>
      </w:r>
    </w:p>
    <w:p w14:paraId="06E7DF97" w14:textId="77777777" w:rsidR="00BD4635" w:rsidRPr="007A54B3" w:rsidRDefault="00BD4635" w:rsidP="007A54B3">
      <w:pPr>
        <w:shd w:val="clear" w:color="auto" w:fill="FFFFFF"/>
        <w:spacing w:before="120"/>
        <w:ind w:left="768" w:firstLine="216"/>
        <w:jc w:val="both"/>
        <w:rPr>
          <w:sz w:val="22"/>
        </w:rPr>
      </w:pPr>
      <w:r w:rsidRPr="007A54B3">
        <w:rPr>
          <w:sz w:val="22"/>
          <w:szCs w:val="24"/>
        </w:rPr>
        <w:t>“(5AA) If, in the circumstances specified in section 269TJA of the Customs Act, both a notice under section 269TJ of that Act and a notice under section 269TG of that Act are published at the same time and in respect of the same goods, the Minister must, in exercising his or her powers under subsection (5) in relation to countervailing duty in respect of the goods, have regard to the desirability of ensuring that the amount of countervailing duty in respect of the goods, when aggregated with the amount of dumping duty in respect of the goods, is not greater than is necessary to prevent the injury or a recurrence of the injury, or to remove the hindrance referred to in paragraphs 269TG(1)(b) and 269TJ(1)(b) or in paragraphs 269TG(2)(b) and 269TJ(2)(b), as the case requires.”;</w:t>
      </w:r>
    </w:p>
    <w:p w14:paraId="08796532" w14:textId="77777777" w:rsidR="00BD4635" w:rsidRPr="007A54B3" w:rsidRDefault="00BD4635" w:rsidP="007A54B3">
      <w:pPr>
        <w:numPr>
          <w:ilvl w:val="0"/>
          <w:numId w:val="2"/>
        </w:numPr>
        <w:shd w:val="clear" w:color="auto" w:fill="FFFFFF"/>
        <w:tabs>
          <w:tab w:val="left" w:pos="768"/>
        </w:tabs>
        <w:spacing w:before="120"/>
        <w:ind w:left="374"/>
        <w:rPr>
          <w:b/>
          <w:bCs/>
          <w:sz w:val="22"/>
          <w:szCs w:val="24"/>
        </w:rPr>
      </w:pPr>
      <w:r w:rsidRPr="007A54B3">
        <w:rPr>
          <w:sz w:val="22"/>
          <w:szCs w:val="24"/>
        </w:rPr>
        <w:t>by omitting from paragraph (8)(aa) “Commercial”;</w:t>
      </w:r>
    </w:p>
    <w:p w14:paraId="342BF1A0" w14:textId="77777777" w:rsidR="00BD4635" w:rsidRPr="007A54B3" w:rsidRDefault="00BD4635" w:rsidP="007A54B3">
      <w:pPr>
        <w:numPr>
          <w:ilvl w:val="0"/>
          <w:numId w:val="2"/>
        </w:numPr>
        <w:shd w:val="clear" w:color="auto" w:fill="FFFFFF"/>
        <w:tabs>
          <w:tab w:val="left" w:pos="768"/>
        </w:tabs>
        <w:spacing w:before="120"/>
        <w:ind w:left="374"/>
        <w:rPr>
          <w:b/>
          <w:bCs/>
          <w:sz w:val="22"/>
          <w:szCs w:val="24"/>
        </w:rPr>
      </w:pPr>
      <w:r w:rsidRPr="007A54B3">
        <w:rPr>
          <w:sz w:val="22"/>
          <w:szCs w:val="24"/>
        </w:rPr>
        <w:t>by adding at the end the following subsection:</w:t>
      </w:r>
    </w:p>
    <w:p w14:paraId="14E16563" w14:textId="77777777" w:rsidR="00BD4635" w:rsidRPr="007A54B3" w:rsidRDefault="00BD4635" w:rsidP="007A54B3">
      <w:pPr>
        <w:shd w:val="clear" w:color="auto" w:fill="FFFFFF"/>
        <w:spacing w:before="120"/>
        <w:ind w:left="763" w:firstLine="226"/>
        <w:jc w:val="both"/>
        <w:rPr>
          <w:sz w:val="22"/>
        </w:rPr>
      </w:pPr>
      <w:r w:rsidRPr="007A54B3">
        <w:rPr>
          <w:sz w:val="22"/>
          <w:szCs w:val="24"/>
        </w:rPr>
        <w:t>“(10) In this section, a reference to a Tariff Concession Order includes a reference to a Commercial Tariff Concession Order made under Part XVA of the Customs Act as in force before</w:t>
      </w:r>
    </w:p>
    <w:p w14:paraId="25FB4DC6" w14:textId="77777777" w:rsidR="00BD4635" w:rsidRPr="007A54B3" w:rsidRDefault="00BD4635" w:rsidP="007A54B3">
      <w:pPr>
        <w:shd w:val="clear" w:color="auto" w:fill="FFFFFF"/>
        <w:spacing w:before="120"/>
        <w:ind w:left="763" w:firstLine="226"/>
        <w:jc w:val="both"/>
        <w:rPr>
          <w:sz w:val="22"/>
        </w:rPr>
        <w:sectPr w:rsidR="00BD4635" w:rsidRPr="007A54B3" w:rsidSect="007A54B3">
          <w:pgSz w:w="12240" w:h="15840" w:code="1"/>
          <w:pgMar w:top="1440" w:right="1440" w:bottom="1440" w:left="1440" w:header="720" w:footer="720" w:gutter="0"/>
          <w:cols w:space="60"/>
          <w:noEndnote/>
        </w:sectPr>
      </w:pPr>
    </w:p>
    <w:p w14:paraId="34E3715C" w14:textId="77777777" w:rsidR="00BD4635" w:rsidRPr="007A54B3" w:rsidRDefault="00BD4635" w:rsidP="007A54B3">
      <w:pPr>
        <w:shd w:val="clear" w:color="auto" w:fill="FFFFFF"/>
        <w:spacing w:before="120"/>
        <w:ind w:left="763"/>
        <w:rPr>
          <w:sz w:val="22"/>
        </w:rPr>
      </w:pPr>
      <w:r w:rsidRPr="007A54B3">
        <w:rPr>
          <w:sz w:val="22"/>
          <w:szCs w:val="24"/>
        </w:rPr>
        <w:lastRenderedPageBreak/>
        <w:t xml:space="preserve">section 10 of the </w:t>
      </w:r>
      <w:r w:rsidRPr="007A54B3">
        <w:rPr>
          <w:i/>
          <w:iCs/>
          <w:sz w:val="22"/>
          <w:szCs w:val="24"/>
        </w:rPr>
        <w:t xml:space="preserve">Customs Legislation (Tariff Concessions and Anti-Dumping) Amendment Act 1992 </w:t>
      </w:r>
      <w:r w:rsidRPr="007A54B3">
        <w:rPr>
          <w:sz w:val="22"/>
          <w:szCs w:val="24"/>
        </w:rPr>
        <w:t>commences.”.</w:t>
      </w:r>
    </w:p>
    <w:p w14:paraId="14809464" w14:textId="77777777" w:rsidR="00BD4635" w:rsidRPr="007A54B3" w:rsidRDefault="007A54B3" w:rsidP="007A54B3">
      <w:pPr>
        <w:shd w:val="clear" w:color="auto" w:fill="FFFFFF"/>
        <w:spacing w:before="480"/>
        <w:jc w:val="center"/>
        <w:rPr>
          <w:sz w:val="22"/>
        </w:rPr>
      </w:pPr>
      <w:r>
        <w:rPr>
          <w:b/>
          <w:bCs/>
          <w:noProof/>
          <w:sz w:val="22"/>
          <w:szCs w:val="24"/>
          <w:lang w:val="en-AU" w:eastAsia="en-AU"/>
        </w:rPr>
        <mc:AlternateContent>
          <mc:Choice Requires="wps">
            <w:drawing>
              <wp:anchor distT="0" distB="0" distL="114300" distR="114300" simplePos="0" relativeHeight="251659264" behindDoc="0" locked="0" layoutInCell="1" allowOverlap="1" wp14:anchorId="5E314931" wp14:editId="23D1BF8F">
                <wp:simplePos x="0" y="0"/>
                <wp:positionH relativeFrom="column">
                  <wp:posOffset>28574</wp:posOffset>
                </wp:positionH>
                <wp:positionV relativeFrom="paragraph">
                  <wp:posOffset>193040</wp:posOffset>
                </wp:positionV>
                <wp:extent cx="5934075" cy="0"/>
                <wp:effectExtent l="0" t="0" r="9525" b="19050"/>
                <wp:wrapNone/>
                <wp:docPr id="2" name="Straight Connector 2"/>
                <wp:cNvGraphicFramePr/>
                <a:graphic xmlns:a="http://schemas.openxmlformats.org/drawingml/2006/main">
                  <a:graphicData uri="http://schemas.microsoft.com/office/word/2010/wordprocessingShape">
                    <wps:wsp>
                      <wps:cNvCnPr/>
                      <wps:spPr>
                        <a:xfrm>
                          <a:off x="0" y="0"/>
                          <a:ext cx="59340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340724B"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25pt,15.2pt" to="469.5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" strokecolor="black [3040]"/>
            </w:pict>
          </mc:Fallback>
        </mc:AlternateContent>
      </w:r>
      <w:r w:rsidR="00BD4635" w:rsidRPr="007A54B3">
        <w:rPr>
          <w:b/>
          <w:bCs/>
          <w:sz w:val="22"/>
          <w:szCs w:val="24"/>
        </w:rPr>
        <w:t>NOTE</w:t>
      </w:r>
    </w:p>
    <w:p w14:paraId="23C97C1F" w14:textId="77777777" w:rsidR="00BD4635" w:rsidRPr="007A54B3" w:rsidRDefault="00BD4635" w:rsidP="007A54B3">
      <w:pPr>
        <w:shd w:val="clear" w:color="auto" w:fill="FFFFFF"/>
        <w:spacing w:before="106"/>
        <w:ind w:left="288" w:hanging="278"/>
        <w:jc w:val="both"/>
      </w:pPr>
      <w:r w:rsidRPr="007A54B3">
        <w:rPr>
          <w:szCs w:val="22"/>
        </w:rPr>
        <w:t xml:space="preserve">1. No. 76, 1975, as amended. For further amendments, see No. 66, 1981; </w:t>
      </w:r>
      <w:r w:rsidRPr="007A54B3">
        <w:rPr>
          <w:szCs w:val="22"/>
          <w:lang w:val="fr-FR"/>
        </w:rPr>
        <w:t xml:space="preserve">Nos. </w:t>
      </w:r>
      <w:r w:rsidRPr="007A54B3">
        <w:rPr>
          <w:szCs w:val="22"/>
        </w:rPr>
        <w:t xml:space="preserve">53, 68, 114 and 136, 1982; </w:t>
      </w:r>
      <w:r w:rsidRPr="007A54B3">
        <w:rPr>
          <w:szCs w:val="22"/>
          <w:lang w:val="fr-FR"/>
        </w:rPr>
        <w:t xml:space="preserve">Nos. </w:t>
      </w:r>
      <w:r w:rsidRPr="007A54B3">
        <w:rPr>
          <w:szCs w:val="22"/>
        </w:rPr>
        <w:t xml:space="preserve">20 and 91, 1983; No. 1, 1984; No. 39, 1985; </w:t>
      </w:r>
      <w:r w:rsidRPr="007A54B3">
        <w:rPr>
          <w:szCs w:val="22"/>
          <w:lang w:val="fr-FR"/>
        </w:rPr>
        <w:t xml:space="preserve">Nos. </w:t>
      </w:r>
      <w:r w:rsidRPr="007A54B3">
        <w:rPr>
          <w:szCs w:val="22"/>
        </w:rPr>
        <w:t>76 and 141, 1987; No. 69, 1988; No. 173, 1989; and No. 70, 1990.</w:t>
      </w:r>
    </w:p>
    <w:p w14:paraId="03AB8928" w14:textId="77777777" w:rsidR="007A54B3" w:rsidRDefault="00BD4635" w:rsidP="007A54B3">
      <w:pPr>
        <w:shd w:val="clear" w:color="auto" w:fill="FFFFFF"/>
        <w:spacing w:before="437"/>
        <w:ind w:left="754" w:hanging="754"/>
        <w:rPr>
          <w:rFonts w:eastAsia="Times New Roman"/>
          <w:szCs w:val="22"/>
        </w:rPr>
      </w:pPr>
      <w:r w:rsidRPr="007A54B3">
        <w:rPr>
          <w:szCs w:val="22"/>
        </w:rPr>
        <w:t>[</w:t>
      </w:r>
      <w:r w:rsidRPr="007A54B3">
        <w:rPr>
          <w:i/>
          <w:iCs/>
          <w:szCs w:val="22"/>
        </w:rPr>
        <w:t>Minister’s second reading speech made in</w:t>
      </w:r>
      <w:r w:rsidRPr="007A54B3">
        <w:rPr>
          <w:rFonts w:eastAsia="Times New Roman"/>
          <w:szCs w:val="22"/>
        </w:rPr>
        <w:t>—</w:t>
      </w:r>
    </w:p>
    <w:p w14:paraId="66B9797A" w14:textId="77777777" w:rsidR="007A54B3" w:rsidRDefault="00BD4635" w:rsidP="007A54B3">
      <w:pPr>
        <w:shd w:val="clear" w:color="auto" w:fill="FFFFFF"/>
        <w:ind w:left="1474" w:hanging="754"/>
        <w:rPr>
          <w:rFonts w:eastAsia="Times New Roman"/>
          <w:i/>
          <w:iCs/>
          <w:szCs w:val="22"/>
        </w:rPr>
      </w:pPr>
      <w:r w:rsidRPr="007A54B3">
        <w:rPr>
          <w:rFonts w:eastAsia="Times New Roman"/>
          <w:i/>
          <w:iCs/>
          <w:szCs w:val="22"/>
        </w:rPr>
        <w:t>House of Representatives on 7 May 1992</w:t>
      </w:r>
    </w:p>
    <w:p w14:paraId="74763521" w14:textId="77777777" w:rsidR="00BD4635" w:rsidRPr="007A54B3" w:rsidRDefault="00BD4635" w:rsidP="007A54B3">
      <w:pPr>
        <w:shd w:val="clear" w:color="auto" w:fill="FFFFFF"/>
        <w:ind w:left="1474" w:hanging="754"/>
      </w:pPr>
      <w:r w:rsidRPr="007A54B3">
        <w:rPr>
          <w:rFonts w:eastAsia="Times New Roman"/>
          <w:i/>
          <w:iCs/>
          <w:szCs w:val="22"/>
        </w:rPr>
        <w:t>Senate on 28 May 1992</w:t>
      </w:r>
      <w:r w:rsidRPr="007A54B3">
        <w:rPr>
          <w:rFonts w:eastAsia="Times New Roman"/>
          <w:szCs w:val="22"/>
        </w:rPr>
        <w:t>]</w:t>
      </w:r>
    </w:p>
    <w:sectPr w:rsidR="00BD4635" w:rsidRPr="007A54B3" w:rsidSect="007A54B3">
      <w:pgSz w:w="12240" w:h="15840" w:code="1"/>
      <w:pgMar w:top="1440" w:right="1440" w:bottom="1440" w:left="1440" w:header="720" w:footer="720" w:gutter="0"/>
      <w:cols w:space="60"/>
      <w:noEndnote/>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E96D515" w15:done="0"/>
  <w15:commentEx w15:paraId="31B5A46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E96D515" w16cid:durableId="20A4EB1C"/>
  <w16cid:commentId w16cid:paraId="31B5A461" w16cid:durableId="20A4EB2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4A6ED3" w14:textId="77777777" w:rsidR="009F1581" w:rsidRDefault="009F1581" w:rsidP="004A2538">
      <w:r>
        <w:separator/>
      </w:r>
    </w:p>
  </w:endnote>
  <w:endnote w:type="continuationSeparator" w:id="0">
    <w:p w14:paraId="6CA9B5DC" w14:textId="77777777" w:rsidR="009F1581" w:rsidRDefault="009F1581" w:rsidP="004A2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5359BD" w14:textId="77777777" w:rsidR="009F1581" w:rsidRDefault="009F1581" w:rsidP="004A2538">
      <w:r>
        <w:separator/>
      </w:r>
    </w:p>
  </w:footnote>
  <w:footnote w:type="continuationSeparator" w:id="0">
    <w:p w14:paraId="2EA36A1B" w14:textId="77777777" w:rsidR="009F1581" w:rsidRDefault="009F1581" w:rsidP="004A25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2DEF7B" w14:textId="77777777" w:rsidR="004A2538" w:rsidRPr="004A2538" w:rsidRDefault="004A2538" w:rsidP="004A2538">
    <w:pPr>
      <w:pStyle w:val="Header"/>
      <w:jc w:val="center"/>
      <w:rPr>
        <w:sz w:val="22"/>
      </w:rPr>
    </w:pPr>
    <w:r w:rsidRPr="004A2538">
      <w:rPr>
        <w:i/>
        <w:iCs/>
        <w:sz w:val="22"/>
        <w:szCs w:val="24"/>
      </w:rPr>
      <w:t>Customs Tariff (Anti-Dumping) Amendment</w:t>
    </w:r>
    <w:r w:rsidRPr="004A2538">
      <w:rPr>
        <w:i/>
        <w:iCs/>
        <w:sz w:val="22"/>
        <w:szCs w:val="24"/>
      </w:rPr>
      <w:tab/>
      <w:t xml:space="preserve"> No. 90, 1992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EB454F"/>
    <w:multiLevelType w:val="singleLevel"/>
    <w:tmpl w:val="35E063A2"/>
    <w:lvl w:ilvl="0">
      <w:start w:val="2"/>
      <w:numFmt w:val="lowerLetter"/>
      <w:lvlText w:val="(%1)"/>
      <w:legacy w:legacy="1" w:legacySpace="0" w:legacyIndent="394"/>
      <w:lvlJc w:val="left"/>
      <w:rPr>
        <w:rFonts w:ascii="Times New Roman" w:hAnsi="Times New Roman" w:cs="Times New Roman" w:hint="default"/>
      </w:rPr>
    </w:lvl>
  </w:abstractNum>
  <w:abstractNum w:abstractNumId="1">
    <w:nsid w:val="2EE94ECD"/>
    <w:multiLevelType w:val="singleLevel"/>
    <w:tmpl w:val="8E7232B8"/>
    <w:lvl w:ilvl="0">
      <w:start w:val="2"/>
      <w:numFmt w:val="lowerLetter"/>
      <w:lvlText w:val="(%1)"/>
      <w:legacy w:legacy="1" w:legacySpace="0" w:legacyIndent="389"/>
      <w:lvlJc w:val="left"/>
      <w:rPr>
        <w:rFonts w:ascii="Times New Roman" w:hAnsi="Times New Roman" w:cs="Times New Roman"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75DD"/>
    <w:rsid w:val="002614BB"/>
    <w:rsid w:val="002675DD"/>
    <w:rsid w:val="003D5109"/>
    <w:rsid w:val="004A2538"/>
    <w:rsid w:val="007405E5"/>
    <w:rsid w:val="007A54B3"/>
    <w:rsid w:val="009A7CDD"/>
    <w:rsid w:val="009F1581"/>
    <w:rsid w:val="00BD4635"/>
    <w:rsid w:val="00DF4A25"/>
    <w:rsid w:val="00E373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25C9996"/>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54B3"/>
    <w:rPr>
      <w:rFonts w:ascii="Tahoma" w:hAnsi="Tahoma" w:cs="Tahoma"/>
      <w:sz w:val="16"/>
      <w:szCs w:val="16"/>
    </w:rPr>
  </w:style>
  <w:style w:type="character" w:customStyle="1" w:styleId="BalloonTextChar">
    <w:name w:val="Balloon Text Char"/>
    <w:basedOn w:val="DefaultParagraphFont"/>
    <w:link w:val="BalloonText"/>
    <w:uiPriority w:val="99"/>
    <w:semiHidden/>
    <w:rsid w:val="007A54B3"/>
    <w:rPr>
      <w:rFonts w:ascii="Tahoma" w:hAnsi="Tahoma" w:cs="Tahoma"/>
      <w:sz w:val="16"/>
      <w:szCs w:val="16"/>
    </w:rPr>
  </w:style>
  <w:style w:type="paragraph" w:styleId="Header">
    <w:name w:val="header"/>
    <w:basedOn w:val="Normal"/>
    <w:link w:val="HeaderChar"/>
    <w:uiPriority w:val="99"/>
    <w:unhideWhenUsed/>
    <w:rsid w:val="004A2538"/>
    <w:pPr>
      <w:tabs>
        <w:tab w:val="center" w:pos="4680"/>
        <w:tab w:val="right" w:pos="9360"/>
      </w:tabs>
    </w:pPr>
  </w:style>
  <w:style w:type="character" w:customStyle="1" w:styleId="HeaderChar">
    <w:name w:val="Header Char"/>
    <w:basedOn w:val="DefaultParagraphFont"/>
    <w:link w:val="Header"/>
    <w:uiPriority w:val="99"/>
    <w:rsid w:val="004A2538"/>
    <w:rPr>
      <w:rFonts w:ascii="Times New Roman" w:hAnsi="Times New Roman"/>
      <w:sz w:val="20"/>
      <w:szCs w:val="20"/>
    </w:rPr>
  </w:style>
  <w:style w:type="paragraph" w:styleId="Footer">
    <w:name w:val="footer"/>
    <w:basedOn w:val="Normal"/>
    <w:link w:val="FooterChar"/>
    <w:uiPriority w:val="99"/>
    <w:unhideWhenUsed/>
    <w:rsid w:val="004A2538"/>
    <w:pPr>
      <w:tabs>
        <w:tab w:val="center" w:pos="4680"/>
        <w:tab w:val="right" w:pos="9360"/>
      </w:tabs>
    </w:pPr>
  </w:style>
  <w:style w:type="character" w:customStyle="1" w:styleId="FooterChar">
    <w:name w:val="Footer Char"/>
    <w:basedOn w:val="DefaultParagraphFont"/>
    <w:link w:val="Footer"/>
    <w:uiPriority w:val="99"/>
    <w:rsid w:val="004A2538"/>
    <w:rPr>
      <w:rFonts w:ascii="Times New Roman" w:hAnsi="Times New Roman"/>
      <w:sz w:val="20"/>
      <w:szCs w:val="20"/>
    </w:rPr>
  </w:style>
  <w:style w:type="character" w:styleId="CommentReference">
    <w:name w:val="annotation reference"/>
    <w:basedOn w:val="DefaultParagraphFont"/>
    <w:uiPriority w:val="99"/>
    <w:semiHidden/>
    <w:unhideWhenUsed/>
    <w:rsid w:val="009A7CDD"/>
    <w:rPr>
      <w:sz w:val="16"/>
      <w:szCs w:val="16"/>
    </w:rPr>
  </w:style>
  <w:style w:type="paragraph" w:styleId="CommentText">
    <w:name w:val="annotation text"/>
    <w:basedOn w:val="Normal"/>
    <w:link w:val="CommentTextChar"/>
    <w:uiPriority w:val="99"/>
    <w:semiHidden/>
    <w:unhideWhenUsed/>
    <w:rsid w:val="009A7CDD"/>
  </w:style>
  <w:style w:type="character" w:customStyle="1" w:styleId="CommentTextChar">
    <w:name w:val="Comment Text Char"/>
    <w:basedOn w:val="DefaultParagraphFont"/>
    <w:link w:val="CommentText"/>
    <w:uiPriority w:val="99"/>
    <w:semiHidden/>
    <w:rsid w:val="009A7CDD"/>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9A7CDD"/>
    <w:rPr>
      <w:b/>
      <w:bCs/>
    </w:rPr>
  </w:style>
  <w:style w:type="character" w:customStyle="1" w:styleId="CommentSubjectChar">
    <w:name w:val="Comment Subject Char"/>
    <w:basedOn w:val="CommentTextChar"/>
    <w:link w:val="CommentSubject"/>
    <w:uiPriority w:val="99"/>
    <w:semiHidden/>
    <w:rsid w:val="009A7CDD"/>
    <w:rPr>
      <w:rFonts w:ascii="Times New Roman" w:hAnsi="Times New Roman"/>
      <w:b/>
      <w:bCs/>
      <w:sz w:val="20"/>
      <w:szCs w:val="20"/>
    </w:rPr>
  </w:style>
  <w:style w:type="paragraph" w:styleId="Revision">
    <w:name w:val="Revision"/>
    <w:hidden/>
    <w:uiPriority w:val="99"/>
    <w:semiHidden/>
    <w:rsid w:val="007405E5"/>
    <w:pPr>
      <w:spacing w:after="0" w:line="240" w:lineRule="auto"/>
    </w:pPr>
    <w:rPr>
      <w:rFonts w:ascii="Times New Roman" w:hAnsi="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54B3"/>
    <w:rPr>
      <w:rFonts w:ascii="Tahoma" w:hAnsi="Tahoma" w:cs="Tahoma"/>
      <w:sz w:val="16"/>
      <w:szCs w:val="16"/>
    </w:rPr>
  </w:style>
  <w:style w:type="character" w:customStyle="1" w:styleId="BalloonTextChar">
    <w:name w:val="Balloon Text Char"/>
    <w:basedOn w:val="DefaultParagraphFont"/>
    <w:link w:val="BalloonText"/>
    <w:uiPriority w:val="99"/>
    <w:semiHidden/>
    <w:rsid w:val="007A54B3"/>
    <w:rPr>
      <w:rFonts w:ascii="Tahoma" w:hAnsi="Tahoma" w:cs="Tahoma"/>
      <w:sz w:val="16"/>
      <w:szCs w:val="16"/>
    </w:rPr>
  </w:style>
  <w:style w:type="paragraph" w:styleId="Header">
    <w:name w:val="header"/>
    <w:basedOn w:val="Normal"/>
    <w:link w:val="HeaderChar"/>
    <w:uiPriority w:val="99"/>
    <w:unhideWhenUsed/>
    <w:rsid w:val="004A2538"/>
    <w:pPr>
      <w:tabs>
        <w:tab w:val="center" w:pos="4680"/>
        <w:tab w:val="right" w:pos="9360"/>
      </w:tabs>
    </w:pPr>
  </w:style>
  <w:style w:type="character" w:customStyle="1" w:styleId="HeaderChar">
    <w:name w:val="Header Char"/>
    <w:basedOn w:val="DefaultParagraphFont"/>
    <w:link w:val="Header"/>
    <w:uiPriority w:val="99"/>
    <w:rsid w:val="004A2538"/>
    <w:rPr>
      <w:rFonts w:ascii="Times New Roman" w:hAnsi="Times New Roman"/>
      <w:sz w:val="20"/>
      <w:szCs w:val="20"/>
    </w:rPr>
  </w:style>
  <w:style w:type="paragraph" w:styleId="Footer">
    <w:name w:val="footer"/>
    <w:basedOn w:val="Normal"/>
    <w:link w:val="FooterChar"/>
    <w:uiPriority w:val="99"/>
    <w:unhideWhenUsed/>
    <w:rsid w:val="004A2538"/>
    <w:pPr>
      <w:tabs>
        <w:tab w:val="center" w:pos="4680"/>
        <w:tab w:val="right" w:pos="9360"/>
      </w:tabs>
    </w:pPr>
  </w:style>
  <w:style w:type="character" w:customStyle="1" w:styleId="FooterChar">
    <w:name w:val="Footer Char"/>
    <w:basedOn w:val="DefaultParagraphFont"/>
    <w:link w:val="Footer"/>
    <w:uiPriority w:val="99"/>
    <w:rsid w:val="004A2538"/>
    <w:rPr>
      <w:rFonts w:ascii="Times New Roman" w:hAnsi="Times New Roman"/>
      <w:sz w:val="20"/>
      <w:szCs w:val="20"/>
    </w:rPr>
  </w:style>
  <w:style w:type="character" w:styleId="CommentReference">
    <w:name w:val="annotation reference"/>
    <w:basedOn w:val="DefaultParagraphFont"/>
    <w:uiPriority w:val="99"/>
    <w:semiHidden/>
    <w:unhideWhenUsed/>
    <w:rsid w:val="009A7CDD"/>
    <w:rPr>
      <w:sz w:val="16"/>
      <w:szCs w:val="16"/>
    </w:rPr>
  </w:style>
  <w:style w:type="paragraph" w:styleId="CommentText">
    <w:name w:val="annotation text"/>
    <w:basedOn w:val="Normal"/>
    <w:link w:val="CommentTextChar"/>
    <w:uiPriority w:val="99"/>
    <w:semiHidden/>
    <w:unhideWhenUsed/>
    <w:rsid w:val="009A7CDD"/>
  </w:style>
  <w:style w:type="character" w:customStyle="1" w:styleId="CommentTextChar">
    <w:name w:val="Comment Text Char"/>
    <w:basedOn w:val="DefaultParagraphFont"/>
    <w:link w:val="CommentText"/>
    <w:uiPriority w:val="99"/>
    <w:semiHidden/>
    <w:rsid w:val="009A7CDD"/>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9A7CDD"/>
    <w:rPr>
      <w:b/>
      <w:bCs/>
    </w:rPr>
  </w:style>
  <w:style w:type="character" w:customStyle="1" w:styleId="CommentSubjectChar">
    <w:name w:val="Comment Subject Char"/>
    <w:basedOn w:val="CommentTextChar"/>
    <w:link w:val="CommentSubject"/>
    <w:uiPriority w:val="99"/>
    <w:semiHidden/>
    <w:rsid w:val="009A7CDD"/>
    <w:rPr>
      <w:rFonts w:ascii="Times New Roman" w:hAnsi="Times New Roman"/>
      <w:b/>
      <w:bCs/>
      <w:sz w:val="20"/>
      <w:szCs w:val="20"/>
    </w:rPr>
  </w:style>
  <w:style w:type="paragraph" w:styleId="Revision">
    <w:name w:val="Revision"/>
    <w:hidden/>
    <w:uiPriority w:val="99"/>
    <w:semiHidden/>
    <w:rsid w:val="007405E5"/>
    <w:pPr>
      <w:spacing w:after="0" w:line="240" w:lineRule="auto"/>
    </w:pPr>
    <w:rPr>
      <w:rFonts w:ascii="Times New Roman"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1/relationships/commentsExtended" Target="commentsExtended.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542</Words>
  <Characters>3096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Pettingill, Tia</cp:lastModifiedBy>
  <cp:revision>3</cp:revision>
  <dcterms:created xsi:type="dcterms:W3CDTF">2019-06-07T03:55:00Z</dcterms:created>
  <dcterms:modified xsi:type="dcterms:W3CDTF">2019-10-22T22:38:00Z</dcterms:modified>
</cp:coreProperties>
</file>