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D2990F" w14:textId="77777777" w:rsidR="00315411" w:rsidRPr="003A76F2" w:rsidRDefault="00C8157C" w:rsidP="00696293">
      <w:pPr>
        <w:jc w:val="center"/>
        <w:rPr>
          <w:sz w:val="22"/>
          <w:szCs w:val="22"/>
        </w:rPr>
      </w:pPr>
      <w:r w:rsidRPr="003A76F2">
        <w:rPr>
          <w:noProof/>
          <w:sz w:val="22"/>
          <w:szCs w:val="22"/>
          <w:lang w:val="en-AU" w:eastAsia="en-AU"/>
        </w:rPr>
        <w:drawing>
          <wp:inline distT="0" distB="0" distL="0" distR="0" wp14:anchorId="1C59769E" wp14:editId="2F28423F">
            <wp:extent cx="1584960" cy="1051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4960" cy="1051560"/>
                    </a:xfrm>
                    <a:prstGeom prst="rect">
                      <a:avLst/>
                    </a:prstGeom>
                    <a:noFill/>
                    <a:ln>
                      <a:noFill/>
                    </a:ln>
                  </pic:spPr>
                </pic:pic>
              </a:graphicData>
            </a:graphic>
          </wp:inline>
        </w:drawing>
      </w:r>
    </w:p>
    <w:p w14:paraId="1746AFCA" w14:textId="77777777" w:rsidR="00315411" w:rsidRPr="003A76F2" w:rsidRDefault="00284D5C" w:rsidP="00696293">
      <w:pPr>
        <w:shd w:val="clear" w:color="auto" w:fill="FFFFFF"/>
        <w:spacing w:before="1579"/>
        <w:jc w:val="center"/>
        <w:rPr>
          <w:sz w:val="36"/>
          <w:szCs w:val="36"/>
        </w:rPr>
      </w:pPr>
      <w:r w:rsidRPr="000E4992">
        <w:rPr>
          <w:b/>
          <w:bCs/>
          <w:spacing w:val="-4"/>
          <w:sz w:val="36"/>
          <w:szCs w:val="36"/>
        </w:rPr>
        <w:t xml:space="preserve">Service and Execution </w:t>
      </w:r>
      <w:r w:rsidRPr="003A76F2">
        <w:rPr>
          <w:b/>
          <w:bCs/>
          <w:spacing w:val="-4"/>
          <w:sz w:val="36"/>
          <w:szCs w:val="36"/>
        </w:rPr>
        <w:t xml:space="preserve">of Process </w:t>
      </w:r>
      <w:r w:rsidRPr="003A76F2">
        <w:rPr>
          <w:b/>
          <w:bCs/>
          <w:spacing w:val="-9"/>
          <w:sz w:val="36"/>
          <w:szCs w:val="36"/>
        </w:rPr>
        <w:t xml:space="preserve">(Transitional Provisions and Consequential </w:t>
      </w:r>
      <w:r w:rsidRPr="003A76F2">
        <w:rPr>
          <w:b/>
          <w:bCs/>
          <w:spacing w:val="-6"/>
          <w:sz w:val="36"/>
          <w:szCs w:val="36"/>
        </w:rPr>
        <w:t>Amendments) Act 1992</w:t>
      </w:r>
    </w:p>
    <w:p w14:paraId="0DD29BF9" w14:textId="77777777" w:rsidR="00315411" w:rsidRPr="003A76F2" w:rsidRDefault="00284D5C" w:rsidP="00696293">
      <w:pPr>
        <w:shd w:val="clear" w:color="auto" w:fill="FFFFFF"/>
        <w:spacing w:before="883"/>
        <w:jc w:val="center"/>
        <w:rPr>
          <w:sz w:val="24"/>
          <w:szCs w:val="24"/>
        </w:rPr>
      </w:pPr>
      <w:r w:rsidRPr="003A76F2">
        <w:rPr>
          <w:b/>
          <w:bCs/>
          <w:sz w:val="24"/>
          <w:szCs w:val="24"/>
        </w:rPr>
        <w:t>No. 166 of 1992</w:t>
      </w:r>
    </w:p>
    <w:p w14:paraId="63B64CC9" w14:textId="6EC29514" w:rsidR="00315411" w:rsidRPr="000E4992" w:rsidRDefault="007C34C7" w:rsidP="00696293">
      <w:pPr>
        <w:shd w:val="clear" w:color="auto" w:fill="FFFFFF"/>
        <w:spacing w:before="2256"/>
        <w:jc w:val="center"/>
        <w:rPr>
          <w:b/>
          <w:sz w:val="26"/>
          <w:szCs w:val="24"/>
        </w:rPr>
      </w:pPr>
      <w:r w:rsidRPr="000E4992">
        <w:rPr>
          <w:b/>
          <w:bCs/>
          <w:noProof/>
          <w:spacing w:val="-6"/>
          <w:sz w:val="26"/>
          <w:szCs w:val="24"/>
          <w:lang w:val="en-AU" w:eastAsia="en-AU"/>
        </w:rPr>
        <mc:AlternateContent>
          <mc:Choice Requires="wps">
            <w:drawing>
              <wp:anchor distT="0" distB="0" distL="114300" distR="114300" simplePos="0" relativeHeight="251662336" behindDoc="0" locked="0" layoutInCell="1" allowOverlap="1" wp14:anchorId="3682433A" wp14:editId="3E59E7D4">
                <wp:simplePos x="0" y="0"/>
                <wp:positionH relativeFrom="column">
                  <wp:posOffset>69011</wp:posOffset>
                </wp:positionH>
                <wp:positionV relativeFrom="paragraph">
                  <wp:posOffset>850588</wp:posOffset>
                </wp:positionV>
                <wp:extent cx="5701665" cy="0"/>
                <wp:effectExtent l="0" t="0" r="13335" b="19050"/>
                <wp:wrapNone/>
                <wp:docPr id="2" name="Straight Connector 2"/>
                <wp:cNvGraphicFramePr/>
                <a:graphic xmlns:a="http://schemas.openxmlformats.org/drawingml/2006/main">
                  <a:graphicData uri="http://schemas.microsoft.com/office/word/2010/wordprocessingShape">
                    <wps:wsp>
                      <wps:cNvCnPr/>
                      <wps:spPr>
                        <a:xfrm>
                          <a:off x="0" y="0"/>
                          <a:ext cx="570166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651927"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5pt,67pt" to="454.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nf4wAEAAMgDAAAOAAAAZHJzL2Uyb0RvYy54bWysU02P0zAQvSPtf7B8p0kqtQtR0z10xV4Q&#10;W7HwA7zOuLHwl8amSf89Y7fNrgAhhLg4tue9N/PGk83dZA07AkbtXcebRc0ZOOl77Q4d//rlw9t3&#10;nMUkXC+Md9DxE0R+t715sxlDC0s/eNMDMhJxsR1Dx4eUQltVUQ5gRVz4AI6CyqMViY54qHoUI6lb&#10;Uy3rel2NHvuAXkKMdHt/DvJt0VcKZHpUKkJipuNUWyorlvU5r9V2I9oDijBoeSlD/EMVVmhHSWep&#10;e5EE+476FymrJfroVVpIbyuvlJZQPJCbpv7JzdMgAhQv1JwY5jbF/ycrPx33yHTf8SVnTlh6oqeE&#10;Qh+GxHbeOWqgR7bMfRpDbAm+c3u8nGLYYzY9KbT5S3bYVHp7mnsLU2KSLle3dbNerziT11j1QgwY&#10;0wN4y/Km40a7bFu04vgxJkpG0CskXxvHRhq29/WqPGCVKzvXUnbpZOAM+wyKvFH2psiVqYKdQXYU&#10;NA/9tyb7InHjCJkpShszk+o/ky7YTIMyaX9LnNElo3dpJlrtPP4ua5qupaoznsp+5TVvn31/Ki9T&#10;AjQuxdlltPM8vj4X+ssPuP0BAAD//wMAUEsDBBQABgAIAAAAIQBiHqDh2gAAAAoBAAAPAAAAZHJz&#10;L2Rvd25yZXYueG1sTI9BS8RADIXvgv9hiODNzeiK7NZOF1F68SBaFa+zndgWO5nSmW3rvzeC4J7C&#10;Sx4v38t3i+/VRGPsAhu4XGlQxHVwHTcG3l7Liw2omCw72wcmA98UYVecnuQ2c2HmF5qq1CgJ4ZhZ&#10;A21KQ4YY65a8jaswEMvtM4zeJpFjg260s4T7Hq+0vkFvO5YPrR3ovqX6qzp4A/j4gFMVqCqfP+an&#10;Nb1j6RCNOT9b7m5BJVrSvxl+8QUdCmHahwO7qHrReitOmetr6SSGrd5Il/3fBoscjysUPwAAAP//&#10;AwBQSwECLQAUAAYACAAAACEAtoM4kv4AAADhAQAAEwAAAAAAAAAAAAAAAAAAAAAAW0NvbnRlbnRf&#10;VHlwZXNdLnhtbFBLAQItABQABgAIAAAAIQA4/SH/1gAAAJQBAAALAAAAAAAAAAAAAAAAAC8BAABf&#10;cmVscy8ucmVsc1BLAQItABQABgAIAAAAIQAQ8nf4wAEAAMgDAAAOAAAAAAAAAAAAAAAAAC4CAABk&#10;cnMvZTJvRG9jLnhtbFBLAQItABQABgAIAAAAIQBiHqDh2gAAAAoBAAAPAAAAAAAAAAAAAAAAABoE&#10;AABkcnMvZG93bnJldi54bWxQSwUGAAAAAAQABADzAAAAIQUAAAAA&#10;" strokecolor="black [3040]" strokeweight="1.5pt"/>
            </w:pict>
          </mc:Fallback>
        </mc:AlternateContent>
      </w:r>
      <w:r w:rsidR="008218D5" w:rsidRPr="000E4992">
        <w:rPr>
          <w:b/>
          <w:bCs/>
          <w:noProof/>
          <w:spacing w:val="-6"/>
          <w:sz w:val="26"/>
          <w:szCs w:val="24"/>
          <w:lang w:val="en-AU" w:eastAsia="en-AU"/>
        </w:rPr>
        <mc:AlternateContent>
          <mc:Choice Requires="wps">
            <w:drawing>
              <wp:anchor distT="0" distB="0" distL="114300" distR="114300" simplePos="0" relativeHeight="251661312" behindDoc="0" locked="0" layoutInCell="1" allowOverlap="1" wp14:anchorId="1A1F8F1A" wp14:editId="47C19F2D">
                <wp:simplePos x="0" y="0"/>
                <wp:positionH relativeFrom="column">
                  <wp:posOffset>65405</wp:posOffset>
                </wp:positionH>
                <wp:positionV relativeFrom="paragraph">
                  <wp:posOffset>820684</wp:posOffset>
                </wp:positionV>
                <wp:extent cx="5702061" cy="0"/>
                <wp:effectExtent l="0" t="0" r="13335" b="19050"/>
                <wp:wrapNone/>
                <wp:docPr id="3" name="Straight Connector 3"/>
                <wp:cNvGraphicFramePr/>
                <a:graphic xmlns:a="http://schemas.openxmlformats.org/drawingml/2006/main">
                  <a:graphicData uri="http://schemas.microsoft.com/office/word/2010/wordprocessingShape">
                    <wps:wsp>
                      <wps:cNvCnPr/>
                      <wps:spPr>
                        <a:xfrm>
                          <a:off x="0" y="0"/>
                          <a:ext cx="57020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7F9112"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15pt,64.6pt" to="454.15pt,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5gStgEAALcDAAAOAAAAZHJzL2Uyb0RvYy54bWysU02P0zAQvSPxHyzfaZKuWFDUdA9dwQVB&#10;xbI/wOuMGwvbY41NP/49Y7fNIkAIIS6Ox37vzbzxZHV39E7sgZLFMMhu0UoBQeNow26Qj1/evXor&#10;RcoqjMphgEGeIMm79csXq0PsYYkTuhFIsEhI/SEOcso59k2T9ARepQVGCHxpkLzKHNKuGUkdWN27&#10;Ztm2t80BaYyEGlLi0/vzpVxXfWNA50/GJMjCDZJry3Wluj6VtVmvVL8jFSerL2Wof6jCKxs46Sx1&#10;r7IS38j+IuWtJkxo8kKjb9AYq6F6YDdd+5Obh0lFqF64OSnObUr/T1Z/3G9J2HGQN1IE5fmJHjIp&#10;u5uy2GAI3EAkcVP6dIipZ/gmbOkSpbilYvpoyJcv2xHH2tvT3Fs4ZqH58PWbdtnedlLo613zTIyU&#10;8ntAL8pmkM6GYlv1av8hZU7G0CuEg1LIOXXd5ZODAnbhMxi2wsm6yq5DBBtHYq/4+cevXbHBWhVZ&#10;KMY6N5PaP5Mu2EKDOlh/S5zRNSOGPBO9DUi/y5qP11LNGX91ffZabD/heKoPUdvB01GdXSa5jN+P&#10;caU//2/r7wAAAP//AwBQSwMEFAAGAAgAAAAhAGXGd/XdAAAACgEAAA8AAABkcnMvZG93bnJldi54&#10;bWxMj81OwzAQhO9IvIO1SNyoTZBomsapED8nOITAoUc3XpKo8TqK3STw9CwSEpxWMzua/TbfLa4X&#10;E46h86TheqVAINXedtRoeH97ukpBhGjImt4TavjEALvi/Cw3mfUzveJUxUZwCYXMaGhjHDIpQ92i&#10;M2HlByTeffjRmchybKQdzczlrpeJUrfSmY74QmsGvG+xPlYnp2H9+FyVw/zw8lXKtSzLycf0uNf6&#10;8mK524KIuMS/MPzgMzoUzHTwJ7JB9KzVDSd5JpsEBAc2KmXn8OvIIpf/Xyi+AQAA//8DAFBLAQIt&#10;ABQABgAIAAAAIQC2gziS/gAAAOEBAAATAAAAAAAAAAAAAAAAAAAAAABbQ29udGVudF9UeXBlc10u&#10;eG1sUEsBAi0AFAAGAAgAAAAhADj9If/WAAAAlAEAAAsAAAAAAAAAAAAAAAAALwEAAF9yZWxzLy5y&#10;ZWxzUEsBAi0AFAAGAAgAAAAhAMvrmBK2AQAAtwMAAA4AAAAAAAAAAAAAAAAALgIAAGRycy9lMm9E&#10;b2MueG1sUEsBAi0AFAAGAAgAAAAhAGXGd/XdAAAACgEAAA8AAAAAAAAAAAAAAAAAEAQAAGRycy9k&#10;b3ducmV2LnhtbFBLBQYAAAAABAAEAPMAAAAaBQAAAAA=&#10;" strokecolor="black [3040]"/>
            </w:pict>
          </mc:Fallback>
        </mc:AlternateContent>
      </w:r>
      <w:r w:rsidR="00284D5C" w:rsidRPr="000E4992">
        <w:rPr>
          <w:b/>
          <w:bCs/>
          <w:spacing w:val="-6"/>
          <w:sz w:val="26"/>
          <w:szCs w:val="24"/>
        </w:rPr>
        <w:t xml:space="preserve">An Act to repeal the </w:t>
      </w:r>
      <w:r w:rsidR="00284D5C" w:rsidRPr="000E4992">
        <w:rPr>
          <w:b/>
          <w:bCs/>
          <w:i/>
          <w:iCs/>
          <w:spacing w:val="-6"/>
          <w:sz w:val="26"/>
          <w:szCs w:val="24"/>
        </w:rPr>
        <w:t xml:space="preserve">Service and Execution of Process Act </w:t>
      </w:r>
      <w:r w:rsidR="00284D5C" w:rsidRPr="000E4992">
        <w:rPr>
          <w:b/>
          <w:bCs/>
          <w:i/>
          <w:iCs/>
          <w:spacing w:val="-8"/>
          <w:sz w:val="26"/>
          <w:szCs w:val="24"/>
        </w:rPr>
        <w:t>1901</w:t>
      </w:r>
      <w:r w:rsidR="00284D5C" w:rsidRPr="00D9432E">
        <w:rPr>
          <w:b/>
          <w:bCs/>
          <w:iCs/>
          <w:spacing w:val="-8"/>
          <w:sz w:val="26"/>
          <w:szCs w:val="24"/>
        </w:rPr>
        <w:t>,</w:t>
      </w:r>
      <w:r w:rsidR="00284D5C" w:rsidRPr="000E4992">
        <w:rPr>
          <w:b/>
          <w:bCs/>
          <w:i/>
          <w:iCs/>
          <w:spacing w:val="-8"/>
          <w:sz w:val="26"/>
          <w:szCs w:val="24"/>
        </w:rPr>
        <w:t xml:space="preserve"> </w:t>
      </w:r>
      <w:r w:rsidR="00284D5C" w:rsidRPr="000E4992">
        <w:rPr>
          <w:b/>
          <w:bCs/>
          <w:spacing w:val="-8"/>
          <w:sz w:val="26"/>
          <w:szCs w:val="24"/>
        </w:rPr>
        <w:t xml:space="preserve">and to make transitional provisions and certain </w:t>
      </w:r>
      <w:r w:rsidR="00284D5C" w:rsidRPr="000E4992">
        <w:rPr>
          <w:b/>
          <w:bCs/>
          <w:spacing w:val="-9"/>
          <w:sz w:val="26"/>
          <w:szCs w:val="24"/>
        </w:rPr>
        <w:t xml:space="preserve">amendments consequential upon the enactment of the </w:t>
      </w:r>
      <w:r w:rsidR="00284D5C" w:rsidRPr="000E4992">
        <w:rPr>
          <w:b/>
          <w:bCs/>
          <w:i/>
          <w:iCs/>
          <w:spacing w:val="-6"/>
          <w:sz w:val="26"/>
          <w:szCs w:val="24"/>
        </w:rPr>
        <w:t>Service and Execution of Process Act 1992</w:t>
      </w:r>
    </w:p>
    <w:p w14:paraId="63ACB719" w14:textId="77777777" w:rsidR="00315411" w:rsidRPr="003A76F2" w:rsidRDefault="00284D5C" w:rsidP="00696293">
      <w:pPr>
        <w:shd w:val="clear" w:color="auto" w:fill="FFFFFF"/>
        <w:spacing w:before="240" w:after="240"/>
        <w:jc w:val="right"/>
        <w:rPr>
          <w:sz w:val="22"/>
          <w:szCs w:val="22"/>
        </w:rPr>
      </w:pPr>
      <w:r w:rsidRPr="003A76F2">
        <w:rPr>
          <w:spacing w:val="-2"/>
          <w:sz w:val="22"/>
          <w:szCs w:val="22"/>
        </w:rPr>
        <w:t>[</w:t>
      </w:r>
      <w:r w:rsidRPr="003A76F2">
        <w:rPr>
          <w:i/>
          <w:iCs/>
          <w:spacing w:val="-2"/>
          <w:sz w:val="22"/>
          <w:szCs w:val="22"/>
        </w:rPr>
        <w:t>Assented to 11 December 1992</w:t>
      </w:r>
      <w:r w:rsidRPr="003A76F2">
        <w:rPr>
          <w:spacing w:val="-2"/>
          <w:sz w:val="22"/>
          <w:szCs w:val="22"/>
        </w:rPr>
        <w:t>]</w:t>
      </w:r>
    </w:p>
    <w:p w14:paraId="73F9327D" w14:textId="77777777" w:rsidR="00315411" w:rsidRPr="003A76F2" w:rsidRDefault="00284D5C" w:rsidP="00696293">
      <w:pPr>
        <w:shd w:val="clear" w:color="auto" w:fill="FFFFFF"/>
        <w:spacing w:before="120"/>
        <w:ind w:left="341"/>
        <w:jc w:val="both"/>
        <w:rPr>
          <w:sz w:val="22"/>
          <w:szCs w:val="22"/>
        </w:rPr>
      </w:pPr>
      <w:r w:rsidRPr="003A76F2">
        <w:rPr>
          <w:sz w:val="22"/>
          <w:szCs w:val="22"/>
        </w:rPr>
        <w:t>The Parliament of Australia enacts:</w:t>
      </w:r>
    </w:p>
    <w:p w14:paraId="3A12E1A4" w14:textId="77777777" w:rsidR="00315411" w:rsidRPr="003A76F2" w:rsidRDefault="00284D5C" w:rsidP="00696293">
      <w:pPr>
        <w:shd w:val="clear" w:color="auto" w:fill="FFFFFF"/>
        <w:spacing w:before="120"/>
        <w:ind w:left="5"/>
        <w:jc w:val="both"/>
        <w:rPr>
          <w:sz w:val="22"/>
          <w:szCs w:val="22"/>
        </w:rPr>
      </w:pPr>
      <w:r w:rsidRPr="003A76F2">
        <w:rPr>
          <w:b/>
          <w:bCs/>
          <w:spacing w:val="-4"/>
          <w:sz w:val="22"/>
          <w:szCs w:val="22"/>
        </w:rPr>
        <w:t>Short title</w:t>
      </w:r>
    </w:p>
    <w:p w14:paraId="016730B7" w14:textId="77777777" w:rsidR="00315411" w:rsidRPr="003A76F2" w:rsidRDefault="00284D5C" w:rsidP="00696293">
      <w:pPr>
        <w:shd w:val="clear" w:color="auto" w:fill="FFFFFF"/>
        <w:tabs>
          <w:tab w:val="left" w:pos="629"/>
        </w:tabs>
        <w:spacing w:before="120"/>
        <w:ind w:left="5" w:firstLine="331"/>
        <w:jc w:val="both"/>
        <w:rPr>
          <w:sz w:val="22"/>
          <w:szCs w:val="22"/>
        </w:rPr>
      </w:pPr>
      <w:r w:rsidRPr="003A76F2">
        <w:rPr>
          <w:b/>
          <w:bCs/>
          <w:spacing w:val="-23"/>
          <w:sz w:val="22"/>
          <w:szCs w:val="22"/>
        </w:rPr>
        <w:t>1.</w:t>
      </w:r>
      <w:r w:rsidRPr="003A76F2">
        <w:rPr>
          <w:b/>
          <w:bCs/>
          <w:sz w:val="22"/>
          <w:szCs w:val="22"/>
        </w:rPr>
        <w:tab/>
      </w:r>
      <w:r w:rsidRPr="003A76F2">
        <w:rPr>
          <w:sz w:val="22"/>
          <w:szCs w:val="22"/>
        </w:rPr>
        <w:t xml:space="preserve">This Act may be cited as the </w:t>
      </w:r>
      <w:r w:rsidRPr="003A76F2">
        <w:rPr>
          <w:i/>
          <w:iCs/>
          <w:sz w:val="22"/>
          <w:szCs w:val="22"/>
        </w:rPr>
        <w:t>Service and Execution of Process</w:t>
      </w:r>
      <w:r w:rsidR="00696293" w:rsidRPr="003A76F2">
        <w:rPr>
          <w:i/>
          <w:iCs/>
          <w:sz w:val="22"/>
          <w:szCs w:val="22"/>
        </w:rPr>
        <w:t xml:space="preserve"> </w:t>
      </w:r>
      <w:r w:rsidRPr="003A76F2">
        <w:rPr>
          <w:i/>
          <w:iCs/>
          <w:sz w:val="22"/>
          <w:szCs w:val="22"/>
        </w:rPr>
        <w:t>(Transitional Provisions and Consequential Amendments) Act 1992.</w:t>
      </w:r>
    </w:p>
    <w:p w14:paraId="6EC491AD" w14:textId="77777777" w:rsidR="00315411" w:rsidRPr="003A76F2" w:rsidRDefault="00284D5C" w:rsidP="00696293">
      <w:pPr>
        <w:shd w:val="clear" w:color="auto" w:fill="FFFFFF"/>
        <w:spacing w:before="120"/>
        <w:jc w:val="both"/>
        <w:rPr>
          <w:sz w:val="22"/>
          <w:szCs w:val="22"/>
        </w:rPr>
      </w:pPr>
      <w:r w:rsidRPr="003A76F2">
        <w:rPr>
          <w:b/>
          <w:bCs/>
          <w:spacing w:val="-11"/>
          <w:sz w:val="22"/>
          <w:szCs w:val="22"/>
        </w:rPr>
        <w:t>Commencement</w:t>
      </w:r>
    </w:p>
    <w:p w14:paraId="061598B5" w14:textId="77777777" w:rsidR="00315411" w:rsidRPr="003A76F2" w:rsidRDefault="00284D5C" w:rsidP="00696293">
      <w:pPr>
        <w:shd w:val="clear" w:color="auto" w:fill="FFFFFF"/>
        <w:tabs>
          <w:tab w:val="left" w:pos="629"/>
        </w:tabs>
        <w:spacing w:before="120"/>
        <w:ind w:left="5" w:firstLine="331"/>
        <w:jc w:val="both"/>
        <w:rPr>
          <w:sz w:val="22"/>
          <w:szCs w:val="22"/>
        </w:rPr>
      </w:pPr>
      <w:r w:rsidRPr="003A76F2">
        <w:rPr>
          <w:b/>
          <w:bCs/>
          <w:spacing w:val="-13"/>
          <w:sz w:val="22"/>
          <w:szCs w:val="22"/>
        </w:rPr>
        <w:t>2.</w:t>
      </w:r>
      <w:r w:rsidRPr="003A76F2">
        <w:rPr>
          <w:b/>
          <w:bCs/>
          <w:sz w:val="22"/>
          <w:szCs w:val="22"/>
        </w:rPr>
        <w:tab/>
      </w:r>
      <w:r w:rsidRPr="003A76F2">
        <w:rPr>
          <w:sz w:val="22"/>
          <w:szCs w:val="22"/>
        </w:rPr>
        <w:t>This Act commences on the day fixed by Proclamation under</w:t>
      </w:r>
      <w:r w:rsidR="00696293" w:rsidRPr="003A76F2">
        <w:rPr>
          <w:sz w:val="22"/>
          <w:szCs w:val="22"/>
        </w:rPr>
        <w:t xml:space="preserve"> </w:t>
      </w:r>
      <w:r w:rsidRPr="003A76F2">
        <w:rPr>
          <w:sz w:val="22"/>
          <w:szCs w:val="22"/>
        </w:rPr>
        <w:t xml:space="preserve">subsection 2(4) of the </w:t>
      </w:r>
      <w:r w:rsidRPr="003A76F2">
        <w:rPr>
          <w:i/>
          <w:iCs/>
          <w:sz w:val="22"/>
          <w:szCs w:val="22"/>
        </w:rPr>
        <w:t>Service and Execution of Process Act 1992.</w:t>
      </w:r>
    </w:p>
    <w:p w14:paraId="05900457" w14:textId="77777777" w:rsidR="00315411" w:rsidRPr="003A76F2" w:rsidRDefault="00284D5C" w:rsidP="00696293">
      <w:pPr>
        <w:shd w:val="clear" w:color="auto" w:fill="FFFFFF"/>
        <w:spacing w:before="120"/>
        <w:ind w:left="10"/>
        <w:jc w:val="both"/>
        <w:rPr>
          <w:sz w:val="22"/>
          <w:szCs w:val="22"/>
        </w:rPr>
      </w:pPr>
      <w:r w:rsidRPr="003A76F2">
        <w:rPr>
          <w:b/>
          <w:bCs/>
          <w:spacing w:val="-11"/>
          <w:sz w:val="22"/>
          <w:szCs w:val="22"/>
        </w:rPr>
        <w:t>Repeal</w:t>
      </w:r>
    </w:p>
    <w:p w14:paraId="01033402" w14:textId="77777777" w:rsidR="00315411" w:rsidRPr="003A76F2" w:rsidRDefault="00284D5C" w:rsidP="00696293">
      <w:pPr>
        <w:shd w:val="clear" w:color="auto" w:fill="FFFFFF"/>
        <w:tabs>
          <w:tab w:val="left" w:pos="629"/>
        </w:tabs>
        <w:spacing w:before="120"/>
        <w:ind w:left="336"/>
        <w:jc w:val="both"/>
        <w:rPr>
          <w:sz w:val="22"/>
          <w:szCs w:val="22"/>
        </w:rPr>
      </w:pPr>
      <w:r w:rsidRPr="003A76F2">
        <w:rPr>
          <w:b/>
          <w:bCs/>
          <w:spacing w:val="-9"/>
          <w:sz w:val="22"/>
          <w:szCs w:val="22"/>
        </w:rPr>
        <w:t>3.</w:t>
      </w:r>
      <w:r w:rsidRPr="003A76F2">
        <w:rPr>
          <w:sz w:val="22"/>
          <w:szCs w:val="22"/>
        </w:rPr>
        <w:tab/>
        <w:t xml:space="preserve">The </w:t>
      </w:r>
      <w:r w:rsidRPr="003A76F2">
        <w:rPr>
          <w:i/>
          <w:iCs/>
          <w:sz w:val="22"/>
          <w:szCs w:val="22"/>
        </w:rPr>
        <w:t xml:space="preserve">Service and Execution of Process Act 1901 </w:t>
      </w:r>
      <w:r w:rsidRPr="003A76F2">
        <w:rPr>
          <w:sz w:val="22"/>
          <w:szCs w:val="22"/>
        </w:rPr>
        <w:t>is repealed.</w:t>
      </w:r>
    </w:p>
    <w:p w14:paraId="72EEDF41" w14:textId="77777777" w:rsidR="00315411" w:rsidRPr="003A76F2" w:rsidRDefault="00315411" w:rsidP="00696293">
      <w:pPr>
        <w:shd w:val="clear" w:color="auto" w:fill="FFFFFF"/>
        <w:tabs>
          <w:tab w:val="left" w:pos="629"/>
        </w:tabs>
        <w:spacing w:before="120"/>
        <w:ind w:left="336"/>
        <w:jc w:val="both"/>
        <w:rPr>
          <w:sz w:val="22"/>
          <w:szCs w:val="22"/>
        </w:rPr>
        <w:sectPr w:rsidR="00315411" w:rsidRPr="003A76F2" w:rsidSect="00F44E76">
          <w:headerReference w:type="default" r:id="rId9"/>
          <w:type w:val="continuous"/>
          <w:pgSz w:w="12240" w:h="15840" w:code="1"/>
          <w:pgMar w:top="1440" w:right="1440" w:bottom="1440" w:left="1440" w:header="720" w:footer="720" w:gutter="0"/>
          <w:cols w:space="60"/>
          <w:noEndnote/>
          <w:titlePg/>
          <w:docGrid w:linePitch="272"/>
        </w:sectPr>
      </w:pPr>
    </w:p>
    <w:p w14:paraId="50F7B919" w14:textId="77777777" w:rsidR="00315411" w:rsidRPr="003A76F2" w:rsidRDefault="00284D5C" w:rsidP="00696293">
      <w:pPr>
        <w:shd w:val="clear" w:color="auto" w:fill="FFFFFF"/>
        <w:spacing w:before="120"/>
        <w:ind w:left="14"/>
        <w:jc w:val="both"/>
        <w:rPr>
          <w:sz w:val="22"/>
          <w:szCs w:val="22"/>
        </w:rPr>
      </w:pPr>
      <w:r w:rsidRPr="003A76F2">
        <w:rPr>
          <w:b/>
          <w:bCs/>
          <w:spacing w:val="-6"/>
          <w:sz w:val="22"/>
          <w:szCs w:val="22"/>
        </w:rPr>
        <w:lastRenderedPageBreak/>
        <w:t>Transitional provisions</w:t>
      </w:r>
    </w:p>
    <w:p w14:paraId="4A84DC75" w14:textId="77777777" w:rsidR="00315411" w:rsidRPr="003A76F2" w:rsidRDefault="00284D5C" w:rsidP="00696293">
      <w:pPr>
        <w:shd w:val="clear" w:color="auto" w:fill="FFFFFF"/>
        <w:spacing w:before="120"/>
        <w:ind w:left="5" w:firstLine="336"/>
        <w:jc w:val="both"/>
        <w:rPr>
          <w:sz w:val="22"/>
          <w:szCs w:val="22"/>
        </w:rPr>
      </w:pPr>
      <w:r w:rsidRPr="003A76F2">
        <w:rPr>
          <w:b/>
          <w:bCs/>
          <w:sz w:val="22"/>
          <w:szCs w:val="22"/>
        </w:rPr>
        <w:t>4.(1)</w:t>
      </w:r>
      <w:r w:rsidRPr="003A76F2">
        <w:rPr>
          <w:sz w:val="22"/>
          <w:szCs w:val="22"/>
        </w:rPr>
        <w:t xml:space="preserve"> If a process was served under Part II of the </w:t>
      </w:r>
      <w:r w:rsidRPr="003A76F2">
        <w:rPr>
          <w:i/>
          <w:iCs/>
          <w:sz w:val="22"/>
          <w:szCs w:val="22"/>
        </w:rPr>
        <w:t xml:space="preserve">Service and Execution of Process Act 1901 </w:t>
      </w:r>
      <w:r w:rsidRPr="003A76F2">
        <w:rPr>
          <w:sz w:val="22"/>
          <w:szCs w:val="22"/>
        </w:rPr>
        <w:t xml:space="preserve">before this Act commenced, that Part and any rules or regulations relating to the operation of that Part continue to apply with respect to the process, and any action taken in connection with the process, as if the </w:t>
      </w:r>
      <w:r w:rsidRPr="003A76F2">
        <w:rPr>
          <w:i/>
          <w:iCs/>
          <w:sz w:val="22"/>
          <w:szCs w:val="22"/>
        </w:rPr>
        <w:t xml:space="preserve">Service and Execution of Process Act 1901 </w:t>
      </w:r>
      <w:r w:rsidRPr="003A76F2">
        <w:rPr>
          <w:sz w:val="22"/>
          <w:szCs w:val="22"/>
        </w:rPr>
        <w:t>had not been repealed.</w:t>
      </w:r>
    </w:p>
    <w:p w14:paraId="660A4F51" w14:textId="77777777" w:rsidR="00315411" w:rsidRPr="003A76F2" w:rsidRDefault="00284D5C" w:rsidP="00696293">
      <w:pPr>
        <w:shd w:val="clear" w:color="auto" w:fill="FFFFFF"/>
        <w:tabs>
          <w:tab w:val="left" w:pos="749"/>
        </w:tabs>
        <w:spacing w:before="120"/>
        <w:ind w:left="350"/>
        <w:jc w:val="both"/>
        <w:rPr>
          <w:sz w:val="22"/>
          <w:szCs w:val="22"/>
        </w:rPr>
      </w:pPr>
      <w:r w:rsidRPr="003A76F2">
        <w:rPr>
          <w:b/>
          <w:bCs/>
          <w:spacing w:val="-5"/>
          <w:sz w:val="22"/>
          <w:szCs w:val="22"/>
        </w:rPr>
        <w:t>(2)</w:t>
      </w:r>
      <w:r w:rsidRPr="003A76F2">
        <w:rPr>
          <w:sz w:val="22"/>
          <w:szCs w:val="22"/>
        </w:rPr>
        <w:tab/>
        <w:t>If, before this Act commenced:</w:t>
      </w:r>
    </w:p>
    <w:p w14:paraId="3491B5F6" w14:textId="3A67666A" w:rsidR="00315411" w:rsidRPr="003A76F2" w:rsidRDefault="00284D5C" w:rsidP="00696293">
      <w:pPr>
        <w:numPr>
          <w:ilvl w:val="0"/>
          <w:numId w:val="1"/>
        </w:numPr>
        <w:shd w:val="clear" w:color="auto" w:fill="FFFFFF"/>
        <w:tabs>
          <w:tab w:val="left" w:pos="792"/>
        </w:tabs>
        <w:spacing w:before="120"/>
        <w:ind w:left="792" w:hanging="389"/>
        <w:jc w:val="both"/>
        <w:rPr>
          <w:spacing w:val="-4"/>
          <w:sz w:val="22"/>
          <w:szCs w:val="22"/>
        </w:rPr>
      </w:pPr>
      <w:r w:rsidRPr="003A76F2">
        <w:rPr>
          <w:sz w:val="22"/>
          <w:szCs w:val="22"/>
        </w:rPr>
        <w:t xml:space="preserve">a warrant was endorsed under section 18 of the </w:t>
      </w:r>
      <w:r w:rsidRPr="003A76F2">
        <w:rPr>
          <w:i/>
          <w:iCs/>
          <w:sz w:val="22"/>
          <w:szCs w:val="22"/>
        </w:rPr>
        <w:t>Service and Execution of Process Act 1901</w:t>
      </w:r>
      <w:r w:rsidRPr="00D9432E">
        <w:rPr>
          <w:iCs/>
          <w:sz w:val="22"/>
          <w:szCs w:val="22"/>
        </w:rPr>
        <w:t>;</w:t>
      </w:r>
      <w:r w:rsidRPr="003A76F2">
        <w:rPr>
          <w:i/>
          <w:iCs/>
          <w:sz w:val="22"/>
          <w:szCs w:val="22"/>
        </w:rPr>
        <w:t xml:space="preserve"> </w:t>
      </w:r>
      <w:r w:rsidRPr="003A76F2">
        <w:rPr>
          <w:sz w:val="22"/>
          <w:szCs w:val="22"/>
        </w:rPr>
        <w:t>or</w:t>
      </w:r>
    </w:p>
    <w:p w14:paraId="54FE688C" w14:textId="77777777" w:rsidR="00315411" w:rsidRPr="003A76F2" w:rsidRDefault="00284D5C" w:rsidP="00696293">
      <w:pPr>
        <w:numPr>
          <w:ilvl w:val="0"/>
          <w:numId w:val="1"/>
        </w:numPr>
        <w:shd w:val="clear" w:color="auto" w:fill="FFFFFF"/>
        <w:tabs>
          <w:tab w:val="left" w:pos="792"/>
        </w:tabs>
        <w:spacing w:before="120"/>
        <w:ind w:left="792" w:hanging="389"/>
        <w:jc w:val="both"/>
        <w:rPr>
          <w:spacing w:val="-5"/>
          <w:sz w:val="22"/>
          <w:szCs w:val="22"/>
        </w:rPr>
      </w:pPr>
      <w:r w:rsidRPr="003A76F2">
        <w:rPr>
          <w:sz w:val="22"/>
          <w:szCs w:val="22"/>
        </w:rPr>
        <w:t>a provisional warrant was issued under section 19A of that Act; or</w:t>
      </w:r>
    </w:p>
    <w:p w14:paraId="3EFD95F5" w14:textId="77777777" w:rsidR="00315411" w:rsidRPr="003A76F2" w:rsidRDefault="00284D5C" w:rsidP="00696293">
      <w:pPr>
        <w:numPr>
          <w:ilvl w:val="0"/>
          <w:numId w:val="1"/>
        </w:numPr>
        <w:shd w:val="clear" w:color="auto" w:fill="FFFFFF"/>
        <w:tabs>
          <w:tab w:val="left" w:pos="792"/>
        </w:tabs>
        <w:spacing w:before="120"/>
        <w:ind w:left="403"/>
        <w:jc w:val="both"/>
        <w:rPr>
          <w:spacing w:val="-7"/>
          <w:sz w:val="22"/>
          <w:szCs w:val="22"/>
        </w:rPr>
      </w:pPr>
      <w:r w:rsidRPr="003A76F2">
        <w:rPr>
          <w:sz w:val="22"/>
          <w:szCs w:val="22"/>
        </w:rPr>
        <w:t>leave was given under section 19C of that Act;</w:t>
      </w:r>
    </w:p>
    <w:p w14:paraId="216E9C57" w14:textId="77777777" w:rsidR="00315411" w:rsidRPr="003A76F2" w:rsidRDefault="00284D5C" w:rsidP="00696293">
      <w:pPr>
        <w:shd w:val="clear" w:color="auto" w:fill="FFFFFF"/>
        <w:spacing w:before="120"/>
        <w:ind w:left="19"/>
        <w:jc w:val="both"/>
        <w:rPr>
          <w:sz w:val="22"/>
          <w:szCs w:val="22"/>
        </w:rPr>
      </w:pPr>
      <w:r w:rsidRPr="003A76F2">
        <w:rPr>
          <w:sz w:val="22"/>
          <w:szCs w:val="22"/>
        </w:rPr>
        <w:t xml:space="preserve">Part III of that </w:t>
      </w:r>
      <w:r w:rsidRPr="003A76F2">
        <w:rPr>
          <w:sz w:val="22"/>
          <w:szCs w:val="22"/>
          <w:lang w:val="de-DE"/>
        </w:rPr>
        <w:t xml:space="preserve">Act </w:t>
      </w:r>
      <w:r w:rsidRPr="003A76F2">
        <w:rPr>
          <w:sz w:val="22"/>
          <w:szCs w:val="22"/>
        </w:rPr>
        <w:t>and any rules or regulations relating to the operation of that Part continue to apply with respect to the warrant, provisional warrant or leave, and any action taken in connection with the warrant, provisional warrant or leave, as if that Act had not been repealed.</w:t>
      </w:r>
    </w:p>
    <w:p w14:paraId="2B708242" w14:textId="77777777" w:rsidR="00315411" w:rsidRPr="003A76F2" w:rsidRDefault="00284D5C" w:rsidP="00696293">
      <w:pPr>
        <w:shd w:val="clear" w:color="auto" w:fill="FFFFFF"/>
        <w:tabs>
          <w:tab w:val="left" w:pos="749"/>
        </w:tabs>
        <w:spacing w:before="120"/>
        <w:ind w:left="350"/>
        <w:jc w:val="both"/>
        <w:rPr>
          <w:sz w:val="22"/>
          <w:szCs w:val="22"/>
        </w:rPr>
      </w:pPr>
      <w:r w:rsidRPr="003A76F2">
        <w:rPr>
          <w:b/>
          <w:bCs/>
          <w:spacing w:val="-5"/>
          <w:sz w:val="22"/>
          <w:szCs w:val="22"/>
        </w:rPr>
        <w:t>(3)</w:t>
      </w:r>
      <w:r w:rsidRPr="003A76F2">
        <w:rPr>
          <w:sz w:val="22"/>
          <w:szCs w:val="22"/>
        </w:rPr>
        <w:tab/>
        <w:t>If, before this Act commenced:</w:t>
      </w:r>
    </w:p>
    <w:p w14:paraId="1641F0DA" w14:textId="77777777" w:rsidR="00315411" w:rsidRPr="003A76F2" w:rsidRDefault="00284D5C" w:rsidP="00696293">
      <w:pPr>
        <w:numPr>
          <w:ilvl w:val="0"/>
          <w:numId w:val="2"/>
        </w:numPr>
        <w:shd w:val="clear" w:color="auto" w:fill="FFFFFF"/>
        <w:tabs>
          <w:tab w:val="left" w:pos="792"/>
        </w:tabs>
        <w:spacing w:before="120"/>
        <w:ind w:left="792" w:hanging="389"/>
        <w:jc w:val="both"/>
        <w:rPr>
          <w:spacing w:val="-6"/>
          <w:sz w:val="22"/>
          <w:szCs w:val="22"/>
        </w:rPr>
      </w:pPr>
      <w:r w:rsidRPr="003A76F2">
        <w:rPr>
          <w:sz w:val="22"/>
          <w:szCs w:val="22"/>
        </w:rPr>
        <w:t xml:space="preserve">leave was given under section 19M of the </w:t>
      </w:r>
      <w:r w:rsidRPr="003A76F2">
        <w:rPr>
          <w:i/>
          <w:iCs/>
          <w:sz w:val="22"/>
          <w:szCs w:val="22"/>
        </w:rPr>
        <w:t xml:space="preserve">Service and Execution of Process Act 1901 </w:t>
      </w:r>
      <w:r w:rsidRPr="003A76F2">
        <w:rPr>
          <w:sz w:val="22"/>
          <w:szCs w:val="22"/>
        </w:rPr>
        <w:t>in relation to a subpoena; or</w:t>
      </w:r>
    </w:p>
    <w:p w14:paraId="7AC18A9F" w14:textId="77777777" w:rsidR="00315411" w:rsidRPr="003A76F2" w:rsidRDefault="00284D5C" w:rsidP="00696293">
      <w:pPr>
        <w:numPr>
          <w:ilvl w:val="0"/>
          <w:numId w:val="2"/>
        </w:numPr>
        <w:shd w:val="clear" w:color="auto" w:fill="FFFFFF"/>
        <w:tabs>
          <w:tab w:val="left" w:pos="792"/>
        </w:tabs>
        <w:spacing w:before="120"/>
        <w:ind w:left="403"/>
        <w:jc w:val="both"/>
        <w:rPr>
          <w:spacing w:val="-6"/>
          <w:sz w:val="22"/>
          <w:szCs w:val="22"/>
        </w:rPr>
      </w:pPr>
      <w:r w:rsidRPr="003A76F2">
        <w:rPr>
          <w:sz w:val="22"/>
          <w:szCs w:val="22"/>
        </w:rPr>
        <w:t>an order was made under section 19T of that Act; or</w:t>
      </w:r>
    </w:p>
    <w:p w14:paraId="6DEFF523" w14:textId="77777777" w:rsidR="00315411" w:rsidRPr="003A76F2" w:rsidRDefault="00284D5C" w:rsidP="00696293">
      <w:pPr>
        <w:numPr>
          <w:ilvl w:val="0"/>
          <w:numId w:val="2"/>
        </w:numPr>
        <w:shd w:val="clear" w:color="auto" w:fill="FFFFFF"/>
        <w:tabs>
          <w:tab w:val="left" w:pos="792"/>
        </w:tabs>
        <w:spacing w:before="120"/>
        <w:ind w:left="792" w:hanging="389"/>
        <w:jc w:val="both"/>
        <w:rPr>
          <w:spacing w:val="-9"/>
          <w:sz w:val="22"/>
          <w:szCs w:val="22"/>
        </w:rPr>
      </w:pPr>
      <w:r w:rsidRPr="003A76F2">
        <w:rPr>
          <w:sz w:val="22"/>
          <w:szCs w:val="22"/>
        </w:rPr>
        <w:t>a warrant to which Division 4 of Part 3A of that Act applies was issued;</w:t>
      </w:r>
    </w:p>
    <w:p w14:paraId="299C37D4" w14:textId="77777777" w:rsidR="00315411" w:rsidRPr="003A76F2" w:rsidRDefault="00284D5C" w:rsidP="00696293">
      <w:pPr>
        <w:shd w:val="clear" w:color="auto" w:fill="FFFFFF"/>
        <w:spacing w:before="120"/>
        <w:ind w:left="19"/>
        <w:jc w:val="both"/>
        <w:rPr>
          <w:sz w:val="22"/>
          <w:szCs w:val="22"/>
        </w:rPr>
      </w:pPr>
      <w:r w:rsidRPr="003A76F2">
        <w:rPr>
          <w:sz w:val="22"/>
          <w:szCs w:val="22"/>
        </w:rPr>
        <w:t>Part IIIA of that Act and any rules or regulations relating to the operation of that Part continue to apply with respect to the subpoena, order or warrant, and any action taken in connection with the subpoena, order or warrant, as if that Act had not been repealed.</w:t>
      </w:r>
    </w:p>
    <w:p w14:paraId="69167A15" w14:textId="77777777" w:rsidR="00315411" w:rsidRPr="003A76F2" w:rsidRDefault="00284D5C" w:rsidP="00696293">
      <w:pPr>
        <w:numPr>
          <w:ilvl w:val="0"/>
          <w:numId w:val="3"/>
        </w:numPr>
        <w:shd w:val="clear" w:color="auto" w:fill="FFFFFF"/>
        <w:tabs>
          <w:tab w:val="left" w:pos="749"/>
        </w:tabs>
        <w:spacing w:before="120"/>
        <w:ind w:firstLine="350"/>
        <w:jc w:val="both"/>
        <w:rPr>
          <w:b/>
          <w:bCs/>
          <w:spacing w:val="-5"/>
          <w:sz w:val="22"/>
          <w:szCs w:val="22"/>
        </w:rPr>
      </w:pPr>
      <w:r w:rsidRPr="003A76F2">
        <w:rPr>
          <w:sz w:val="22"/>
          <w:szCs w:val="22"/>
        </w:rPr>
        <w:t xml:space="preserve">If a certificate of judgment was registered under section 21 of the </w:t>
      </w:r>
      <w:r w:rsidRPr="003A76F2">
        <w:rPr>
          <w:i/>
          <w:iCs/>
          <w:sz w:val="22"/>
          <w:szCs w:val="22"/>
        </w:rPr>
        <w:t xml:space="preserve">Service and Execution of Process Act 1901 </w:t>
      </w:r>
      <w:r w:rsidRPr="003A76F2">
        <w:rPr>
          <w:sz w:val="22"/>
          <w:szCs w:val="22"/>
        </w:rPr>
        <w:t>before this Act commenced, Part IV of that Act and any rules or regulations relating to the operation of that Part continue to apply with respect to the judgment, and any action taken in connection with the judgment, as if that Act had not been repealed.</w:t>
      </w:r>
    </w:p>
    <w:p w14:paraId="1E566F11" w14:textId="77777777" w:rsidR="00315411" w:rsidRPr="003A76F2" w:rsidRDefault="00284D5C" w:rsidP="00696293">
      <w:pPr>
        <w:numPr>
          <w:ilvl w:val="0"/>
          <w:numId w:val="3"/>
        </w:numPr>
        <w:shd w:val="clear" w:color="auto" w:fill="FFFFFF"/>
        <w:tabs>
          <w:tab w:val="left" w:pos="749"/>
        </w:tabs>
        <w:spacing w:before="120"/>
        <w:ind w:firstLine="350"/>
        <w:jc w:val="both"/>
        <w:rPr>
          <w:b/>
          <w:bCs/>
          <w:spacing w:val="-5"/>
          <w:sz w:val="22"/>
          <w:szCs w:val="22"/>
        </w:rPr>
      </w:pPr>
      <w:r w:rsidRPr="003A76F2">
        <w:rPr>
          <w:sz w:val="22"/>
          <w:szCs w:val="22"/>
        </w:rPr>
        <w:t xml:space="preserve">If a warrant was issued under section 26D of the </w:t>
      </w:r>
      <w:r w:rsidRPr="003A76F2">
        <w:rPr>
          <w:i/>
          <w:iCs/>
          <w:sz w:val="22"/>
          <w:szCs w:val="22"/>
        </w:rPr>
        <w:t xml:space="preserve">Service and Execution of Process Act 1901 </w:t>
      </w:r>
      <w:r w:rsidRPr="003A76F2">
        <w:rPr>
          <w:sz w:val="22"/>
          <w:szCs w:val="22"/>
        </w:rPr>
        <w:t xml:space="preserve">before this Act commenced, Part </w:t>
      </w:r>
      <w:r w:rsidRPr="003A76F2">
        <w:rPr>
          <w:sz w:val="22"/>
          <w:szCs w:val="22"/>
          <w:lang w:val="de-DE"/>
        </w:rPr>
        <w:t xml:space="preserve">IVA </w:t>
      </w:r>
      <w:r w:rsidRPr="003A76F2">
        <w:rPr>
          <w:sz w:val="22"/>
          <w:szCs w:val="22"/>
        </w:rPr>
        <w:t>of that Act and any rules or regulations relating to the operation of that Part continue to apply with respect to the warrant, and any action taken in connection with the warrant, as if that Act had not been repealed.</w:t>
      </w:r>
    </w:p>
    <w:p w14:paraId="74EFA72E" w14:textId="77777777" w:rsidR="00315411" w:rsidRPr="003A76F2" w:rsidRDefault="00284D5C" w:rsidP="00696293">
      <w:pPr>
        <w:numPr>
          <w:ilvl w:val="0"/>
          <w:numId w:val="3"/>
        </w:numPr>
        <w:shd w:val="clear" w:color="auto" w:fill="FFFFFF"/>
        <w:tabs>
          <w:tab w:val="left" w:pos="749"/>
        </w:tabs>
        <w:spacing w:before="120"/>
        <w:ind w:left="350"/>
        <w:jc w:val="both"/>
        <w:rPr>
          <w:b/>
          <w:bCs/>
          <w:spacing w:val="-5"/>
          <w:sz w:val="22"/>
          <w:szCs w:val="22"/>
        </w:rPr>
      </w:pPr>
      <w:r w:rsidRPr="003A76F2">
        <w:rPr>
          <w:sz w:val="22"/>
          <w:szCs w:val="22"/>
        </w:rPr>
        <w:t>In this section:</w:t>
      </w:r>
    </w:p>
    <w:p w14:paraId="28ED7EE8" w14:textId="77777777" w:rsidR="00315411" w:rsidRPr="003A76F2" w:rsidRDefault="0032279F" w:rsidP="00696293">
      <w:pPr>
        <w:shd w:val="clear" w:color="auto" w:fill="FFFFFF"/>
        <w:spacing w:before="120"/>
        <w:ind w:left="38"/>
        <w:jc w:val="both"/>
        <w:rPr>
          <w:sz w:val="22"/>
          <w:szCs w:val="22"/>
        </w:rPr>
      </w:pPr>
      <w:r w:rsidRPr="003A76F2">
        <w:rPr>
          <w:b/>
          <w:bCs/>
          <w:sz w:val="22"/>
          <w:szCs w:val="22"/>
        </w:rPr>
        <w:t>“</w:t>
      </w:r>
      <w:r w:rsidR="00284D5C" w:rsidRPr="003A76F2">
        <w:rPr>
          <w:b/>
          <w:bCs/>
          <w:sz w:val="22"/>
          <w:szCs w:val="22"/>
        </w:rPr>
        <w:t>regulations</w:t>
      </w:r>
      <w:r w:rsidRPr="003A76F2">
        <w:rPr>
          <w:b/>
          <w:bCs/>
          <w:sz w:val="22"/>
          <w:szCs w:val="22"/>
        </w:rPr>
        <w:t>”</w:t>
      </w:r>
      <w:r w:rsidR="00284D5C" w:rsidRPr="003A76F2">
        <w:rPr>
          <w:b/>
          <w:bCs/>
          <w:sz w:val="22"/>
          <w:szCs w:val="22"/>
        </w:rPr>
        <w:t xml:space="preserve"> </w:t>
      </w:r>
      <w:r w:rsidR="00284D5C" w:rsidRPr="003A76F2">
        <w:rPr>
          <w:sz w:val="22"/>
          <w:szCs w:val="22"/>
        </w:rPr>
        <w:t xml:space="preserve">means the regulations made under section 28 of the </w:t>
      </w:r>
      <w:r w:rsidR="00284D5C" w:rsidRPr="003A76F2">
        <w:rPr>
          <w:i/>
          <w:iCs/>
          <w:spacing w:val="-3"/>
          <w:sz w:val="22"/>
          <w:szCs w:val="22"/>
        </w:rPr>
        <w:t xml:space="preserve">Service and Execution of Process Act 1901 </w:t>
      </w:r>
      <w:r w:rsidR="00284D5C" w:rsidRPr="003A76F2">
        <w:rPr>
          <w:spacing w:val="-3"/>
          <w:sz w:val="22"/>
          <w:szCs w:val="22"/>
        </w:rPr>
        <w:t xml:space="preserve">that were in force immediately </w:t>
      </w:r>
      <w:r w:rsidR="00284D5C" w:rsidRPr="003A76F2">
        <w:rPr>
          <w:sz w:val="22"/>
          <w:szCs w:val="22"/>
        </w:rPr>
        <w:t>before this Act commenced;</w:t>
      </w:r>
    </w:p>
    <w:p w14:paraId="3A2A530A" w14:textId="77777777" w:rsidR="00315411" w:rsidRPr="003A76F2" w:rsidRDefault="00315411" w:rsidP="00696293">
      <w:pPr>
        <w:shd w:val="clear" w:color="auto" w:fill="FFFFFF"/>
        <w:spacing w:before="120"/>
        <w:ind w:left="38"/>
        <w:jc w:val="both"/>
        <w:rPr>
          <w:sz w:val="22"/>
          <w:szCs w:val="22"/>
        </w:rPr>
        <w:sectPr w:rsidR="00315411" w:rsidRPr="003A76F2" w:rsidSect="00696293">
          <w:pgSz w:w="12240" w:h="15840" w:code="1"/>
          <w:pgMar w:top="1440" w:right="1440" w:bottom="1440" w:left="1440" w:header="720" w:footer="720" w:gutter="0"/>
          <w:cols w:space="60"/>
          <w:noEndnote/>
        </w:sectPr>
      </w:pPr>
    </w:p>
    <w:p w14:paraId="04C0686C" w14:textId="77777777" w:rsidR="00315411" w:rsidRPr="003A76F2" w:rsidRDefault="00161788" w:rsidP="00696293">
      <w:pPr>
        <w:shd w:val="clear" w:color="auto" w:fill="FFFFFF"/>
        <w:spacing w:before="120"/>
        <w:ind w:left="34"/>
        <w:jc w:val="both"/>
        <w:rPr>
          <w:sz w:val="22"/>
          <w:szCs w:val="22"/>
        </w:rPr>
      </w:pPr>
      <w:r w:rsidRPr="003A76F2">
        <w:rPr>
          <w:b/>
          <w:bCs/>
          <w:sz w:val="22"/>
          <w:szCs w:val="22"/>
        </w:rPr>
        <w:lastRenderedPageBreak/>
        <w:t xml:space="preserve"> </w:t>
      </w:r>
      <w:r w:rsidR="0032279F" w:rsidRPr="003A76F2">
        <w:rPr>
          <w:b/>
          <w:bCs/>
          <w:sz w:val="22"/>
          <w:szCs w:val="22"/>
        </w:rPr>
        <w:t>“</w:t>
      </w:r>
      <w:r w:rsidR="00284D5C" w:rsidRPr="003A76F2">
        <w:rPr>
          <w:b/>
          <w:bCs/>
          <w:sz w:val="22"/>
          <w:szCs w:val="22"/>
        </w:rPr>
        <w:t>rules</w:t>
      </w:r>
      <w:r w:rsidR="0032279F" w:rsidRPr="003A76F2">
        <w:rPr>
          <w:b/>
          <w:bCs/>
          <w:sz w:val="22"/>
          <w:szCs w:val="22"/>
        </w:rPr>
        <w:t>”</w:t>
      </w:r>
      <w:r w:rsidR="00284D5C" w:rsidRPr="003A76F2">
        <w:rPr>
          <w:b/>
          <w:bCs/>
          <w:sz w:val="22"/>
          <w:szCs w:val="22"/>
        </w:rPr>
        <w:t xml:space="preserve"> </w:t>
      </w:r>
      <w:r w:rsidR="00284D5C" w:rsidRPr="003A76F2">
        <w:rPr>
          <w:sz w:val="22"/>
          <w:szCs w:val="22"/>
        </w:rPr>
        <w:t xml:space="preserve">means the rules of court made under section 27 of the </w:t>
      </w:r>
      <w:r w:rsidR="00284D5C" w:rsidRPr="003A76F2">
        <w:rPr>
          <w:i/>
          <w:iCs/>
          <w:sz w:val="22"/>
          <w:szCs w:val="22"/>
        </w:rPr>
        <w:t xml:space="preserve">Service and Execution of Process Act 1901 </w:t>
      </w:r>
      <w:r w:rsidR="00284D5C" w:rsidRPr="003A76F2">
        <w:rPr>
          <w:sz w:val="22"/>
          <w:szCs w:val="22"/>
        </w:rPr>
        <w:t>that were in force immediately before this Act commenced.</w:t>
      </w:r>
    </w:p>
    <w:p w14:paraId="6472BD24" w14:textId="77777777" w:rsidR="00315411" w:rsidRPr="003A76F2" w:rsidRDefault="00284D5C" w:rsidP="00696293">
      <w:pPr>
        <w:shd w:val="clear" w:color="auto" w:fill="FFFFFF"/>
        <w:spacing w:before="120"/>
        <w:ind w:left="29"/>
        <w:rPr>
          <w:sz w:val="22"/>
          <w:szCs w:val="22"/>
        </w:rPr>
      </w:pPr>
      <w:r w:rsidRPr="003A76F2">
        <w:rPr>
          <w:b/>
          <w:bCs/>
          <w:spacing w:val="-6"/>
          <w:sz w:val="22"/>
          <w:szCs w:val="22"/>
        </w:rPr>
        <w:t>Consequential amendments of other Acts</w:t>
      </w:r>
    </w:p>
    <w:p w14:paraId="20CEF9FA" w14:textId="77777777" w:rsidR="00315411" w:rsidRPr="003A76F2" w:rsidRDefault="00284D5C" w:rsidP="00696293">
      <w:pPr>
        <w:shd w:val="clear" w:color="auto" w:fill="FFFFFF"/>
        <w:spacing w:before="120"/>
        <w:ind w:left="34" w:firstLine="331"/>
        <w:rPr>
          <w:sz w:val="22"/>
          <w:szCs w:val="22"/>
        </w:rPr>
      </w:pPr>
      <w:r w:rsidRPr="003A76F2">
        <w:rPr>
          <w:b/>
          <w:bCs/>
          <w:sz w:val="22"/>
          <w:szCs w:val="22"/>
        </w:rPr>
        <w:t xml:space="preserve">5. </w:t>
      </w:r>
      <w:r w:rsidRPr="003A76F2">
        <w:rPr>
          <w:sz w:val="22"/>
          <w:szCs w:val="22"/>
        </w:rPr>
        <w:t>The Acts specified in the Schedule are amended as set out in the Schedule.</w:t>
      </w:r>
    </w:p>
    <w:p w14:paraId="3F58B4E0" w14:textId="75F07834" w:rsidR="00315411" w:rsidRPr="003A76F2" w:rsidRDefault="00284D5C" w:rsidP="00161788">
      <w:pPr>
        <w:shd w:val="clear" w:color="auto" w:fill="FFFFFF"/>
        <w:tabs>
          <w:tab w:val="left" w:pos="4770"/>
        </w:tabs>
        <w:spacing w:before="120"/>
        <w:jc w:val="right"/>
        <w:rPr>
          <w:sz w:val="22"/>
          <w:szCs w:val="22"/>
        </w:rPr>
      </w:pPr>
      <w:r w:rsidRPr="003A76F2">
        <w:rPr>
          <w:b/>
          <w:bCs/>
          <w:sz w:val="22"/>
          <w:szCs w:val="22"/>
        </w:rPr>
        <w:t>SCHEDULE</w:t>
      </w:r>
      <w:r w:rsidRPr="003A76F2">
        <w:rPr>
          <w:sz w:val="22"/>
          <w:szCs w:val="22"/>
        </w:rPr>
        <w:tab/>
      </w:r>
      <w:r w:rsidRPr="00D9432E">
        <w:rPr>
          <w:sz w:val="22"/>
          <w:szCs w:val="22"/>
        </w:rPr>
        <w:t>Section 5</w:t>
      </w:r>
    </w:p>
    <w:p w14:paraId="491FD309" w14:textId="77777777" w:rsidR="00696293" w:rsidRPr="003A76F2" w:rsidRDefault="00284D5C" w:rsidP="00696293">
      <w:pPr>
        <w:widowControl/>
        <w:shd w:val="clear" w:color="auto" w:fill="FFFFFF"/>
        <w:spacing w:before="60" w:after="60"/>
        <w:jc w:val="center"/>
        <w:rPr>
          <w:sz w:val="22"/>
          <w:szCs w:val="22"/>
        </w:rPr>
      </w:pPr>
      <w:r w:rsidRPr="003A76F2">
        <w:rPr>
          <w:sz w:val="22"/>
          <w:szCs w:val="22"/>
        </w:rPr>
        <w:t>CONSEQUENTIAL AMENDMENTS OF OTHER ACTS</w:t>
      </w:r>
    </w:p>
    <w:p w14:paraId="64EFDC0E" w14:textId="77777777" w:rsidR="00315411" w:rsidRPr="003A76F2" w:rsidRDefault="00284D5C" w:rsidP="00696293">
      <w:pPr>
        <w:widowControl/>
        <w:shd w:val="clear" w:color="auto" w:fill="FFFFFF"/>
        <w:spacing w:before="60" w:after="60"/>
        <w:jc w:val="center"/>
        <w:rPr>
          <w:sz w:val="22"/>
          <w:szCs w:val="22"/>
        </w:rPr>
      </w:pPr>
      <w:r w:rsidRPr="003A76F2">
        <w:rPr>
          <w:b/>
          <w:bCs/>
          <w:i/>
          <w:iCs/>
          <w:sz w:val="22"/>
          <w:szCs w:val="22"/>
        </w:rPr>
        <w:t>Admiralty Act 1988</w:t>
      </w:r>
    </w:p>
    <w:p w14:paraId="60D9F27B" w14:textId="77777777" w:rsidR="00315411" w:rsidRPr="003A76F2" w:rsidRDefault="00284D5C" w:rsidP="00696293">
      <w:pPr>
        <w:shd w:val="clear" w:color="auto" w:fill="FFFFFF"/>
        <w:spacing w:before="120"/>
        <w:ind w:left="24"/>
        <w:rPr>
          <w:sz w:val="22"/>
          <w:szCs w:val="22"/>
        </w:rPr>
      </w:pPr>
      <w:r w:rsidRPr="003A76F2">
        <w:rPr>
          <w:b/>
          <w:bCs/>
          <w:spacing w:val="-5"/>
          <w:sz w:val="22"/>
          <w:szCs w:val="22"/>
        </w:rPr>
        <w:t>Section 23:</w:t>
      </w:r>
    </w:p>
    <w:p w14:paraId="24383A04" w14:textId="0B8DAEAC" w:rsidR="00315411" w:rsidRPr="003A76F2" w:rsidRDefault="00284D5C" w:rsidP="00696293">
      <w:pPr>
        <w:shd w:val="clear" w:color="auto" w:fill="FFFFFF"/>
        <w:spacing w:before="120"/>
        <w:ind w:left="24" w:firstLine="331"/>
        <w:rPr>
          <w:sz w:val="22"/>
          <w:szCs w:val="22"/>
        </w:rPr>
      </w:pPr>
      <w:r w:rsidRPr="003A76F2">
        <w:rPr>
          <w:spacing w:val="-1"/>
          <w:sz w:val="22"/>
          <w:szCs w:val="22"/>
        </w:rPr>
        <w:t xml:space="preserve">Omit </w:t>
      </w:r>
      <w:r w:rsidR="0032279F" w:rsidRPr="00D9432E">
        <w:rPr>
          <w:iCs/>
          <w:spacing w:val="-1"/>
          <w:sz w:val="22"/>
          <w:szCs w:val="22"/>
        </w:rPr>
        <w:t>“</w:t>
      </w:r>
      <w:r w:rsidRPr="003A76F2">
        <w:rPr>
          <w:i/>
          <w:iCs/>
          <w:spacing w:val="-1"/>
          <w:sz w:val="22"/>
          <w:szCs w:val="22"/>
        </w:rPr>
        <w:t>Service and Execution of Process Act 1901</w:t>
      </w:r>
      <w:r w:rsidR="0032279F" w:rsidRPr="00D9432E">
        <w:rPr>
          <w:iCs/>
          <w:spacing w:val="-1"/>
          <w:sz w:val="22"/>
          <w:szCs w:val="22"/>
        </w:rPr>
        <w:t>”</w:t>
      </w:r>
      <w:r w:rsidRPr="00D9432E">
        <w:rPr>
          <w:iCs/>
          <w:spacing w:val="-1"/>
          <w:sz w:val="22"/>
          <w:szCs w:val="22"/>
        </w:rPr>
        <w:t>,</w:t>
      </w:r>
      <w:r w:rsidRPr="003A76F2">
        <w:rPr>
          <w:i/>
          <w:iCs/>
          <w:spacing w:val="-1"/>
          <w:sz w:val="22"/>
          <w:szCs w:val="22"/>
        </w:rPr>
        <w:t xml:space="preserve"> </w:t>
      </w:r>
      <w:r w:rsidRPr="003A76F2">
        <w:rPr>
          <w:spacing w:val="-1"/>
          <w:sz w:val="22"/>
          <w:szCs w:val="22"/>
        </w:rPr>
        <w:t xml:space="preserve">substitute </w:t>
      </w:r>
      <w:r w:rsidR="0032279F" w:rsidRPr="00D9432E">
        <w:rPr>
          <w:iCs/>
          <w:spacing w:val="-1"/>
          <w:sz w:val="22"/>
          <w:szCs w:val="22"/>
        </w:rPr>
        <w:t>“</w:t>
      </w:r>
      <w:r w:rsidRPr="003A76F2">
        <w:rPr>
          <w:i/>
          <w:iCs/>
          <w:spacing w:val="-1"/>
          <w:sz w:val="22"/>
          <w:szCs w:val="22"/>
        </w:rPr>
        <w:t xml:space="preserve">Service </w:t>
      </w:r>
      <w:r w:rsidRPr="003A76F2">
        <w:rPr>
          <w:i/>
          <w:iCs/>
          <w:sz w:val="22"/>
          <w:szCs w:val="22"/>
        </w:rPr>
        <w:t>and Execution of Process Act 1992</w:t>
      </w:r>
      <w:r w:rsidR="0032279F" w:rsidRPr="00D9432E">
        <w:rPr>
          <w:iCs/>
          <w:sz w:val="22"/>
          <w:szCs w:val="22"/>
        </w:rPr>
        <w:t>”</w:t>
      </w:r>
      <w:r w:rsidRPr="003A76F2">
        <w:rPr>
          <w:i/>
          <w:iCs/>
          <w:sz w:val="22"/>
          <w:szCs w:val="22"/>
        </w:rPr>
        <w:t>.</w:t>
      </w:r>
    </w:p>
    <w:p w14:paraId="1C16836C" w14:textId="77777777" w:rsidR="00315411" w:rsidRPr="003A76F2" w:rsidRDefault="00284D5C" w:rsidP="00696293">
      <w:pPr>
        <w:widowControl/>
        <w:shd w:val="clear" w:color="auto" w:fill="FFFFFF"/>
        <w:spacing w:before="120" w:after="120"/>
        <w:jc w:val="center"/>
        <w:rPr>
          <w:sz w:val="22"/>
          <w:szCs w:val="22"/>
        </w:rPr>
      </w:pPr>
      <w:r w:rsidRPr="003A76F2">
        <w:rPr>
          <w:b/>
          <w:bCs/>
          <w:i/>
          <w:iCs/>
          <w:spacing w:val="-5"/>
          <w:sz w:val="22"/>
          <w:szCs w:val="22"/>
        </w:rPr>
        <w:t>Foreign Judgments Act 1991</w:t>
      </w:r>
    </w:p>
    <w:p w14:paraId="26BC8327" w14:textId="77777777" w:rsidR="00315411" w:rsidRPr="003A76F2" w:rsidRDefault="00284D5C" w:rsidP="00696293">
      <w:pPr>
        <w:shd w:val="clear" w:color="auto" w:fill="FFFFFF"/>
        <w:spacing w:before="120"/>
        <w:ind w:left="24"/>
        <w:rPr>
          <w:sz w:val="22"/>
          <w:szCs w:val="22"/>
        </w:rPr>
      </w:pPr>
      <w:r w:rsidRPr="003A76F2">
        <w:rPr>
          <w:b/>
          <w:bCs/>
          <w:spacing w:val="-6"/>
          <w:sz w:val="22"/>
          <w:szCs w:val="22"/>
        </w:rPr>
        <w:t>Subsection 6(8):</w:t>
      </w:r>
    </w:p>
    <w:p w14:paraId="29003C7F" w14:textId="6D73582F" w:rsidR="00315411" w:rsidRPr="003A76F2" w:rsidRDefault="00284D5C" w:rsidP="00696293">
      <w:pPr>
        <w:shd w:val="clear" w:color="auto" w:fill="FFFFFF"/>
        <w:spacing w:before="120"/>
        <w:ind w:left="24" w:firstLine="336"/>
        <w:rPr>
          <w:sz w:val="22"/>
          <w:szCs w:val="22"/>
        </w:rPr>
      </w:pPr>
      <w:r w:rsidRPr="003A76F2">
        <w:rPr>
          <w:sz w:val="22"/>
          <w:szCs w:val="22"/>
        </w:rPr>
        <w:t xml:space="preserve">Omit </w:t>
      </w:r>
      <w:r w:rsidR="0032279F" w:rsidRPr="003A76F2">
        <w:rPr>
          <w:sz w:val="22"/>
          <w:szCs w:val="22"/>
        </w:rPr>
        <w:t>“</w:t>
      </w:r>
      <w:r w:rsidRPr="003A76F2">
        <w:rPr>
          <w:sz w:val="22"/>
          <w:szCs w:val="22"/>
        </w:rPr>
        <w:t xml:space="preserve">Part IV of the </w:t>
      </w:r>
      <w:r w:rsidRPr="003A76F2">
        <w:rPr>
          <w:i/>
          <w:iCs/>
          <w:sz w:val="22"/>
          <w:szCs w:val="22"/>
        </w:rPr>
        <w:t>Service and Execution of Process Act 1901</w:t>
      </w:r>
      <w:r w:rsidR="0032279F" w:rsidRPr="00D9432E">
        <w:rPr>
          <w:iCs/>
          <w:sz w:val="22"/>
          <w:szCs w:val="22"/>
        </w:rPr>
        <w:t>”</w:t>
      </w:r>
      <w:r w:rsidRPr="00D9432E">
        <w:rPr>
          <w:iCs/>
          <w:sz w:val="22"/>
          <w:szCs w:val="22"/>
        </w:rPr>
        <w:t xml:space="preserve">, </w:t>
      </w:r>
      <w:r w:rsidRPr="003A76F2">
        <w:rPr>
          <w:sz w:val="22"/>
          <w:szCs w:val="22"/>
        </w:rPr>
        <w:t xml:space="preserve">substitute </w:t>
      </w:r>
      <w:r w:rsidR="0032279F" w:rsidRPr="003A76F2">
        <w:rPr>
          <w:sz w:val="22"/>
          <w:szCs w:val="22"/>
        </w:rPr>
        <w:t>“</w:t>
      </w:r>
      <w:r w:rsidRPr="003A76F2">
        <w:rPr>
          <w:sz w:val="22"/>
          <w:szCs w:val="22"/>
        </w:rPr>
        <w:t xml:space="preserve">Part 6 of the </w:t>
      </w:r>
      <w:r w:rsidRPr="003A76F2">
        <w:rPr>
          <w:i/>
          <w:iCs/>
          <w:sz w:val="22"/>
          <w:szCs w:val="22"/>
        </w:rPr>
        <w:t>Service and Execution of Process Act 1992</w:t>
      </w:r>
      <w:r w:rsidR="0032279F" w:rsidRPr="00D9432E">
        <w:rPr>
          <w:iCs/>
          <w:sz w:val="22"/>
          <w:szCs w:val="22"/>
        </w:rPr>
        <w:t>”</w:t>
      </w:r>
      <w:r w:rsidRPr="00D9432E">
        <w:rPr>
          <w:iCs/>
          <w:sz w:val="22"/>
          <w:szCs w:val="22"/>
        </w:rPr>
        <w:t>.</w:t>
      </w:r>
    </w:p>
    <w:p w14:paraId="091D9900" w14:textId="77777777" w:rsidR="00315411" w:rsidRPr="003A76F2" w:rsidRDefault="00284D5C" w:rsidP="00696293">
      <w:pPr>
        <w:shd w:val="clear" w:color="auto" w:fill="FFFFFF"/>
        <w:spacing w:before="120"/>
        <w:ind w:left="19"/>
        <w:rPr>
          <w:sz w:val="22"/>
          <w:szCs w:val="22"/>
        </w:rPr>
      </w:pPr>
      <w:r w:rsidRPr="003A76F2">
        <w:rPr>
          <w:b/>
          <w:bCs/>
          <w:spacing w:val="-6"/>
          <w:sz w:val="22"/>
          <w:szCs w:val="22"/>
        </w:rPr>
        <w:t>Subsection 7(1):</w:t>
      </w:r>
    </w:p>
    <w:p w14:paraId="4F8345B4" w14:textId="74D4332B" w:rsidR="00315411" w:rsidRPr="003A76F2" w:rsidRDefault="00284D5C" w:rsidP="00696293">
      <w:pPr>
        <w:shd w:val="clear" w:color="auto" w:fill="FFFFFF"/>
        <w:spacing w:before="120"/>
        <w:ind w:left="19" w:firstLine="336"/>
        <w:rPr>
          <w:sz w:val="22"/>
          <w:szCs w:val="22"/>
        </w:rPr>
      </w:pPr>
      <w:r w:rsidRPr="003A76F2">
        <w:rPr>
          <w:sz w:val="22"/>
          <w:szCs w:val="22"/>
        </w:rPr>
        <w:t xml:space="preserve">Omit </w:t>
      </w:r>
      <w:r w:rsidR="0032279F" w:rsidRPr="003A76F2">
        <w:rPr>
          <w:sz w:val="22"/>
          <w:szCs w:val="22"/>
        </w:rPr>
        <w:t>“</w:t>
      </w:r>
      <w:r w:rsidRPr="003A76F2">
        <w:rPr>
          <w:sz w:val="22"/>
          <w:szCs w:val="22"/>
        </w:rPr>
        <w:t xml:space="preserve">Part IV of the </w:t>
      </w:r>
      <w:r w:rsidRPr="003A76F2">
        <w:rPr>
          <w:i/>
          <w:iCs/>
          <w:sz w:val="22"/>
          <w:szCs w:val="22"/>
        </w:rPr>
        <w:t>Service and Execution of Process Act 1901</w:t>
      </w:r>
      <w:r w:rsidR="0032279F" w:rsidRPr="00D9432E">
        <w:rPr>
          <w:iCs/>
          <w:sz w:val="22"/>
          <w:szCs w:val="22"/>
        </w:rPr>
        <w:t>”</w:t>
      </w:r>
      <w:r w:rsidRPr="00D9432E">
        <w:rPr>
          <w:iCs/>
          <w:sz w:val="22"/>
          <w:szCs w:val="22"/>
        </w:rPr>
        <w:t>,</w:t>
      </w:r>
      <w:r w:rsidRPr="003A76F2">
        <w:rPr>
          <w:i/>
          <w:iCs/>
          <w:sz w:val="22"/>
          <w:szCs w:val="22"/>
        </w:rPr>
        <w:t xml:space="preserve"> </w:t>
      </w:r>
      <w:r w:rsidRPr="003A76F2">
        <w:rPr>
          <w:sz w:val="22"/>
          <w:szCs w:val="22"/>
        </w:rPr>
        <w:t xml:space="preserve">substitute </w:t>
      </w:r>
      <w:r w:rsidR="0032279F" w:rsidRPr="003A76F2">
        <w:rPr>
          <w:sz w:val="22"/>
          <w:szCs w:val="22"/>
        </w:rPr>
        <w:t>“</w:t>
      </w:r>
      <w:r w:rsidRPr="003A76F2">
        <w:rPr>
          <w:sz w:val="22"/>
          <w:szCs w:val="22"/>
        </w:rPr>
        <w:t xml:space="preserve">Part 6 of the </w:t>
      </w:r>
      <w:r w:rsidRPr="003A76F2">
        <w:rPr>
          <w:i/>
          <w:iCs/>
          <w:sz w:val="22"/>
          <w:szCs w:val="22"/>
        </w:rPr>
        <w:t>Service and Execution of Process Act 1992</w:t>
      </w:r>
      <w:r w:rsidR="0032279F" w:rsidRPr="00D9432E">
        <w:rPr>
          <w:iCs/>
          <w:sz w:val="22"/>
          <w:szCs w:val="22"/>
        </w:rPr>
        <w:t>”</w:t>
      </w:r>
      <w:r w:rsidRPr="00D9432E">
        <w:rPr>
          <w:iCs/>
          <w:sz w:val="22"/>
          <w:szCs w:val="22"/>
        </w:rPr>
        <w:t>.</w:t>
      </w:r>
    </w:p>
    <w:p w14:paraId="7A15E6C6" w14:textId="77777777" w:rsidR="00315411" w:rsidRPr="003A76F2" w:rsidRDefault="00284D5C" w:rsidP="00696293">
      <w:pPr>
        <w:shd w:val="clear" w:color="auto" w:fill="FFFFFF"/>
        <w:spacing w:before="120"/>
        <w:jc w:val="center"/>
        <w:rPr>
          <w:sz w:val="22"/>
          <w:szCs w:val="22"/>
        </w:rPr>
      </w:pPr>
      <w:r w:rsidRPr="003A76F2">
        <w:rPr>
          <w:b/>
          <w:bCs/>
          <w:i/>
          <w:iCs/>
          <w:spacing w:val="-1"/>
          <w:sz w:val="22"/>
          <w:szCs w:val="22"/>
        </w:rPr>
        <w:t>Proceeds of Crime Act 1987</w:t>
      </w:r>
    </w:p>
    <w:p w14:paraId="354338B6" w14:textId="77777777" w:rsidR="00315411" w:rsidRPr="003A76F2" w:rsidRDefault="00284D5C" w:rsidP="00696293">
      <w:pPr>
        <w:shd w:val="clear" w:color="auto" w:fill="FFFFFF"/>
        <w:spacing w:before="120"/>
        <w:ind w:left="14"/>
        <w:rPr>
          <w:sz w:val="22"/>
          <w:szCs w:val="22"/>
        </w:rPr>
      </w:pPr>
      <w:r w:rsidRPr="003A76F2">
        <w:rPr>
          <w:b/>
          <w:bCs/>
          <w:spacing w:val="-10"/>
          <w:sz w:val="22"/>
          <w:szCs w:val="22"/>
        </w:rPr>
        <w:t>Paragraph 90(1)(d):</w:t>
      </w:r>
    </w:p>
    <w:p w14:paraId="6EE35E7A" w14:textId="71DEEF1A" w:rsidR="00315411" w:rsidRPr="003A76F2" w:rsidRDefault="00284D5C" w:rsidP="00696293">
      <w:pPr>
        <w:shd w:val="clear" w:color="auto" w:fill="FFFFFF"/>
        <w:spacing w:before="120"/>
        <w:ind w:left="10" w:firstLine="336"/>
        <w:rPr>
          <w:sz w:val="22"/>
          <w:szCs w:val="22"/>
        </w:rPr>
      </w:pPr>
      <w:r w:rsidRPr="003A76F2">
        <w:rPr>
          <w:spacing w:val="-1"/>
          <w:sz w:val="22"/>
          <w:szCs w:val="22"/>
        </w:rPr>
        <w:t xml:space="preserve">Omit </w:t>
      </w:r>
      <w:r w:rsidR="0032279F" w:rsidRPr="00D9432E">
        <w:rPr>
          <w:iCs/>
          <w:spacing w:val="-1"/>
          <w:sz w:val="22"/>
          <w:szCs w:val="22"/>
        </w:rPr>
        <w:t>“</w:t>
      </w:r>
      <w:bookmarkStart w:id="0" w:name="_GoBack"/>
      <w:bookmarkEnd w:id="0"/>
      <w:r w:rsidRPr="003A76F2">
        <w:rPr>
          <w:i/>
          <w:iCs/>
          <w:spacing w:val="-1"/>
          <w:sz w:val="22"/>
          <w:szCs w:val="22"/>
        </w:rPr>
        <w:t>Service and Execution of Process Act 1901</w:t>
      </w:r>
      <w:r w:rsidR="0032279F" w:rsidRPr="00D9432E">
        <w:rPr>
          <w:iCs/>
          <w:spacing w:val="-1"/>
          <w:sz w:val="22"/>
          <w:szCs w:val="22"/>
        </w:rPr>
        <w:t>”</w:t>
      </w:r>
      <w:r w:rsidRPr="00D9432E">
        <w:rPr>
          <w:iCs/>
          <w:spacing w:val="-1"/>
          <w:sz w:val="22"/>
          <w:szCs w:val="22"/>
        </w:rPr>
        <w:t>,</w:t>
      </w:r>
      <w:r w:rsidRPr="003A76F2">
        <w:rPr>
          <w:i/>
          <w:iCs/>
          <w:spacing w:val="-1"/>
          <w:sz w:val="22"/>
          <w:szCs w:val="22"/>
        </w:rPr>
        <w:t xml:space="preserve"> </w:t>
      </w:r>
      <w:r w:rsidRPr="003A76F2">
        <w:rPr>
          <w:spacing w:val="-1"/>
          <w:sz w:val="22"/>
          <w:szCs w:val="22"/>
        </w:rPr>
        <w:t xml:space="preserve">substitute </w:t>
      </w:r>
      <w:r w:rsidR="0032279F" w:rsidRPr="00D9432E">
        <w:rPr>
          <w:iCs/>
          <w:spacing w:val="-1"/>
          <w:sz w:val="22"/>
          <w:szCs w:val="22"/>
        </w:rPr>
        <w:t>“</w:t>
      </w:r>
      <w:r w:rsidRPr="003A76F2">
        <w:rPr>
          <w:i/>
          <w:iCs/>
          <w:spacing w:val="-1"/>
          <w:sz w:val="22"/>
          <w:szCs w:val="22"/>
        </w:rPr>
        <w:t xml:space="preserve">Service </w:t>
      </w:r>
      <w:r w:rsidRPr="003A76F2">
        <w:rPr>
          <w:i/>
          <w:iCs/>
          <w:sz w:val="22"/>
          <w:szCs w:val="22"/>
        </w:rPr>
        <w:t>and Execution of Process Act 1992</w:t>
      </w:r>
      <w:r w:rsidR="0032279F" w:rsidRPr="00D9432E">
        <w:rPr>
          <w:iCs/>
          <w:sz w:val="22"/>
          <w:szCs w:val="22"/>
        </w:rPr>
        <w:t>”</w:t>
      </w:r>
      <w:r w:rsidRPr="00D9432E">
        <w:rPr>
          <w:iCs/>
          <w:sz w:val="22"/>
          <w:szCs w:val="22"/>
        </w:rPr>
        <w:t>.</w:t>
      </w:r>
    </w:p>
    <w:p w14:paraId="23AC6FA6" w14:textId="77777777" w:rsidR="00315411" w:rsidRPr="003A76F2" w:rsidRDefault="00284D5C" w:rsidP="00696293">
      <w:pPr>
        <w:shd w:val="clear" w:color="auto" w:fill="FFFFFF"/>
        <w:spacing w:before="120"/>
        <w:jc w:val="center"/>
        <w:rPr>
          <w:sz w:val="22"/>
          <w:szCs w:val="22"/>
        </w:rPr>
      </w:pPr>
      <w:r w:rsidRPr="003A76F2">
        <w:rPr>
          <w:b/>
          <w:bCs/>
          <w:i/>
          <w:iCs/>
          <w:spacing w:val="-4"/>
          <w:sz w:val="22"/>
          <w:szCs w:val="22"/>
        </w:rPr>
        <w:t>Transfer of Prisoners Act 1983</w:t>
      </w:r>
    </w:p>
    <w:p w14:paraId="2943FA90" w14:textId="77777777" w:rsidR="00315411" w:rsidRPr="003A76F2" w:rsidRDefault="00284D5C" w:rsidP="00696293">
      <w:pPr>
        <w:shd w:val="clear" w:color="auto" w:fill="FFFFFF"/>
        <w:spacing w:before="120"/>
        <w:ind w:left="10"/>
        <w:rPr>
          <w:sz w:val="22"/>
          <w:szCs w:val="22"/>
        </w:rPr>
      </w:pPr>
      <w:r w:rsidRPr="003A76F2">
        <w:rPr>
          <w:b/>
          <w:bCs/>
          <w:spacing w:val="-8"/>
          <w:sz w:val="22"/>
          <w:szCs w:val="22"/>
        </w:rPr>
        <w:t>Subparagraph 21(b)(iii):</w:t>
      </w:r>
    </w:p>
    <w:p w14:paraId="2FF03630" w14:textId="77777777" w:rsidR="00315411" w:rsidRPr="003A76F2" w:rsidRDefault="00284D5C" w:rsidP="00696293">
      <w:pPr>
        <w:shd w:val="clear" w:color="auto" w:fill="FFFFFF"/>
        <w:spacing w:before="120"/>
        <w:ind w:left="5" w:firstLine="336"/>
        <w:rPr>
          <w:sz w:val="22"/>
          <w:szCs w:val="22"/>
        </w:rPr>
      </w:pPr>
      <w:r w:rsidRPr="003A76F2">
        <w:rPr>
          <w:sz w:val="22"/>
          <w:szCs w:val="22"/>
        </w:rPr>
        <w:t xml:space="preserve">Omit </w:t>
      </w:r>
      <w:r w:rsidR="0032279F" w:rsidRPr="003A76F2">
        <w:rPr>
          <w:sz w:val="22"/>
          <w:szCs w:val="22"/>
        </w:rPr>
        <w:t>“</w:t>
      </w:r>
      <w:r w:rsidRPr="003A76F2">
        <w:rPr>
          <w:sz w:val="22"/>
          <w:szCs w:val="22"/>
        </w:rPr>
        <w:t xml:space="preserve">Part </w:t>
      </w:r>
      <w:r w:rsidRPr="003A76F2">
        <w:rPr>
          <w:sz w:val="22"/>
          <w:szCs w:val="22"/>
          <w:lang w:val="de-DE"/>
        </w:rPr>
        <w:t xml:space="preserve">IVA </w:t>
      </w:r>
      <w:r w:rsidRPr="003A76F2">
        <w:rPr>
          <w:sz w:val="22"/>
          <w:szCs w:val="22"/>
        </w:rPr>
        <w:t xml:space="preserve">of the </w:t>
      </w:r>
      <w:r w:rsidRPr="003A76F2">
        <w:rPr>
          <w:i/>
          <w:iCs/>
          <w:sz w:val="22"/>
          <w:szCs w:val="22"/>
        </w:rPr>
        <w:t>Service and Execution of Process Act 1901</w:t>
      </w:r>
      <w:r w:rsidR="0032279F" w:rsidRPr="003A76F2">
        <w:rPr>
          <w:i/>
          <w:iCs/>
          <w:sz w:val="22"/>
          <w:szCs w:val="22"/>
        </w:rPr>
        <w:t>”</w:t>
      </w:r>
      <w:r w:rsidRPr="003A76F2">
        <w:rPr>
          <w:i/>
          <w:iCs/>
          <w:sz w:val="22"/>
          <w:szCs w:val="22"/>
        </w:rPr>
        <w:t xml:space="preserve">, </w:t>
      </w:r>
      <w:r w:rsidRPr="003A76F2">
        <w:rPr>
          <w:sz w:val="22"/>
          <w:szCs w:val="22"/>
        </w:rPr>
        <w:t xml:space="preserve">substitute </w:t>
      </w:r>
      <w:r w:rsidR="0032279F" w:rsidRPr="003A76F2">
        <w:rPr>
          <w:sz w:val="22"/>
          <w:szCs w:val="22"/>
        </w:rPr>
        <w:t>“</w:t>
      </w:r>
      <w:r w:rsidRPr="003A76F2">
        <w:rPr>
          <w:sz w:val="22"/>
          <w:szCs w:val="22"/>
        </w:rPr>
        <w:t xml:space="preserve">Part 7 of the </w:t>
      </w:r>
      <w:r w:rsidRPr="003A76F2">
        <w:rPr>
          <w:i/>
          <w:iCs/>
          <w:sz w:val="22"/>
          <w:szCs w:val="22"/>
        </w:rPr>
        <w:t>Service and Execution of Process Act 1992</w:t>
      </w:r>
      <w:r w:rsidR="0032279F" w:rsidRPr="003A76F2">
        <w:rPr>
          <w:i/>
          <w:iCs/>
          <w:sz w:val="22"/>
          <w:szCs w:val="22"/>
        </w:rPr>
        <w:t>”</w:t>
      </w:r>
      <w:r w:rsidRPr="003A76F2">
        <w:rPr>
          <w:i/>
          <w:iCs/>
          <w:sz w:val="22"/>
          <w:szCs w:val="22"/>
        </w:rPr>
        <w:t>.</w:t>
      </w:r>
    </w:p>
    <w:p w14:paraId="2D5B9B0B" w14:textId="77777777" w:rsidR="00315411" w:rsidRPr="003A76F2" w:rsidRDefault="00284D5C" w:rsidP="00696293">
      <w:pPr>
        <w:shd w:val="clear" w:color="auto" w:fill="FFFFFF"/>
        <w:spacing w:before="120"/>
        <w:rPr>
          <w:sz w:val="22"/>
          <w:szCs w:val="22"/>
        </w:rPr>
      </w:pPr>
      <w:r w:rsidRPr="003A76F2">
        <w:rPr>
          <w:b/>
          <w:bCs/>
          <w:spacing w:val="-8"/>
          <w:sz w:val="22"/>
          <w:szCs w:val="22"/>
        </w:rPr>
        <w:t>Paragraph 30(b):</w:t>
      </w:r>
    </w:p>
    <w:p w14:paraId="2E57B30A" w14:textId="1CFB1D09" w:rsidR="00315411" w:rsidRPr="003A76F2" w:rsidRDefault="00284D5C" w:rsidP="00696293">
      <w:pPr>
        <w:shd w:val="clear" w:color="auto" w:fill="FFFFFF"/>
        <w:spacing w:before="120"/>
        <w:ind w:firstLine="331"/>
        <w:rPr>
          <w:sz w:val="22"/>
          <w:szCs w:val="22"/>
        </w:rPr>
      </w:pPr>
      <w:r w:rsidRPr="003A76F2">
        <w:rPr>
          <w:spacing w:val="-1"/>
          <w:sz w:val="22"/>
          <w:szCs w:val="22"/>
        </w:rPr>
        <w:t xml:space="preserve">Omit </w:t>
      </w:r>
      <w:r w:rsidR="0032279F" w:rsidRPr="00D9432E">
        <w:rPr>
          <w:iCs/>
          <w:spacing w:val="-1"/>
          <w:sz w:val="22"/>
          <w:szCs w:val="22"/>
        </w:rPr>
        <w:t>“</w:t>
      </w:r>
      <w:r w:rsidRPr="003A76F2">
        <w:rPr>
          <w:i/>
          <w:iCs/>
          <w:spacing w:val="-1"/>
          <w:sz w:val="22"/>
          <w:szCs w:val="22"/>
        </w:rPr>
        <w:t>Service and Execution of Process Act 1901</w:t>
      </w:r>
      <w:r w:rsidR="0032279F" w:rsidRPr="00D9432E">
        <w:rPr>
          <w:iCs/>
          <w:spacing w:val="-1"/>
          <w:sz w:val="22"/>
          <w:szCs w:val="22"/>
        </w:rPr>
        <w:t>”</w:t>
      </w:r>
      <w:r w:rsidRPr="00D9432E">
        <w:rPr>
          <w:iCs/>
          <w:spacing w:val="-1"/>
          <w:sz w:val="22"/>
          <w:szCs w:val="22"/>
        </w:rPr>
        <w:t>,</w:t>
      </w:r>
      <w:r w:rsidRPr="003A76F2">
        <w:rPr>
          <w:i/>
          <w:iCs/>
          <w:spacing w:val="-1"/>
          <w:sz w:val="22"/>
          <w:szCs w:val="22"/>
        </w:rPr>
        <w:t xml:space="preserve"> </w:t>
      </w:r>
      <w:r w:rsidRPr="003A76F2">
        <w:rPr>
          <w:spacing w:val="-1"/>
          <w:sz w:val="22"/>
          <w:szCs w:val="22"/>
        </w:rPr>
        <w:t xml:space="preserve">substitute </w:t>
      </w:r>
      <w:r w:rsidR="0032279F" w:rsidRPr="00D9432E">
        <w:rPr>
          <w:iCs/>
          <w:spacing w:val="-1"/>
          <w:sz w:val="22"/>
          <w:szCs w:val="22"/>
        </w:rPr>
        <w:t>“</w:t>
      </w:r>
      <w:r w:rsidRPr="003A76F2">
        <w:rPr>
          <w:i/>
          <w:iCs/>
          <w:spacing w:val="-1"/>
          <w:sz w:val="22"/>
          <w:szCs w:val="22"/>
        </w:rPr>
        <w:t xml:space="preserve">Service </w:t>
      </w:r>
      <w:r w:rsidRPr="003A76F2">
        <w:rPr>
          <w:i/>
          <w:iCs/>
          <w:sz w:val="22"/>
          <w:szCs w:val="22"/>
        </w:rPr>
        <w:t>and Execution of Process Act 1992</w:t>
      </w:r>
      <w:r w:rsidR="0032279F" w:rsidRPr="00D9432E">
        <w:rPr>
          <w:iCs/>
          <w:sz w:val="22"/>
          <w:szCs w:val="22"/>
        </w:rPr>
        <w:t>”</w:t>
      </w:r>
      <w:r w:rsidRPr="00D9432E">
        <w:rPr>
          <w:iCs/>
          <w:sz w:val="22"/>
          <w:szCs w:val="22"/>
        </w:rPr>
        <w:t>.</w:t>
      </w:r>
    </w:p>
    <w:p w14:paraId="757C4964" w14:textId="77777777" w:rsidR="00315411" w:rsidRDefault="00315411" w:rsidP="00696293">
      <w:pPr>
        <w:shd w:val="clear" w:color="auto" w:fill="FFFFFF"/>
        <w:spacing w:before="120"/>
        <w:ind w:firstLine="331"/>
        <w:sectPr w:rsidR="00315411" w:rsidSect="00696293">
          <w:pgSz w:w="12240" w:h="15840" w:code="1"/>
          <w:pgMar w:top="1440" w:right="1440" w:bottom="1440" w:left="1440" w:header="720" w:footer="720" w:gutter="0"/>
          <w:cols w:space="60"/>
          <w:noEndnote/>
        </w:sectPr>
      </w:pPr>
    </w:p>
    <w:p w14:paraId="3C187B76" w14:textId="77777777" w:rsidR="00315411" w:rsidRDefault="00284D5C" w:rsidP="00696293">
      <w:pPr>
        <w:shd w:val="clear" w:color="auto" w:fill="FFFFFF"/>
        <w:spacing w:before="120"/>
      </w:pPr>
      <w:r>
        <w:lastRenderedPageBreak/>
        <w:t>[</w:t>
      </w:r>
      <w:r>
        <w:rPr>
          <w:i/>
          <w:iCs/>
        </w:rPr>
        <w:t>Minister</w:t>
      </w:r>
      <w:r w:rsidR="0032279F">
        <w:rPr>
          <w:i/>
          <w:iCs/>
        </w:rPr>
        <w:t>’</w:t>
      </w:r>
      <w:r>
        <w:rPr>
          <w:i/>
          <w:iCs/>
        </w:rPr>
        <w:t>s second reading speech made in</w:t>
      </w:r>
      <w:r>
        <w:rPr>
          <w:rFonts w:eastAsia="Times New Roman"/>
        </w:rPr>
        <w:t>—</w:t>
      </w:r>
    </w:p>
    <w:p w14:paraId="12453AB5" w14:textId="77777777" w:rsidR="00315411" w:rsidRDefault="00284D5C" w:rsidP="007C65B4">
      <w:pPr>
        <w:shd w:val="clear" w:color="auto" w:fill="FFFFFF"/>
        <w:ind w:left="749"/>
      </w:pPr>
      <w:r>
        <w:rPr>
          <w:i/>
          <w:iCs/>
        </w:rPr>
        <w:t>Senate on 10 September 1992</w:t>
      </w:r>
    </w:p>
    <w:p w14:paraId="04E9E742" w14:textId="77777777" w:rsidR="00284D5C" w:rsidRDefault="00284D5C" w:rsidP="007C65B4">
      <w:pPr>
        <w:shd w:val="clear" w:color="auto" w:fill="FFFFFF"/>
        <w:ind w:left="749"/>
      </w:pPr>
      <w:r>
        <w:rPr>
          <w:i/>
          <w:iCs/>
        </w:rPr>
        <w:t>House of Representatives on 9 November 1992</w:t>
      </w:r>
      <w:r>
        <w:t>]</w:t>
      </w:r>
    </w:p>
    <w:sectPr w:rsidR="00284D5C" w:rsidSect="00696293">
      <w:pgSz w:w="12240" w:h="15840" w:code="1"/>
      <w:pgMar w:top="1440" w:right="1440" w:bottom="1440" w:left="1440" w:header="720" w:footer="720" w:gutter="0"/>
      <w:cols w:space="6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6A095F" w15:done="0"/>
  <w15:commentEx w15:paraId="7191332E" w15:done="0"/>
  <w15:commentEx w15:paraId="1F0200B5" w15:done="0"/>
  <w15:commentEx w15:paraId="53823AA1" w15:done="0"/>
  <w15:commentEx w15:paraId="2D215661" w15:done="0"/>
  <w15:commentEx w15:paraId="0D0AF28F" w15:done="0"/>
  <w15:commentEx w15:paraId="1246525F" w15:done="0"/>
  <w15:commentEx w15:paraId="40CEE95D" w15:done="0"/>
  <w15:commentEx w15:paraId="220DB6B0" w15:done="0"/>
  <w15:commentEx w15:paraId="7A39E041" w15:done="0"/>
  <w15:commentEx w15:paraId="5941F39E" w15:done="0"/>
  <w15:commentEx w15:paraId="1403BA43" w15:done="0"/>
  <w15:commentEx w15:paraId="450D85DC" w15:done="0"/>
  <w15:commentEx w15:paraId="2A4B1DF4" w15:done="0"/>
  <w15:commentEx w15:paraId="33949EE1" w15:done="0"/>
  <w15:commentEx w15:paraId="280008E7" w15:done="0"/>
  <w15:commentEx w15:paraId="46FC6569" w15:done="0"/>
  <w15:commentEx w15:paraId="466CECF2" w15:done="0"/>
  <w15:commentEx w15:paraId="079D92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6A095F" w16cid:durableId="20AE29C1"/>
  <w16cid:commentId w16cid:paraId="7191332E" w16cid:durableId="20AE29E1"/>
  <w16cid:commentId w16cid:paraId="1F0200B5" w16cid:durableId="20AE29FD"/>
  <w16cid:commentId w16cid:paraId="53823AA1" w16cid:durableId="20AE2A26"/>
  <w16cid:commentId w16cid:paraId="2D215661" w16cid:durableId="20AE2A2D"/>
  <w16cid:commentId w16cid:paraId="0D0AF28F" w16cid:durableId="20AE2A34"/>
  <w16cid:commentId w16cid:paraId="1246525F" w16cid:durableId="20AE2A39"/>
  <w16cid:commentId w16cid:paraId="40CEE95D" w16cid:durableId="20AE2A3F"/>
  <w16cid:commentId w16cid:paraId="220DB6B0" w16cid:durableId="20AE2A45"/>
  <w16cid:commentId w16cid:paraId="7A39E041" w16cid:durableId="20AE2A4B"/>
  <w16cid:commentId w16cid:paraId="5941F39E" w16cid:durableId="20AE2A51"/>
  <w16cid:commentId w16cid:paraId="1403BA43" w16cid:durableId="20AE2A58"/>
  <w16cid:commentId w16cid:paraId="450D85DC" w16cid:durableId="20AE2A5E"/>
  <w16cid:commentId w16cid:paraId="2A4B1DF4" w16cid:durableId="20AE2A63"/>
  <w16cid:commentId w16cid:paraId="33949EE1" w16cid:durableId="20AE2A69"/>
  <w16cid:commentId w16cid:paraId="280008E7" w16cid:durableId="20AE2A70"/>
  <w16cid:commentId w16cid:paraId="46FC6569" w16cid:durableId="20AE2A79"/>
  <w16cid:commentId w16cid:paraId="466CECF2" w16cid:durableId="20AE2A7F"/>
  <w16cid:commentId w16cid:paraId="079D92C2" w16cid:durableId="20AE2A8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2F1E44" w14:textId="77777777" w:rsidR="007407B9" w:rsidRDefault="007407B9" w:rsidP="00F44E76">
      <w:r>
        <w:separator/>
      </w:r>
    </w:p>
  </w:endnote>
  <w:endnote w:type="continuationSeparator" w:id="0">
    <w:p w14:paraId="45571CB1" w14:textId="77777777" w:rsidR="007407B9" w:rsidRDefault="007407B9" w:rsidP="00F44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4EC232" w14:textId="77777777" w:rsidR="007407B9" w:rsidRDefault="007407B9" w:rsidP="00F44E76">
      <w:r>
        <w:separator/>
      </w:r>
    </w:p>
  </w:footnote>
  <w:footnote w:type="continuationSeparator" w:id="0">
    <w:p w14:paraId="6DB779E7" w14:textId="77777777" w:rsidR="007407B9" w:rsidRDefault="007407B9" w:rsidP="00F44E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00D18" w14:textId="77777777" w:rsidR="00F44E76" w:rsidRPr="0048314B" w:rsidRDefault="00F44E76" w:rsidP="00F44E76">
    <w:pPr>
      <w:widowControl/>
      <w:tabs>
        <w:tab w:val="left" w:pos="3420"/>
      </w:tabs>
      <w:jc w:val="center"/>
      <w:rPr>
        <w:sz w:val="22"/>
        <w:szCs w:val="22"/>
      </w:rPr>
    </w:pPr>
    <w:r w:rsidRPr="0048314B">
      <w:rPr>
        <w:i/>
        <w:iCs/>
        <w:sz w:val="22"/>
        <w:szCs w:val="22"/>
      </w:rPr>
      <w:t>Service and Execution of Process (Transitional Provisions and</w:t>
    </w:r>
    <w:r w:rsidRPr="0048314B">
      <w:rPr>
        <w:i/>
        <w:iCs/>
        <w:sz w:val="22"/>
        <w:szCs w:val="22"/>
      </w:rPr>
      <w:br/>
      <w:t>Consequential Amendments)</w:t>
    </w:r>
    <w:r w:rsidRPr="0048314B">
      <w:rPr>
        <w:i/>
        <w:iCs/>
        <w:sz w:val="22"/>
        <w:szCs w:val="22"/>
      </w:rPr>
      <w:tab/>
      <w:t>No. 166, 1992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F21E5"/>
    <w:multiLevelType w:val="singleLevel"/>
    <w:tmpl w:val="22D4852E"/>
    <w:lvl w:ilvl="0">
      <w:start w:val="4"/>
      <w:numFmt w:val="decimal"/>
      <w:lvlText w:val="(%1)"/>
      <w:legacy w:legacy="1" w:legacySpace="0" w:legacyIndent="399"/>
      <w:lvlJc w:val="left"/>
      <w:rPr>
        <w:rFonts w:ascii="Times New Roman" w:hAnsi="Times New Roman" w:cs="Times New Roman" w:hint="default"/>
      </w:rPr>
    </w:lvl>
  </w:abstractNum>
  <w:abstractNum w:abstractNumId="1">
    <w:nsid w:val="36F75AA6"/>
    <w:multiLevelType w:val="singleLevel"/>
    <w:tmpl w:val="ED9298B8"/>
    <w:lvl w:ilvl="0">
      <w:start w:val="1"/>
      <w:numFmt w:val="lowerLetter"/>
      <w:lvlText w:val="(%1)"/>
      <w:legacy w:legacy="1" w:legacySpace="0" w:legacyIndent="389"/>
      <w:lvlJc w:val="left"/>
      <w:rPr>
        <w:rFonts w:ascii="Times New Roman" w:hAnsi="Times New Roman" w:cs="Times New Roman" w:hint="default"/>
      </w:rPr>
    </w:lvl>
  </w:abstractNum>
  <w:abstractNum w:abstractNumId="2">
    <w:nsid w:val="5E122A4D"/>
    <w:multiLevelType w:val="singleLevel"/>
    <w:tmpl w:val="ED9298B8"/>
    <w:lvl w:ilvl="0">
      <w:start w:val="1"/>
      <w:numFmt w:val="lowerLetter"/>
      <w:lvlText w:val="(%1)"/>
      <w:legacy w:legacy="1" w:legacySpace="0" w:legacyIndent="389"/>
      <w:lvlJc w:val="left"/>
      <w:rPr>
        <w:rFonts w:ascii="Times New Roman" w:hAnsi="Times New Roman" w:cs="Times New Roman"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79F"/>
    <w:rsid w:val="00026130"/>
    <w:rsid w:val="000B0B29"/>
    <w:rsid w:val="000E4992"/>
    <w:rsid w:val="00161788"/>
    <w:rsid w:val="00224CC1"/>
    <w:rsid w:val="00284D5C"/>
    <w:rsid w:val="00315411"/>
    <w:rsid w:val="0032279F"/>
    <w:rsid w:val="003A76F2"/>
    <w:rsid w:val="0048314B"/>
    <w:rsid w:val="005412FD"/>
    <w:rsid w:val="00633738"/>
    <w:rsid w:val="00696293"/>
    <w:rsid w:val="007407B9"/>
    <w:rsid w:val="007C29C7"/>
    <w:rsid w:val="007C34C7"/>
    <w:rsid w:val="007C65B4"/>
    <w:rsid w:val="008218D5"/>
    <w:rsid w:val="00A126FB"/>
    <w:rsid w:val="00BE6E82"/>
    <w:rsid w:val="00C8157C"/>
    <w:rsid w:val="00D7611B"/>
    <w:rsid w:val="00D9432E"/>
    <w:rsid w:val="00F44E76"/>
    <w:rsid w:val="00FD2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E6EB4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6293"/>
    <w:rPr>
      <w:rFonts w:ascii="Tahoma" w:hAnsi="Tahoma" w:cs="Tahoma"/>
      <w:sz w:val="16"/>
      <w:szCs w:val="16"/>
    </w:rPr>
  </w:style>
  <w:style w:type="character" w:customStyle="1" w:styleId="BalloonTextChar">
    <w:name w:val="Balloon Text Char"/>
    <w:basedOn w:val="DefaultParagraphFont"/>
    <w:link w:val="BalloonText"/>
    <w:uiPriority w:val="99"/>
    <w:semiHidden/>
    <w:rsid w:val="00696293"/>
    <w:rPr>
      <w:rFonts w:ascii="Tahoma" w:hAnsi="Tahoma" w:cs="Tahoma"/>
      <w:sz w:val="16"/>
      <w:szCs w:val="16"/>
    </w:rPr>
  </w:style>
  <w:style w:type="paragraph" w:styleId="Header">
    <w:name w:val="header"/>
    <w:basedOn w:val="Normal"/>
    <w:link w:val="HeaderChar"/>
    <w:uiPriority w:val="99"/>
    <w:unhideWhenUsed/>
    <w:rsid w:val="00F44E76"/>
    <w:pPr>
      <w:tabs>
        <w:tab w:val="center" w:pos="4680"/>
        <w:tab w:val="right" w:pos="9360"/>
      </w:tabs>
    </w:pPr>
  </w:style>
  <w:style w:type="character" w:customStyle="1" w:styleId="HeaderChar">
    <w:name w:val="Header Char"/>
    <w:basedOn w:val="DefaultParagraphFont"/>
    <w:link w:val="Header"/>
    <w:uiPriority w:val="99"/>
    <w:rsid w:val="00F44E76"/>
    <w:rPr>
      <w:rFonts w:ascii="Times New Roman" w:hAnsi="Times New Roman" w:cs="Times New Roman"/>
      <w:sz w:val="20"/>
      <w:szCs w:val="20"/>
    </w:rPr>
  </w:style>
  <w:style w:type="paragraph" w:styleId="Footer">
    <w:name w:val="footer"/>
    <w:basedOn w:val="Normal"/>
    <w:link w:val="FooterChar"/>
    <w:uiPriority w:val="99"/>
    <w:unhideWhenUsed/>
    <w:rsid w:val="00F44E76"/>
    <w:pPr>
      <w:tabs>
        <w:tab w:val="center" w:pos="4680"/>
        <w:tab w:val="right" w:pos="9360"/>
      </w:tabs>
    </w:pPr>
  </w:style>
  <w:style w:type="character" w:customStyle="1" w:styleId="FooterChar">
    <w:name w:val="Footer Char"/>
    <w:basedOn w:val="DefaultParagraphFont"/>
    <w:link w:val="Footer"/>
    <w:uiPriority w:val="99"/>
    <w:rsid w:val="00F44E76"/>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BE6E82"/>
    <w:rPr>
      <w:sz w:val="16"/>
      <w:szCs w:val="16"/>
    </w:rPr>
  </w:style>
  <w:style w:type="paragraph" w:styleId="CommentText">
    <w:name w:val="annotation text"/>
    <w:basedOn w:val="Normal"/>
    <w:link w:val="CommentTextChar"/>
    <w:uiPriority w:val="99"/>
    <w:semiHidden/>
    <w:unhideWhenUsed/>
    <w:rsid w:val="00BE6E82"/>
  </w:style>
  <w:style w:type="character" w:customStyle="1" w:styleId="CommentTextChar">
    <w:name w:val="Comment Text Char"/>
    <w:basedOn w:val="DefaultParagraphFont"/>
    <w:link w:val="CommentText"/>
    <w:uiPriority w:val="99"/>
    <w:semiHidden/>
    <w:rsid w:val="00BE6E8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6E82"/>
    <w:rPr>
      <w:b/>
      <w:bCs/>
    </w:rPr>
  </w:style>
  <w:style w:type="character" w:customStyle="1" w:styleId="CommentSubjectChar">
    <w:name w:val="Comment Subject Char"/>
    <w:basedOn w:val="CommentTextChar"/>
    <w:link w:val="CommentSubject"/>
    <w:uiPriority w:val="99"/>
    <w:semiHidden/>
    <w:rsid w:val="00BE6E82"/>
    <w:rPr>
      <w:rFonts w:ascii="Times New Roman" w:hAnsi="Times New Roman" w:cs="Times New Roman"/>
      <w:b/>
      <w:bCs/>
      <w:sz w:val="20"/>
      <w:szCs w:val="20"/>
    </w:rPr>
  </w:style>
  <w:style w:type="paragraph" w:styleId="Revision">
    <w:name w:val="Revision"/>
    <w:hidden/>
    <w:uiPriority w:val="99"/>
    <w:semiHidden/>
    <w:rsid w:val="00D9432E"/>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6293"/>
    <w:rPr>
      <w:rFonts w:ascii="Tahoma" w:hAnsi="Tahoma" w:cs="Tahoma"/>
      <w:sz w:val="16"/>
      <w:szCs w:val="16"/>
    </w:rPr>
  </w:style>
  <w:style w:type="character" w:customStyle="1" w:styleId="BalloonTextChar">
    <w:name w:val="Balloon Text Char"/>
    <w:basedOn w:val="DefaultParagraphFont"/>
    <w:link w:val="BalloonText"/>
    <w:uiPriority w:val="99"/>
    <w:semiHidden/>
    <w:rsid w:val="00696293"/>
    <w:rPr>
      <w:rFonts w:ascii="Tahoma" w:hAnsi="Tahoma" w:cs="Tahoma"/>
      <w:sz w:val="16"/>
      <w:szCs w:val="16"/>
    </w:rPr>
  </w:style>
  <w:style w:type="paragraph" w:styleId="Header">
    <w:name w:val="header"/>
    <w:basedOn w:val="Normal"/>
    <w:link w:val="HeaderChar"/>
    <w:uiPriority w:val="99"/>
    <w:unhideWhenUsed/>
    <w:rsid w:val="00F44E76"/>
    <w:pPr>
      <w:tabs>
        <w:tab w:val="center" w:pos="4680"/>
        <w:tab w:val="right" w:pos="9360"/>
      </w:tabs>
    </w:pPr>
  </w:style>
  <w:style w:type="character" w:customStyle="1" w:styleId="HeaderChar">
    <w:name w:val="Header Char"/>
    <w:basedOn w:val="DefaultParagraphFont"/>
    <w:link w:val="Header"/>
    <w:uiPriority w:val="99"/>
    <w:rsid w:val="00F44E76"/>
    <w:rPr>
      <w:rFonts w:ascii="Times New Roman" w:hAnsi="Times New Roman" w:cs="Times New Roman"/>
      <w:sz w:val="20"/>
      <w:szCs w:val="20"/>
    </w:rPr>
  </w:style>
  <w:style w:type="paragraph" w:styleId="Footer">
    <w:name w:val="footer"/>
    <w:basedOn w:val="Normal"/>
    <w:link w:val="FooterChar"/>
    <w:uiPriority w:val="99"/>
    <w:unhideWhenUsed/>
    <w:rsid w:val="00F44E76"/>
    <w:pPr>
      <w:tabs>
        <w:tab w:val="center" w:pos="4680"/>
        <w:tab w:val="right" w:pos="9360"/>
      </w:tabs>
    </w:pPr>
  </w:style>
  <w:style w:type="character" w:customStyle="1" w:styleId="FooterChar">
    <w:name w:val="Footer Char"/>
    <w:basedOn w:val="DefaultParagraphFont"/>
    <w:link w:val="Footer"/>
    <w:uiPriority w:val="99"/>
    <w:rsid w:val="00F44E76"/>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BE6E82"/>
    <w:rPr>
      <w:sz w:val="16"/>
      <w:szCs w:val="16"/>
    </w:rPr>
  </w:style>
  <w:style w:type="paragraph" w:styleId="CommentText">
    <w:name w:val="annotation text"/>
    <w:basedOn w:val="Normal"/>
    <w:link w:val="CommentTextChar"/>
    <w:uiPriority w:val="99"/>
    <w:semiHidden/>
    <w:unhideWhenUsed/>
    <w:rsid w:val="00BE6E82"/>
  </w:style>
  <w:style w:type="character" w:customStyle="1" w:styleId="CommentTextChar">
    <w:name w:val="Comment Text Char"/>
    <w:basedOn w:val="DefaultParagraphFont"/>
    <w:link w:val="CommentText"/>
    <w:uiPriority w:val="99"/>
    <w:semiHidden/>
    <w:rsid w:val="00BE6E8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6E82"/>
    <w:rPr>
      <w:b/>
      <w:bCs/>
    </w:rPr>
  </w:style>
  <w:style w:type="character" w:customStyle="1" w:styleId="CommentSubjectChar">
    <w:name w:val="Comment Subject Char"/>
    <w:basedOn w:val="CommentTextChar"/>
    <w:link w:val="CommentSubject"/>
    <w:uiPriority w:val="99"/>
    <w:semiHidden/>
    <w:rsid w:val="00BE6E82"/>
    <w:rPr>
      <w:rFonts w:ascii="Times New Roman" w:hAnsi="Times New Roman" w:cs="Times New Roman"/>
      <w:b/>
      <w:bCs/>
      <w:sz w:val="20"/>
      <w:szCs w:val="20"/>
    </w:rPr>
  </w:style>
  <w:style w:type="paragraph" w:styleId="Revision">
    <w:name w:val="Revision"/>
    <w:hidden/>
    <w:uiPriority w:val="99"/>
    <w:semiHidden/>
    <w:rsid w:val="00D9432E"/>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c:creator>
  <cp:lastModifiedBy>Pettingill, Tia</cp:lastModifiedBy>
  <cp:revision>3</cp:revision>
  <dcterms:created xsi:type="dcterms:W3CDTF">2019-06-14T04:15:00Z</dcterms:created>
  <dcterms:modified xsi:type="dcterms:W3CDTF">2019-10-23T21:30:00Z</dcterms:modified>
</cp:coreProperties>
</file>