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13B36" w14:textId="77777777" w:rsidR="00AF3F25" w:rsidRPr="003D7ED4" w:rsidRDefault="00596BD6" w:rsidP="003D7ED4">
      <w:pPr>
        <w:jc w:val="center"/>
        <w:rPr>
          <w:sz w:val="24"/>
          <w:szCs w:val="24"/>
        </w:rPr>
      </w:pPr>
      <w:r>
        <w:rPr>
          <w:noProof/>
          <w:sz w:val="24"/>
          <w:szCs w:val="24"/>
          <w:lang w:val="en-AU" w:eastAsia="en-AU"/>
        </w:rPr>
        <w:drawing>
          <wp:inline distT="0" distB="0" distL="0" distR="0" wp14:anchorId="7492C660" wp14:editId="3DD154D3">
            <wp:extent cx="1447165" cy="10337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1033780"/>
                    </a:xfrm>
                    <a:prstGeom prst="rect">
                      <a:avLst/>
                    </a:prstGeom>
                    <a:noFill/>
                    <a:ln>
                      <a:noFill/>
                    </a:ln>
                  </pic:spPr>
                </pic:pic>
              </a:graphicData>
            </a:graphic>
          </wp:inline>
        </w:drawing>
      </w:r>
    </w:p>
    <w:p w14:paraId="1D5964A8" w14:textId="77777777" w:rsidR="00AF3F25" w:rsidRPr="003D7ED4" w:rsidRDefault="00AF3F25" w:rsidP="003D7ED4">
      <w:pPr>
        <w:shd w:val="clear" w:color="auto" w:fill="FFFFFF"/>
        <w:spacing w:before="1272"/>
        <w:jc w:val="center"/>
        <w:rPr>
          <w:sz w:val="36"/>
        </w:rPr>
      </w:pPr>
      <w:r w:rsidRPr="003D7ED4">
        <w:rPr>
          <w:b/>
          <w:bCs/>
          <w:sz w:val="36"/>
          <w:szCs w:val="40"/>
          <w:lang w:val="en-US"/>
        </w:rPr>
        <w:t>Data-matching Program (Assistance and Tax) Amendment Act 1992</w:t>
      </w:r>
    </w:p>
    <w:p w14:paraId="097732F0" w14:textId="77777777" w:rsidR="00AF3F25" w:rsidRPr="003D7ED4" w:rsidRDefault="00AF3F25" w:rsidP="003D7ED4">
      <w:pPr>
        <w:shd w:val="clear" w:color="auto" w:fill="FFFFFF"/>
        <w:spacing w:before="950"/>
        <w:ind w:left="48"/>
        <w:jc w:val="center"/>
      </w:pPr>
      <w:r w:rsidRPr="003D7ED4">
        <w:rPr>
          <w:b/>
          <w:bCs/>
          <w:sz w:val="28"/>
          <w:szCs w:val="28"/>
          <w:lang w:val="en-US"/>
        </w:rPr>
        <w:t>No. 205 of 1992</w:t>
      </w:r>
    </w:p>
    <w:p w14:paraId="3CE9D39D" w14:textId="77777777" w:rsidR="00AF3F25" w:rsidRPr="00430ADA" w:rsidRDefault="00596BD6" w:rsidP="003D7ED4">
      <w:pPr>
        <w:shd w:val="clear" w:color="auto" w:fill="FFFFFF"/>
        <w:spacing w:before="2386"/>
        <w:ind w:left="2486" w:hanging="2338"/>
        <w:rPr>
          <w:sz w:val="18"/>
        </w:rPr>
      </w:pPr>
      <w:r w:rsidRPr="00430ADA">
        <w:rPr>
          <w:b/>
          <w:bCs/>
          <w:noProof/>
          <w:sz w:val="26"/>
          <w:szCs w:val="28"/>
          <w:lang w:val="en-AU" w:eastAsia="en-AU"/>
        </w:rPr>
        <mc:AlternateContent>
          <mc:Choice Requires="wps">
            <w:drawing>
              <wp:anchor distT="0" distB="0" distL="114300" distR="114300" simplePos="0" relativeHeight="251659264" behindDoc="0" locked="0" layoutInCell="1" allowOverlap="1" wp14:anchorId="22AFF78C" wp14:editId="53B887FB">
                <wp:simplePos x="0" y="0"/>
                <wp:positionH relativeFrom="column">
                  <wp:posOffset>65405</wp:posOffset>
                </wp:positionH>
                <wp:positionV relativeFrom="paragraph">
                  <wp:posOffset>761365</wp:posOffset>
                </wp:positionV>
                <wp:extent cx="589153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C6FBF" id="_x0000_t32" coordsize="21600,21600" o:spt="32" o:oned="t" path="m,l21600,21600e" filled="f">
                <v:path arrowok="t" fillok="f" o:connecttype="none"/>
                <o:lock v:ext="edit" shapetype="t"/>
              </v:shapetype>
              <v:shape id="AutoShape 3" o:spid="_x0000_s1026" type="#_x0000_t32" style="position:absolute;margin-left:5.15pt;margin-top:59.95pt;width:46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xR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"/>
            </w:pict>
          </mc:Fallback>
        </mc:AlternateContent>
      </w:r>
      <w:r w:rsidRPr="00430ADA">
        <w:rPr>
          <w:b/>
          <w:bCs/>
          <w:noProof/>
          <w:sz w:val="26"/>
          <w:szCs w:val="28"/>
          <w:lang w:val="en-AU" w:eastAsia="en-AU"/>
        </w:rPr>
        <mc:AlternateContent>
          <mc:Choice Requires="wps">
            <w:drawing>
              <wp:anchor distT="0" distB="0" distL="114300" distR="114300" simplePos="0" relativeHeight="251658240" behindDoc="0" locked="0" layoutInCell="1" allowOverlap="1" wp14:anchorId="69458504" wp14:editId="2B0CECAE">
                <wp:simplePos x="0" y="0"/>
                <wp:positionH relativeFrom="column">
                  <wp:posOffset>69850</wp:posOffset>
                </wp:positionH>
                <wp:positionV relativeFrom="paragraph">
                  <wp:posOffset>741045</wp:posOffset>
                </wp:positionV>
                <wp:extent cx="589153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2B6FE" id="AutoShape 2" o:spid="_x0000_s1026" type="#_x0000_t32" style="position:absolute;margin-left:5.5pt;margin-top:58.35pt;width:46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oNQ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"/>
            </w:pict>
          </mc:Fallback>
        </mc:AlternateContent>
      </w:r>
      <w:r w:rsidR="00AF3F25" w:rsidRPr="00430ADA">
        <w:rPr>
          <w:b/>
          <w:bCs/>
          <w:sz w:val="26"/>
          <w:szCs w:val="28"/>
          <w:lang w:val="en-US"/>
        </w:rPr>
        <w:t xml:space="preserve">An Act to amend the </w:t>
      </w:r>
      <w:r w:rsidR="00AF3F25" w:rsidRPr="00430ADA">
        <w:rPr>
          <w:b/>
          <w:bCs/>
          <w:i/>
          <w:iCs/>
          <w:sz w:val="26"/>
          <w:szCs w:val="28"/>
          <w:lang w:val="en-US"/>
        </w:rPr>
        <w:t>Data-matching Program (Assistance and Tax) Act 1990</w:t>
      </w:r>
    </w:p>
    <w:p w14:paraId="7168113D" w14:textId="77777777" w:rsidR="00AF3F25" w:rsidRPr="003D7ED4" w:rsidRDefault="00AF3F25" w:rsidP="00124A91">
      <w:pPr>
        <w:shd w:val="clear" w:color="auto" w:fill="FFFFFF"/>
        <w:spacing w:before="120"/>
        <w:jc w:val="right"/>
      </w:pPr>
      <w:r w:rsidRPr="003D7ED4">
        <w:rPr>
          <w:sz w:val="24"/>
          <w:szCs w:val="24"/>
          <w:lang w:val="en-US"/>
        </w:rPr>
        <w:t>[</w:t>
      </w:r>
      <w:r w:rsidRPr="003D7ED4">
        <w:rPr>
          <w:i/>
          <w:iCs/>
          <w:sz w:val="24"/>
          <w:szCs w:val="24"/>
          <w:lang w:val="en-US"/>
        </w:rPr>
        <w:t>Assented to 21 December 1992</w:t>
      </w:r>
      <w:r w:rsidRPr="003D7ED4">
        <w:rPr>
          <w:sz w:val="24"/>
          <w:szCs w:val="24"/>
          <w:lang w:val="en-US"/>
        </w:rPr>
        <w:t>]</w:t>
      </w:r>
    </w:p>
    <w:p w14:paraId="406A3DE2" w14:textId="7B9828EE" w:rsidR="00AF3F25" w:rsidRPr="003D7ED4" w:rsidRDefault="00AF3F25" w:rsidP="00124A91">
      <w:pPr>
        <w:shd w:val="clear" w:color="auto" w:fill="FFFFFF"/>
        <w:spacing w:before="120"/>
        <w:ind w:left="384"/>
      </w:pPr>
      <w:r w:rsidRPr="003D7ED4">
        <w:rPr>
          <w:sz w:val="24"/>
          <w:szCs w:val="24"/>
          <w:lang w:val="en-US"/>
        </w:rPr>
        <w:t>The Parliament of Australia enacts:</w:t>
      </w:r>
    </w:p>
    <w:p w14:paraId="46D4D028" w14:textId="77777777" w:rsidR="00AF3F25" w:rsidRPr="003D7ED4" w:rsidRDefault="00AF3F25" w:rsidP="00124A91">
      <w:pPr>
        <w:shd w:val="clear" w:color="auto" w:fill="FFFFFF"/>
        <w:spacing w:before="120" w:after="60"/>
      </w:pPr>
      <w:r w:rsidRPr="003D7ED4">
        <w:rPr>
          <w:b/>
          <w:bCs/>
          <w:sz w:val="24"/>
          <w:szCs w:val="24"/>
          <w:lang w:val="en-US"/>
        </w:rPr>
        <w:t>Short title</w:t>
      </w:r>
    </w:p>
    <w:p w14:paraId="6D426C30" w14:textId="77777777" w:rsidR="00AF3F25" w:rsidRPr="003D7ED4" w:rsidRDefault="00AF3F25" w:rsidP="00124A91">
      <w:pPr>
        <w:shd w:val="clear" w:color="auto" w:fill="FFFFFF"/>
        <w:spacing w:before="120"/>
        <w:ind w:left="34" w:firstLine="350"/>
      </w:pPr>
      <w:r w:rsidRPr="003D7ED4">
        <w:rPr>
          <w:b/>
          <w:bCs/>
          <w:sz w:val="24"/>
          <w:szCs w:val="24"/>
          <w:lang w:val="en-US"/>
        </w:rPr>
        <w:t xml:space="preserve">1.(1) </w:t>
      </w:r>
      <w:r w:rsidRPr="003D7ED4">
        <w:rPr>
          <w:sz w:val="24"/>
          <w:szCs w:val="24"/>
          <w:lang w:val="en-US"/>
        </w:rPr>
        <w:t>This</w:t>
      </w:r>
      <w:r w:rsidR="0057449D" w:rsidRPr="003D7ED4">
        <w:rPr>
          <w:sz w:val="24"/>
          <w:szCs w:val="24"/>
          <w:lang w:val="en-US"/>
        </w:rPr>
        <w:t xml:space="preserve"> </w:t>
      </w:r>
      <w:r w:rsidRPr="003D7ED4">
        <w:rPr>
          <w:sz w:val="24"/>
          <w:szCs w:val="24"/>
          <w:lang w:val="en-US"/>
        </w:rPr>
        <w:t>Act</w:t>
      </w:r>
      <w:r w:rsidR="0057449D" w:rsidRPr="003D7ED4">
        <w:rPr>
          <w:sz w:val="24"/>
          <w:szCs w:val="24"/>
          <w:lang w:val="en-US"/>
        </w:rPr>
        <w:t xml:space="preserve"> </w:t>
      </w:r>
      <w:r w:rsidRPr="003D7ED4">
        <w:rPr>
          <w:sz w:val="24"/>
          <w:szCs w:val="24"/>
          <w:lang w:val="en-US"/>
        </w:rPr>
        <w:t>may</w:t>
      </w:r>
      <w:r w:rsidR="0057449D" w:rsidRPr="003D7ED4">
        <w:rPr>
          <w:sz w:val="24"/>
          <w:szCs w:val="24"/>
          <w:lang w:val="en-US"/>
        </w:rPr>
        <w:t xml:space="preserve"> </w:t>
      </w:r>
      <w:r w:rsidRPr="003D7ED4">
        <w:rPr>
          <w:sz w:val="24"/>
          <w:szCs w:val="24"/>
          <w:lang w:val="en-US"/>
        </w:rPr>
        <w:t>be</w:t>
      </w:r>
      <w:r w:rsidR="0057449D" w:rsidRPr="003D7ED4">
        <w:rPr>
          <w:sz w:val="24"/>
          <w:szCs w:val="24"/>
          <w:lang w:val="en-US"/>
        </w:rPr>
        <w:t xml:space="preserve"> </w:t>
      </w:r>
      <w:r w:rsidRPr="003D7ED4">
        <w:rPr>
          <w:sz w:val="24"/>
          <w:szCs w:val="24"/>
          <w:lang w:val="en-US"/>
        </w:rPr>
        <w:t>cited</w:t>
      </w:r>
      <w:r w:rsidR="0057449D" w:rsidRPr="003D7ED4">
        <w:rPr>
          <w:sz w:val="24"/>
          <w:szCs w:val="24"/>
          <w:lang w:val="en-US"/>
        </w:rPr>
        <w:t xml:space="preserve"> </w:t>
      </w:r>
      <w:r w:rsidRPr="003D7ED4">
        <w:rPr>
          <w:sz w:val="24"/>
          <w:szCs w:val="24"/>
          <w:lang w:val="en-US"/>
        </w:rPr>
        <w:t>as</w:t>
      </w:r>
      <w:r w:rsidR="0057449D" w:rsidRPr="003D7ED4">
        <w:rPr>
          <w:sz w:val="24"/>
          <w:szCs w:val="24"/>
          <w:lang w:val="en-US"/>
        </w:rPr>
        <w:t xml:space="preserve"> </w:t>
      </w:r>
      <w:r w:rsidRPr="003D7ED4">
        <w:rPr>
          <w:sz w:val="24"/>
          <w:szCs w:val="24"/>
          <w:lang w:val="en-US"/>
        </w:rPr>
        <w:t>the</w:t>
      </w:r>
      <w:r w:rsidR="0057449D" w:rsidRPr="003D7ED4">
        <w:rPr>
          <w:sz w:val="24"/>
          <w:szCs w:val="24"/>
          <w:lang w:val="en-US"/>
        </w:rPr>
        <w:t xml:space="preserve"> </w:t>
      </w:r>
      <w:r w:rsidRPr="003D7ED4">
        <w:rPr>
          <w:i/>
          <w:iCs/>
          <w:sz w:val="24"/>
          <w:szCs w:val="24"/>
          <w:lang w:val="en-US"/>
        </w:rPr>
        <w:t>Data-matching</w:t>
      </w:r>
      <w:r w:rsidR="0057449D" w:rsidRPr="003D7ED4">
        <w:rPr>
          <w:i/>
          <w:iCs/>
          <w:sz w:val="24"/>
          <w:szCs w:val="24"/>
          <w:lang w:val="en-US"/>
        </w:rPr>
        <w:t xml:space="preserve"> </w:t>
      </w:r>
      <w:r w:rsidRPr="003D7ED4">
        <w:rPr>
          <w:i/>
          <w:iCs/>
          <w:sz w:val="24"/>
          <w:szCs w:val="24"/>
          <w:lang w:val="en-US"/>
        </w:rPr>
        <w:t>Program (Assistance and Tax) Amendment Act 1992.</w:t>
      </w:r>
    </w:p>
    <w:p w14:paraId="283D6F97" w14:textId="77777777" w:rsidR="00AF3F25" w:rsidRPr="003D7ED4" w:rsidRDefault="00AF3F25" w:rsidP="00124A91">
      <w:pPr>
        <w:shd w:val="clear" w:color="auto" w:fill="FFFFFF"/>
        <w:spacing w:before="120"/>
        <w:ind w:left="24" w:firstLine="341"/>
      </w:pPr>
      <w:r w:rsidRPr="003D7ED4">
        <w:rPr>
          <w:b/>
          <w:bCs/>
          <w:sz w:val="24"/>
          <w:szCs w:val="24"/>
          <w:lang w:val="en-US"/>
        </w:rPr>
        <w:t>(2)</w:t>
      </w:r>
      <w:r w:rsidRPr="003D7ED4">
        <w:rPr>
          <w:sz w:val="24"/>
          <w:szCs w:val="24"/>
          <w:lang w:val="en-US"/>
        </w:rPr>
        <w:t xml:space="preserve"> In this Act, </w:t>
      </w:r>
      <w:r w:rsidR="0057449D" w:rsidRPr="003D7ED4">
        <w:rPr>
          <w:b/>
          <w:bCs/>
          <w:sz w:val="24"/>
          <w:szCs w:val="24"/>
          <w:lang w:val="en-US"/>
        </w:rPr>
        <w:t>“</w:t>
      </w:r>
      <w:r w:rsidRPr="003D7ED4">
        <w:rPr>
          <w:b/>
          <w:bCs/>
          <w:sz w:val="24"/>
          <w:szCs w:val="24"/>
          <w:lang w:val="en-US"/>
        </w:rPr>
        <w:t>Principal Act</w:t>
      </w:r>
      <w:r w:rsidR="0057449D" w:rsidRPr="003D7ED4">
        <w:rPr>
          <w:b/>
          <w:bCs/>
          <w:sz w:val="24"/>
          <w:szCs w:val="24"/>
          <w:lang w:val="en-US"/>
        </w:rPr>
        <w:t>”</w:t>
      </w:r>
      <w:r w:rsidRPr="003D7ED4">
        <w:rPr>
          <w:b/>
          <w:bCs/>
          <w:sz w:val="24"/>
          <w:szCs w:val="24"/>
          <w:lang w:val="en-US"/>
        </w:rPr>
        <w:t xml:space="preserve"> </w:t>
      </w:r>
      <w:r w:rsidRPr="003D7ED4">
        <w:rPr>
          <w:sz w:val="24"/>
          <w:szCs w:val="24"/>
          <w:lang w:val="en-US"/>
        </w:rPr>
        <w:t xml:space="preserve">means the </w:t>
      </w:r>
      <w:r w:rsidRPr="003D7ED4">
        <w:rPr>
          <w:i/>
          <w:iCs/>
          <w:sz w:val="24"/>
          <w:szCs w:val="24"/>
          <w:lang w:val="en-US"/>
        </w:rPr>
        <w:t>Data-matching Program (Assistance and Tax) Act 1990</w:t>
      </w:r>
      <w:r w:rsidRPr="003D7ED4">
        <w:rPr>
          <w:sz w:val="24"/>
          <w:szCs w:val="24"/>
          <w:vertAlign w:val="superscript"/>
          <w:lang w:val="en-US"/>
        </w:rPr>
        <w:t>1</w:t>
      </w:r>
      <w:r w:rsidRPr="003D7ED4">
        <w:rPr>
          <w:i/>
          <w:iCs/>
          <w:sz w:val="24"/>
          <w:szCs w:val="24"/>
          <w:lang w:val="en-US"/>
        </w:rPr>
        <w:t>.</w:t>
      </w:r>
    </w:p>
    <w:p w14:paraId="57EEBAF6" w14:textId="77777777" w:rsidR="00AF3F25" w:rsidRPr="003D7ED4" w:rsidRDefault="00AF3F25" w:rsidP="00124A91">
      <w:pPr>
        <w:shd w:val="clear" w:color="auto" w:fill="FFFFFF"/>
        <w:spacing w:before="120" w:after="60"/>
      </w:pPr>
      <w:r w:rsidRPr="003D7ED4">
        <w:rPr>
          <w:b/>
          <w:bCs/>
          <w:sz w:val="24"/>
          <w:szCs w:val="24"/>
          <w:lang w:val="en-US"/>
        </w:rPr>
        <w:t>Commencement</w:t>
      </w:r>
    </w:p>
    <w:p w14:paraId="7C8757AA" w14:textId="77777777" w:rsidR="00AF3F25" w:rsidRPr="003D7ED4" w:rsidRDefault="00AF3F25" w:rsidP="00124A91">
      <w:pPr>
        <w:shd w:val="clear" w:color="auto" w:fill="FFFFFF"/>
        <w:spacing w:before="120"/>
        <w:ind w:left="10" w:firstLine="350"/>
      </w:pPr>
      <w:r w:rsidRPr="003D7ED4">
        <w:rPr>
          <w:b/>
          <w:bCs/>
          <w:sz w:val="24"/>
          <w:szCs w:val="24"/>
          <w:lang w:val="en-US"/>
        </w:rPr>
        <w:t xml:space="preserve">2.(1) </w:t>
      </w:r>
      <w:r w:rsidRPr="003D7ED4">
        <w:rPr>
          <w:sz w:val="24"/>
          <w:szCs w:val="24"/>
          <w:lang w:val="en-US"/>
        </w:rPr>
        <w:t>Apart from section 7, this Act commences on the day on which it receives the Royal Assent.</w:t>
      </w:r>
    </w:p>
    <w:p w14:paraId="6F3B0EF7" w14:textId="77777777" w:rsidR="00AF3F25" w:rsidRPr="003D7ED4" w:rsidRDefault="00AF3F25" w:rsidP="00124A91">
      <w:pPr>
        <w:shd w:val="clear" w:color="auto" w:fill="FFFFFF"/>
        <w:spacing w:before="120"/>
        <w:ind w:firstLine="350"/>
      </w:pPr>
      <w:r w:rsidRPr="003D7ED4">
        <w:rPr>
          <w:b/>
          <w:bCs/>
          <w:sz w:val="24"/>
          <w:szCs w:val="24"/>
          <w:lang w:val="en-US"/>
        </w:rPr>
        <w:t>(2)</w:t>
      </w:r>
      <w:r w:rsidRPr="003D7ED4">
        <w:rPr>
          <w:sz w:val="24"/>
          <w:szCs w:val="24"/>
          <w:lang w:val="en-US"/>
        </w:rPr>
        <w:t xml:space="preserve"> Section 7 commences, or is taken to have commenced, as the case may be, on 22 January 1993.</w:t>
      </w:r>
    </w:p>
    <w:p w14:paraId="47B9FD76" w14:textId="77777777" w:rsidR="00AF3F25" w:rsidRPr="003D7ED4" w:rsidRDefault="00AF3F25" w:rsidP="00124A91">
      <w:pPr>
        <w:shd w:val="clear" w:color="auto" w:fill="FFFFFF"/>
        <w:spacing w:before="120"/>
        <w:ind w:firstLine="350"/>
        <w:sectPr w:rsidR="00AF3F25" w:rsidRPr="003D7ED4" w:rsidSect="00EA6465">
          <w:headerReference w:type="default" r:id="rId9"/>
          <w:type w:val="continuous"/>
          <w:pgSz w:w="12240" w:h="15840" w:code="1"/>
          <w:pgMar w:top="1440" w:right="1440" w:bottom="1440" w:left="1440" w:header="720" w:footer="720" w:gutter="0"/>
          <w:cols w:space="60"/>
          <w:noEndnote/>
          <w:titlePg/>
          <w:docGrid w:linePitch="272"/>
        </w:sectPr>
      </w:pPr>
    </w:p>
    <w:p w14:paraId="453D68B7" w14:textId="75D8F353" w:rsidR="00AF3F25" w:rsidRPr="003D7ED4" w:rsidRDefault="00AF3F25" w:rsidP="00124A91">
      <w:pPr>
        <w:shd w:val="clear" w:color="auto" w:fill="FFFFFF"/>
        <w:spacing w:before="120" w:after="60"/>
      </w:pPr>
      <w:r w:rsidRPr="003D7ED4">
        <w:rPr>
          <w:b/>
          <w:bCs/>
          <w:sz w:val="24"/>
          <w:szCs w:val="24"/>
          <w:lang w:val="en-US"/>
        </w:rPr>
        <w:lastRenderedPageBreak/>
        <w:t>St</w:t>
      </w:r>
      <w:bookmarkStart w:id="0" w:name="_GoBack"/>
      <w:bookmarkEnd w:id="0"/>
      <w:r w:rsidRPr="003D7ED4">
        <w:rPr>
          <w:b/>
          <w:bCs/>
          <w:sz w:val="24"/>
          <w:szCs w:val="24"/>
          <w:lang w:val="en-US"/>
        </w:rPr>
        <w:t>eps in data matching cycle</w:t>
      </w:r>
    </w:p>
    <w:p w14:paraId="5FE70DF1" w14:textId="77777777" w:rsidR="00AF3F25" w:rsidRPr="003D7ED4" w:rsidRDefault="00AF3F25" w:rsidP="004F77D7">
      <w:pPr>
        <w:shd w:val="clear" w:color="auto" w:fill="FFFFFF"/>
        <w:tabs>
          <w:tab w:val="left" w:pos="634"/>
        </w:tabs>
        <w:spacing w:before="120"/>
        <w:ind w:left="10" w:firstLine="326"/>
        <w:jc w:val="both"/>
      </w:pPr>
      <w:r w:rsidRPr="003D7ED4">
        <w:rPr>
          <w:b/>
          <w:bCs/>
          <w:sz w:val="24"/>
          <w:szCs w:val="24"/>
          <w:lang w:val="en-US"/>
        </w:rPr>
        <w:t>3.</w:t>
      </w:r>
      <w:r w:rsidRPr="003D7ED4">
        <w:rPr>
          <w:b/>
          <w:bCs/>
          <w:sz w:val="24"/>
          <w:szCs w:val="24"/>
          <w:lang w:val="en-US"/>
        </w:rPr>
        <w:tab/>
      </w:r>
      <w:r w:rsidRPr="003D7ED4">
        <w:rPr>
          <w:sz w:val="24"/>
          <w:szCs w:val="24"/>
          <w:lang w:val="en-US"/>
        </w:rPr>
        <w:t>Section 7 of the Principal Act is amended by inserting the</w:t>
      </w:r>
      <w:r w:rsidR="00124A91">
        <w:rPr>
          <w:sz w:val="24"/>
          <w:szCs w:val="24"/>
          <w:lang w:val="en-US"/>
        </w:rPr>
        <w:t xml:space="preserve"> </w:t>
      </w:r>
      <w:r w:rsidRPr="003D7ED4">
        <w:rPr>
          <w:sz w:val="24"/>
          <w:szCs w:val="24"/>
          <w:lang w:val="en-US"/>
        </w:rPr>
        <w:t>following paragraph after paragraph 14 in Step 5:</w:t>
      </w:r>
    </w:p>
    <w:p w14:paraId="3E0ED21C" w14:textId="77777777" w:rsidR="00AF3F25" w:rsidRPr="003D7ED4" w:rsidRDefault="0057449D" w:rsidP="00124A91">
      <w:pPr>
        <w:shd w:val="clear" w:color="auto" w:fill="FFFFFF"/>
        <w:spacing w:before="120"/>
        <w:ind w:left="24" w:firstLine="346"/>
      </w:pPr>
      <w:r w:rsidRPr="003D7ED4">
        <w:rPr>
          <w:sz w:val="24"/>
          <w:szCs w:val="24"/>
          <w:lang w:val="en-US"/>
        </w:rPr>
        <w:t>“</w:t>
      </w:r>
      <w:r w:rsidR="00AF3F25" w:rsidRPr="003D7ED4">
        <w:rPr>
          <w:sz w:val="24"/>
          <w:szCs w:val="24"/>
          <w:lang w:val="en-US"/>
        </w:rPr>
        <w:t>14A. If the source agency and the matching agency have agreed that this paragraph applies, the following subparagraphs apply:</w:t>
      </w:r>
    </w:p>
    <w:p w14:paraId="599F43CD" w14:textId="77777777" w:rsidR="00AF3F25" w:rsidRPr="003D7ED4" w:rsidRDefault="00AF3F25" w:rsidP="00124A91">
      <w:pPr>
        <w:numPr>
          <w:ilvl w:val="0"/>
          <w:numId w:val="1"/>
        </w:numPr>
        <w:shd w:val="clear" w:color="auto" w:fill="FFFFFF"/>
        <w:tabs>
          <w:tab w:val="left" w:pos="792"/>
        </w:tabs>
        <w:spacing w:before="120"/>
        <w:ind w:left="792" w:hanging="394"/>
        <w:jc w:val="both"/>
        <w:rPr>
          <w:sz w:val="24"/>
          <w:szCs w:val="24"/>
          <w:lang w:val="en-US"/>
        </w:rPr>
      </w:pPr>
      <w:r w:rsidRPr="003D7ED4">
        <w:rPr>
          <w:sz w:val="24"/>
          <w:szCs w:val="24"/>
          <w:lang w:val="en-US"/>
        </w:rPr>
        <w:t>if the matching agency thinks that any results of a payment or income matching appear to be results to which paragraph 15 applies, the matching agency gives a sample to the source agency;</w:t>
      </w:r>
    </w:p>
    <w:p w14:paraId="4DF90230" w14:textId="77777777" w:rsidR="00AF3F25" w:rsidRPr="003D7ED4" w:rsidRDefault="00AF3F25" w:rsidP="00124A91">
      <w:pPr>
        <w:numPr>
          <w:ilvl w:val="0"/>
          <w:numId w:val="1"/>
        </w:numPr>
        <w:shd w:val="clear" w:color="auto" w:fill="FFFFFF"/>
        <w:tabs>
          <w:tab w:val="left" w:pos="792"/>
        </w:tabs>
        <w:spacing w:before="120"/>
        <w:ind w:left="398"/>
        <w:rPr>
          <w:sz w:val="24"/>
          <w:szCs w:val="24"/>
          <w:lang w:val="en-US"/>
        </w:rPr>
      </w:pPr>
      <w:r w:rsidRPr="003D7ED4">
        <w:rPr>
          <w:sz w:val="24"/>
          <w:szCs w:val="24"/>
          <w:lang w:val="en-US"/>
        </w:rPr>
        <w:t>the source agency tests the sample;</w:t>
      </w:r>
    </w:p>
    <w:p w14:paraId="64D5C8CC" w14:textId="77777777" w:rsidR="00AF3F25" w:rsidRPr="003D7ED4" w:rsidRDefault="00AF3F25" w:rsidP="00124A91">
      <w:pPr>
        <w:numPr>
          <w:ilvl w:val="0"/>
          <w:numId w:val="1"/>
        </w:numPr>
        <w:shd w:val="clear" w:color="auto" w:fill="FFFFFF"/>
        <w:tabs>
          <w:tab w:val="left" w:pos="792"/>
        </w:tabs>
        <w:spacing w:before="120"/>
        <w:ind w:left="792" w:hanging="394"/>
        <w:jc w:val="both"/>
        <w:rPr>
          <w:sz w:val="24"/>
          <w:szCs w:val="24"/>
          <w:lang w:val="en-US"/>
        </w:rPr>
      </w:pPr>
      <w:r w:rsidRPr="003D7ED4">
        <w:rPr>
          <w:sz w:val="24"/>
          <w:szCs w:val="24"/>
          <w:lang w:val="en-US"/>
        </w:rPr>
        <w:t>if the source agency thinks the sample may be wrong, and that the error may be corrected by adjusting an algorithm used by the matching agency, the source agency suggests the adjustment;</w:t>
      </w:r>
    </w:p>
    <w:p w14:paraId="78852062" w14:textId="77777777" w:rsidR="00AF3F25" w:rsidRPr="003D7ED4" w:rsidRDefault="00AF3F25" w:rsidP="00124A91">
      <w:pPr>
        <w:numPr>
          <w:ilvl w:val="0"/>
          <w:numId w:val="1"/>
        </w:numPr>
        <w:shd w:val="clear" w:color="auto" w:fill="FFFFFF"/>
        <w:tabs>
          <w:tab w:val="left" w:pos="792"/>
        </w:tabs>
        <w:spacing w:before="120"/>
        <w:ind w:left="792" w:hanging="394"/>
        <w:jc w:val="both"/>
        <w:rPr>
          <w:sz w:val="24"/>
          <w:szCs w:val="24"/>
          <w:lang w:val="en-US"/>
        </w:rPr>
      </w:pPr>
      <w:r w:rsidRPr="003D7ED4">
        <w:rPr>
          <w:sz w:val="24"/>
          <w:szCs w:val="24"/>
          <w:lang w:val="en-US"/>
        </w:rPr>
        <w:t>the matching agency makes the adjustment and repeats the relevant parts of the matching;</w:t>
      </w:r>
    </w:p>
    <w:p w14:paraId="26384D7C" w14:textId="77777777" w:rsidR="00AF3F25" w:rsidRPr="003D7ED4" w:rsidRDefault="00AF3F25" w:rsidP="00124A91">
      <w:pPr>
        <w:numPr>
          <w:ilvl w:val="0"/>
          <w:numId w:val="1"/>
        </w:numPr>
        <w:shd w:val="clear" w:color="auto" w:fill="FFFFFF"/>
        <w:tabs>
          <w:tab w:val="left" w:pos="792"/>
        </w:tabs>
        <w:spacing w:before="120"/>
        <w:ind w:left="792" w:hanging="394"/>
        <w:jc w:val="both"/>
        <w:rPr>
          <w:sz w:val="24"/>
          <w:szCs w:val="24"/>
          <w:lang w:val="en-US"/>
        </w:rPr>
      </w:pPr>
      <w:r w:rsidRPr="003D7ED4">
        <w:rPr>
          <w:sz w:val="24"/>
          <w:szCs w:val="24"/>
          <w:lang w:val="en-US"/>
        </w:rPr>
        <w:t>subject to section 9, these subparagraphs apply as often as necessary until the matching is complete;</w:t>
      </w:r>
    </w:p>
    <w:p w14:paraId="59014784" w14:textId="77777777" w:rsidR="00AF3F25" w:rsidRPr="003D7ED4" w:rsidRDefault="00AF3F25" w:rsidP="00124A91">
      <w:pPr>
        <w:shd w:val="clear" w:color="auto" w:fill="FFFFFF"/>
        <w:spacing w:before="120"/>
        <w:ind w:left="787" w:hanging="341"/>
        <w:jc w:val="both"/>
      </w:pPr>
      <w:r w:rsidRPr="003D7ED4">
        <w:rPr>
          <w:sz w:val="24"/>
          <w:szCs w:val="24"/>
          <w:lang w:val="en-US"/>
        </w:rPr>
        <w:t>(f) if the source agency is an assistance agency, information exchanged under this paragraph must not include the return of TFN data from the matching agency to the source agency;</w:t>
      </w:r>
    </w:p>
    <w:p w14:paraId="21217902" w14:textId="77777777" w:rsidR="00AF3F25" w:rsidRPr="003D7ED4" w:rsidRDefault="00AF3F25" w:rsidP="00124A91">
      <w:pPr>
        <w:shd w:val="clear" w:color="auto" w:fill="FFFFFF"/>
        <w:spacing w:before="120"/>
        <w:ind w:left="787" w:hanging="374"/>
        <w:jc w:val="both"/>
      </w:pPr>
      <w:r w:rsidRPr="003D7ED4">
        <w:rPr>
          <w:sz w:val="24"/>
          <w:szCs w:val="24"/>
          <w:lang w:val="en-US"/>
        </w:rPr>
        <w:t>(g) the source agency must destroy the sample as soon as practicable after the matching is complete.</w:t>
      </w:r>
      <w:r w:rsidR="0057449D" w:rsidRPr="003D7ED4">
        <w:rPr>
          <w:sz w:val="24"/>
          <w:szCs w:val="24"/>
          <w:lang w:val="en-US"/>
        </w:rPr>
        <w:t>”</w:t>
      </w:r>
      <w:r w:rsidRPr="003D7ED4">
        <w:rPr>
          <w:sz w:val="24"/>
          <w:szCs w:val="24"/>
          <w:lang w:val="en-US"/>
        </w:rPr>
        <w:t>.</w:t>
      </w:r>
    </w:p>
    <w:p w14:paraId="1C2C0457" w14:textId="77777777" w:rsidR="00AF3F25" w:rsidRPr="003D7ED4" w:rsidRDefault="00AF3F25" w:rsidP="00124A91">
      <w:pPr>
        <w:shd w:val="clear" w:color="auto" w:fill="FFFFFF"/>
        <w:spacing w:before="120" w:after="60"/>
      </w:pPr>
      <w:r w:rsidRPr="003D7ED4">
        <w:rPr>
          <w:b/>
          <w:bCs/>
          <w:sz w:val="24"/>
          <w:szCs w:val="24"/>
          <w:lang w:val="en-US"/>
        </w:rPr>
        <w:t>Length of data matching cycle</w:t>
      </w:r>
    </w:p>
    <w:p w14:paraId="5FAF4370" w14:textId="77777777" w:rsidR="00AF3F25" w:rsidRPr="003D7ED4" w:rsidRDefault="00AF3F25" w:rsidP="004F77D7">
      <w:pPr>
        <w:shd w:val="clear" w:color="auto" w:fill="FFFFFF"/>
        <w:tabs>
          <w:tab w:val="left" w:pos="634"/>
        </w:tabs>
        <w:spacing w:before="120"/>
        <w:ind w:left="10" w:firstLine="326"/>
        <w:jc w:val="both"/>
      </w:pPr>
      <w:r w:rsidRPr="003D7ED4">
        <w:rPr>
          <w:b/>
          <w:bCs/>
          <w:sz w:val="24"/>
          <w:szCs w:val="24"/>
          <w:lang w:val="en-US"/>
        </w:rPr>
        <w:t>4.</w:t>
      </w:r>
      <w:r w:rsidRPr="003D7ED4">
        <w:rPr>
          <w:b/>
          <w:bCs/>
          <w:sz w:val="24"/>
          <w:szCs w:val="24"/>
          <w:lang w:val="en-US"/>
        </w:rPr>
        <w:tab/>
      </w:r>
      <w:r w:rsidRPr="003D7ED4">
        <w:rPr>
          <w:sz w:val="24"/>
          <w:szCs w:val="24"/>
          <w:lang w:val="en-US"/>
        </w:rPr>
        <w:t>Section 9 of the Principal Act is amended by omitting subsection</w:t>
      </w:r>
      <w:r w:rsidR="00124A91">
        <w:rPr>
          <w:sz w:val="24"/>
          <w:szCs w:val="24"/>
          <w:lang w:val="en-US"/>
        </w:rPr>
        <w:t xml:space="preserve"> </w:t>
      </w:r>
      <w:r w:rsidRPr="003D7ED4">
        <w:rPr>
          <w:sz w:val="24"/>
          <w:szCs w:val="24"/>
          <w:lang w:val="en-US"/>
        </w:rPr>
        <w:t>(2) and substituting the following subsections:</w:t>
      </w:r>
    </w:p>
    <w:p w14:paraId="61BB049D" w14:textId="77777777" w:rsidR="00AF3F25" w:rsidRPr="003D7ED4" w:rsidRDefault="0057449D" w:rsidP="00124A91">
      <w:pPr>
        <w:shd w:val="clear" w:color="auto" w:fill="FFFFFF"/>
        <w:spacing w:before="120"/>
        <w:ind w:left="10" w:firstLine="341"/>
      </w:pPr>
      <w:r w:rsidRPr="003D7ED4">
        <w:rPr>
          <w:sz w:val="24"/>
          <w:szCs w:val="24"/>
          <w:lang w:val="en-US"/>
        </w:rPr>
        <w:t>“</w:t>
      </w:r>
      <w:r w:rsidR="00AF3F25" w:rsidRPr="003D7ED4">
        <w:rPr>
          <w:sz w:val="24"/>
          <w:szCs w:val="24"/>
          <w:lang w:val="en-US"/>
        </w:rPr>
        <w:t>(2) Step 5 in a data matching cycle is to be completed no later than 7 days after it began.</w:t>
      </w:r>
    </w:p>
    <w:p w14:paraId="5EACEE93" w14:textId="77777777" w:rsidR="00AF3F25" w:rsidRPr="003D7ED4" w:rsidRDefault="0057449D" w:rsidP="00124A91">
      <w:pPr>
        <w:shd w:val="clear" w:color="auto" w:fill="FFFFFF"/>
        <w:spacing w:before="120"/>
        <w:ind w:left="10" w:firstLine="341"/>
      </w:pPr>
      <w:r w:rsidRPr="003D7ED4">
        <w:rPr>
          <w:sz w:val="24"/>
          <w:szCs w:val="24"/>
          <w:lang w:val="en-US"/>
        </w:rPr>
        <w:t>“</w:t>
      </w:r>
      <w:r w:rsidR="00AF3F25" w:rsidRPr="003D7ED4">
        <w:rPr>
          <w:sz w:val="24"/>
          <w:szCs w:val="24"/>
          <w:lang w:val="en-US"/>
        </w:rPr>
        <w:t>(2A) The</w:t>
      </w:r>
      <w:r w:rsidRPr="003D7ED4">
        <w:rPr>
          <w:sz w:val="24"/>
          <w:szCs w:val="24"/>
          <w:lang w:val="en-US"/>
        </w:rPr>
        <w:t xml:space="preserve"> </w:t>
      </w:r>
      <w:r w:rsidR="00AF3F25" w:rsidRPr="003D7ED4">
        <w:rPr>
          <w:sz w:val="24"/>
          <w:szCs w:val="24"/>
          <w:lang w:val="en-US"/>
        </w:rPr>
        <w:t>following times</w:t>
      </w:r>
      <w:r w:rsidRPr="003D7ED4">
        <w:rPr>
          <w:sz w:val="24"/>
          <w:szCs w:val="24"/>
          <w:lang w:val="en-US"/>
        </w:rPr>
        <w:t xml:space="preserve"> </w:t>
      </w:r>
      <w:r w:rsidR="00AF3F25" w:rsidRPr="003D7ED4">
        <w:rPr>
          <w:sz w:val="24"/>
          <w:szCs w:val="24"/>
          <w:lang w:val="en-US"/>
        </w:rPr>
        <w:t>do</w:t>
      </w:r>
      <w:r w:rsidRPr="003D7ED4">
        <w:rPr>
          <w:sz w:val="24"/>
          <w:szCs w:val="24"/>
          <w:lang w:val="en-US"/>
        </w:rPr>
        <w:t xml:space="preserve"> </w:t>
      </w:r>
      <w:r w:rsidR="00AF3F25" w:rsidRPr="003D7ED4">
        <w:rPr>
          <w:sz w:val="24"/>
          <w:szCs w:val="24"/>
          <w:lang w:val="en-US"/>
        </w:rPr>
        <w:t>not</w:t>
      </w:r>
      <w:r w:rsidRPr="003D7ED4">
        <w:rPr>
          <w:sz w:val="24"/>
          <w:szCs w:val="24"/>
          <w:lang w:val="en-US"/>
        </w:rPr>
        <w:t xml:space="preserve"> </w:t>
      </w:r>
      <w:r w:rsidR="00AF3F25" w:rsidRPr="003D7ED4">
        <w:rPr>
          <w:sz w:val="24"/>
          <w:szCs w:val="24"/>
          <w:lang w:val="en-US"/>
        </w:rPr>
        <w:t>count</w:t>
      </w:r>
      <w:r w:rsidRPr="003D7ED4">
        <w:rPr>
          <w:sz w:val="24"/>
          <w:szCs w:val="24"/>
          <w:lang w:val="en-US"/>
        </w:rPr>
        <w:t xml:space="preserve"> </w:t>
      </w:r>
      <w:r w:rsidR="00AF3F25" w:rsidRPr="003D7ED4">
        <w:rPr>
          <w:sz w:val="24"/>
          <w:szCs w:val="24"/>
          <w:lang w:val="en-US"/>
        </w:rPr>
        <w:t>for</w:t>
      </w:r>
      <w:r w:rsidRPr="003D7ED4">
        <w:rPr>
          <w:sz w:val="24"/>
          <w:szCs w:val="24"/>
          <w:lang w:val="en-US"/>
        </w:rPr>
        <w:t xml:space="preserve"> </w:t>
      </w:r>
      <w:r w:rsidR="00AF3F25" w:rsidRPr="003D7ED4">
        <w:rPr>
          <w:sz w:val="24"/>
          <w:szCs w:val="24"/>
          <w:lang w:val="en-US"/>
        </w:rPr>
        <w:t>the</w:t>
      </w:r>
      <w:r w:rsidRPr="003D7ED4">
        <w:rPr>
          <w:sz w:val="24"/>
          <w:szCs w:val="24"/>
          <w:lang w:val="en-US"/>
        </w:rPr>
        <w:t xml:space="preserve"> </w:t>
      </w:r>
      <w:r w:rsidR="00AF3F25" w:rsidRPr="003D7ED4">
        <w:rPr>
          <w:sz w:val="24"/>
          <w:szCs w:val="24"/>
          <w:lang w:val="en-US"/>
        </w:rPr>
        <w:t>purposes</w:t>
      </w:r>
      <w:r w:rsidRPr="003D7ED4">
        <w:rPr>
          <w:sz w:val="24"/>
          <w:szCs w:val="24"/>
          <w:lang w:val="en-US"/>
        </w:rPr>
        <w:t xml:space="preserve"> </w:t>
      </w:r>
      <w:r w:rsidR="00AF3F25" w:rsidRPr="003D7ED4">
        <w:rPr>
          <w:sz w:val="24"/>
          <w:szCs w:val="24"/>
          <w:lang w:val="en-US"/>
        </w:rPr>
        <w:t>of subsection (2):</w:t>
      </w:r>
    </w:p>
    <w:p w14:paraId="2B495AB1" w14:textId="77777777" w:rsidR="00AF3F25" w:rsidRPr="003D7ED4" w:rsidRDefault="00AF3F25" w:rsidP="00124A91">
      <w:pPr>
        <w:numPr>
          <w:ilvl w:val="0"/>
          <w:numId w:val="2"/>
        </w:numPr>
        <w:shd w:val="clear" w:color="auto" w:fill="FFFFFF"/>
        <w:tabs>
          <w:tab w:val="left" w:pos="763"/>
        </w:tabs>
        <w:spacing w:before="120"/>
        <w:ind w:left="763" w:hanging="389"/>
        <w:jc w:val="both"/>
        <w:rPr>
          <w:sz w:val="24"/>
          <w:szCs w:val="24"/>
          <w:lang w:val="en-US"/>
        </w:rPr>
      </w:pPr>
      <w:r w:rsidRPr="003D7ED4">
        <w:rPr>
          <w:sz w:val="24"/>
          <w:szCs w:val="24"/>
          <w:lang w:val="en-US"/>
        </w:rPr>
        <w:t>any time during which the cycle is interrupted by a computer malfunction;</w:t>
      </w:r>
    </w:p>
    <w:p w14:paraId="3828F13F" w14:textId="77777777" w:rsidR="00AF3F25" w:rsidRPr="003D7ED4" w:rsidRDefault="00AF3F25" w:rsidP="00124A91">
      <w:pPr>
        <w:numPr>
          <w:ilvl w:val="0"/>
          <w:numId w:val="2"/>
        </w:numPr>
        <w:shd w:val="clear" w:color="auto" w:fill="FFFFFF"/>
        <w:tabs>
          <w:tab w:val="left" w:pos="763"/>
        </w:tabs>
        <w:spacing w:before="120"/>
        <w:ind w:left="763" w:hanging="389"/>
        <w:jc w:val="both"/>
        <w:rPr>
          <w:sz w:val="24"/>
          <w:szCs w:val="24"/>
          <w:lang w:val="en-US"/>
        </w:rPr>
      </w:pPr>
      <w:r w:rsidRPr="003D7ED4">
        <w:rPr>
          <w:sz w:val="24"/>
          <w:szCs w:val="24"/>
          <w:lang w:val="en-US"/>
        </w:rPr>
        <w:t>any time during which the cycle is interrupted by industrial action.</w:t>
      </w:r>
      <w:r w:rsidR="0057449D" w:rsidRPr="003D7ED4">
        <w:rPr>
          <w:sz w:val="24"/>
          <w:szCs w:val="24"/>
          <w:lang w:val="en-US"/>
        </w:rPr>
        <w:t>”</w:t>
      </w:r>
      <w:r w:rsidRPr="003D7ED4">
        <w:rPr>
          <w:sz w:val="24"/>
          <w:szCs w:val="24"/>
          <w:lang w:val="en-US"/>
        </w:rPr>
        <w:t>.</w:t>
      </w:r>
    </w:p>
    <w:p w14:paraId="15BBD987" w14:textId="77777777" w:rsidR="00AF3F25" w:rsidRPr="003D7ED4" w:rsidRDefault="00AF3F25" w:rsidP="00124A91">
      <w:pPr>
        <w:shd w:val="clear" w:color="auto" w:fill="FFFFFF"/>
        <w:spacing w:before="120" w:after="60"/>
      </w:pPr>
      <w:r w:rsidRPr="003D7ED4">
        <w:rPr>
          <w:b/>
          <w:bCs/>
          <w:sz w:val="24"/>
          <w:szCs w:val="24"/>
          <w:lang w:val="en-US"/>
        </w:rPr>
        <w:t>Notice of proposed action</w:t>
      </w:r>
    </w:p>
    <w:p w14:paraId="6294C923" w14:textId="77777777" w:rsidR="00AF3F25" w:rsidRPr="003D7ED4" w:rsidRDefault="00AF3F25" w:rsidP="00124A91">
      <w:pPr>
        <w:shd w:val="clear" w:color="auto" w:fill="FFFFFF"/>
        <w:tabs>
          <w:tab w:val="left" w:pos="634"/>
        </w:tabs>
        <w:spacing w:before="120"/>
        <w:ind w:left="336"/>
      </w:pPr>
      <w:r w:rsidRPr="003D7ED4">
        <w:rPr>
          <w:b/>
          <w:bCs/>
          <w:sz w:val="24"/>
          <w:szCs w:val="24"/>
          <w:lang w:val="en-US"/>
        </w:rPr>
        <w:t>5.</w:t>
      </w:r>
      <w:r w:rsidRPr="003D7ED4">
        <w:rPr>
          <w:b/>
          <w:bCs/>
          <w:sz w:val="24"/>
          <w:szCs w:val="24"/>
          <w:lang w:val="en-US"/>
        </w:rPr>
        <w:tab/>
      </w:r>
      <w:r w:rsidRPr="003D7ED4">
        <w:rPr>
          <w:sz w:val="24"/>
          <w:szCs w:val="24"/>
          <w:lang w:val="en-US"/>
        </w:rPr>
        <w:t>Section 11 of the Principal Act is amended:</w:t>
      </w:r>
    </w:p>
    <w:p w14:paraId="00F52D4B" w14:textId="77777777" w:rsidR="00AF3F25" w:rsidRPr="003D7ED4" w:rsidRDefault="00AF3F25" w:rsidP="00124A91">
      <w:pPr>
        <w:shd w:val="clear" w:color="auto" w:fill="FFFFFF"/>
        <w:spacing w:before="120"/>
        <w:ind w:left="763" w:hanging="374"/>
      </w:pPr>
      <w:r w:rsidRPr="003D7ED4">
        <w:rPr>
          <w:b/>
          <w:bCs/>
          <w:sz w:val="24"/>
          <w:szCs w:val="24"/>
          <w:lang w:val="en-US"/>
        </w:rPr>
        <w:t>(a)</w:t>
      </w:r>
      <w:r w:rsidRPr="003D7ED4">
        <w:rPr>
          <w:sz w:val="24"/>
          <w:szCs w:val="24"/>
          <w:lang w:val="en-US"/>
        </w:rPr>
        <w:tab/>
        <w:t xml:space="preserve">by omitting from subsection (1) </w:t>
      </w:r>
      <w:r w:rsidR="0057449D" w:rsidRPr="003D7ED4">
        <w:rPr>
          <w:sz w:val="24"/>
          <w:szCs w:val="24"/>
          <w:lang w:val="en-US"/>
        </w:rPr>
        <w:t>“</w:t>
      </w:r>
      <w:r w:rsidRPr="003D7ED4">
        <w:rPr>
          <w:sz w:val="24"/>
          <w:szCs w:val="24"/>
          <w:lang w:val="en-US"/>
        </w:rPr>
        <w:t>subsection (4)</w:t>
      </w:r>
      <w:r w:rsidR="0057449D" w:rsidRPr="003D7ED4">
        <w:rPr>
          <w:sz w:val="24"/>
          <w:szCs w:val="24"/>
          <w:lang w:val="en-US"/>
        </w:rPr>
        <w:t>”</w:t>
      </w:r>
      <w:r w:rsidRPr="003D7ED4">
        <w:rPr>
          <w:sz w:val="24"/>
          <w:szCs w:val="24"/>
          <w:lang w:val="en-US"/>
        </w:rPr>
        <w:t xml:space="preserve"> and substituting </w:t>
      </w:r>
      <w:r w:rsidR="0057449D" w:rsidRPr="003D7ED4">
        <w:rPr>
          <w:sz w:val="24"/>
          <w:szCs w:val="24"/>
          <w:lang w:val="en-US"/>
        </w:rPr>
        <w:t>“</w:t>
      </w:r>
      <w:r w:rsidRPr="003D7ED4">
        <w:rPr>
          <w:sz w:val="24"/>
          <w:szCs w:val="24"/>
          <w:lang w:val="en-US"/>
        </w:rPr>
        <w:t>subsections (1A), (1B) and (4)</w:t>
      </w:r>
      <w:r w:rsidR="0057449D" w:rsidRPr="003D7ED4">
        <w:rPr>
          <w:sz w:val="24"/>
          <w:szCs w:val="24"/>
          <w:lang w:val="en-US"/>
        </w:rPr>
        <w:t>”</w:t>
      </w:r>
      <w:r w:rsidRPr="003D7ED4">
        <w:rPr>
          <w:sz w:val="24"/>
          <w:szCs w:val="24"/>
          <w:lang w:val="en-US"/>
        </w:rPr>
        <w:t>;</w:t>
      </w:r>
    </w:p>
    <w:p w14:paraId="58D74719" w14:textId="77777777" w:rsidR="00AF3F25" w:rsidRPr="003D7ED4" w:rsidRDefault="00AF3F25" w:rsidP="00124A91">
      <w:pPr>
        <w:shd w:val="clear" w:color="auto" w:fill="FFFFFF"/>
        <w:tabs>
          <w:tab w:val="left" w:pos="758"/>
        </w:tabs>
        <w:spacing w:before="120"/>
        <w:ind w:left="365"/>
      </w:pPr>
      <w:r w:rsidRPr="003D7ED4">
        <w:rPr>
          <w:b/>
          <w:bCs/>
          <w:sz w:val="24"/>
          <w:szCs w:val="24"/>
          <w:lang w:val="en-US"/>
        </w:rPr>
        <w:t>(b)</w:t>
      </w:r>
      <w:r w:rsidRPr="003D7ED4">
        <w:rPr>
          <w:sz w:val="24"/>
          <w:szCs w:val="24"/>
          <w:lang w:val="en-US"/>
        </w:rPr>
        <w:tab/>
        <w:t>by inserting after subsection (1) the following subsections:</w:t>
      </w:r>
    </w:p>
    <w:p w14:paraId="55CF7468" w14:textId="77777777" w:rsidR="00AF3F25" w:rsidRPr="003D7ED4" w:rsidRDefault="0057449D" w:rsidP="00124A91">
      <w:pPr>
        <w:shd w:val="clear" w:color="auto" w:fill="FFFFFF"/>
        <w:spacing w:before="120"/>
        <w:ind w:left="754" w:firstLine="221"/>
        <w:jc w:val="both"/>
      </w:pPr>
      <w:r w:rsidRPr="003D7ED4">
        <w:rPr>
          <w:sz w:val="24"/>
          <w:szCs w:val="24"/>
          <w:lang w:val="en-US"/>
        </w:rPr>
        <w:t>“</w:t>
      </w:r>
      <w:r w:rsidR="00AF3F25" w:rsidRPr="003D7ED4">
        <w:rPr>
          <w:sz w:val="24"/>
          <w:szCs w:val="24"/>
          <w:lang w:val="en-US"/>
        </w:rPr>
        <w:t>(1A) Subsection (1) does not apply to action that is necessary to correct or avoid a result solely caused by an administrative error on the part of the assistance agency.</w:t>
      </w:r>
    </w:p>
    <w:p w14:paraId="12B1956C" w14:textId="77777777" w:rsidR="00AF3F25" w:rsidRPr="003D7ED4" w:rsidRDefault="00AF3F25" w:rsidP="00124A91">
      <w:pPr>
        <w:shd w:val="clear" w:color="auto" w:fill="FFFFFF"/>
        <w:spacing w:before="120"/>
        <w:ind w:left="754" w:firstLine="221"/>
        <w:jc w:val="both"/>
        <w:sectPr w:rsidR="00AF3F25" w:rsidRPr="003D7ED4" w:rsidSect="003D7ED4">
          <w:pgSz w:w="12240" w:h="15840" w:code="1"/>
          <w:pgMar w:top="1440" w:right="1440" w:bottom="1440" w:left="1440" w:header="720" w:footer="720" w:gutter="0"/>
          <w:cols w:space="60"/>
          <w:noEndnote/>
        </w:sectPr>
      </w:pPr>
    </w:p>
    <w:p w14:paraId="41BE0954" w14:textId="77777777" w:rsidR="00AF3F25" w:rsidRPr="003D7ED4" w:rsidRDefault="0057449D" w:rsidP="00124A91">
      <w:pPr>
        <w:shd w:val="clear" w:color="auto" w:fill="FFFFFF"/>
        <w:spacing w:before="120"/>
        <w:ind w:left="778" w:firstLine="206"/>
        <w:jc w:val="both"/>
      </w:pPr>
      <w:r w:rsidRPr="003D7ED4">
        <w:rPr>
          <w:sz w:val="24"/>
          <w:szCs w:val="24"/>
          <w:lang w:val="en-US"/>
        </w:rPr>
        <w:lastRenderedPageBreak/>
        <w:t>“</w:t>
      </w:r>
      <w:r w:rsidR="00AF3F25" w:rsidRPr="003D7ED4">
        <w:rPr>
          <w:sz w:val="24"/>
          <w:szCs w:val="24"/>
          <w:lang w:val="en-US"/>
        </w:rPr>
        <w:t>(1B) If the assistance agency takes action referred to in subsection (1A), it must give the person written notice, with particulars of the information and the action:</w:t>
      </w:r>
    </w:p>
    <w:p w14:paraId="3278C517" w14:textId="77777777" w:rsidR="00AF3F25" w:rsidRPr="003D7ED4" w:rsidRDefault="00AF3F25" w:rsidP="00124A91">
      <w:pPr>
        <w:numPr>
          <w:ilvl w:val="0"/>
          <w:numId w:val="3"/>
        </w:numPr>
        <w:shd w:val="clear" w:color="auto" w:fill="FFFFFF"/>
        <w:tabs>
          <w:tab w:val="left" w:pos="1440"/>
        </w:tabs>
        <w:spacing w:before="120"/>
        <w:ind w:left="1042"/>
        <w:rPr>
          <w:sz w:val="24"/>
          <w:szCs w:val="24"/>
          <w:lang w:val="en-US"/>
        </w:rPr>
      </w:pPr>
      <w:r w:rsidRPr="003D7ED4">
        <w:rPr>
          <w:sz w:val="24"/>
          <w:szCs w:val="24"/>
          <w:lang w:val="en-US"/>
        </w:rPr>
        <w:t>if practicable</w:t>
      </w:r>
      <w:r w:rsidRPr="003D7ED4">
        <w:rPr>
          <w:rFonts w:eastAsia="Times New Roman"/>
          <w:sz w:val="24"/>
          <w:szCs w:val="24"/>
          <w:lang w:val="en-US"/>
        </w:rPr>
        <w:t>—before the action is taken; or</w:t>
      </w:r>
    </w:p>
    <w:p w14:paraId="5E2DDA92" w14:textId="77777777" w:rsidR="00AF3F25" w:rsidRPr="003D7ED4" w:rsidRDefault="00AF3F25" w:rsidP="00124A91">
      <w:pPr>
        <w:numPr>
          <w:ilvl w:val="0"/>
          <w:numId w:val="3"/>
        </w:numPr>
        <w:shd w:val="clear" w:color="auto" w:fill="FFFFFF"/>
        <w:tabs>
          <w:tab w:val="left" w:pos="1440"/>
        </w:tabs>
        <w:spacing w:before="120"/>
        <w:ind w:left="1440" w:hanging="398"/>
        <w:rPr>
          <w:sz w:val="24"/>
          <w:szCs w:val="24"/>
          <w:lang w:val="en-US"/>
        </w:rPr>
      </w:pPr>
      <w:r w:rsidRPr="003D7ED4">
        <w:rPr>
          <w:sz w:val="24"/>
          <w:szCs w:val="24"/>
          <w:lang w:val="en-US"/>
        </w:rPr>
        <w:t>if not</w:t>
      </w:r>
      <w:r w:rsidRPr="003D7ED4">
        <w:rPr>
          <w:rFonts w:eastAsia="Times New Roman"/>
          <w:sz w:val="24"/>
          <w:szCs w:val="24"/>
          <w:lang w:val="en-US"/>
        </w:rPr>
        <w:t>—as soon as practicable after the action has been taken.</w:t>
      </w:r>
      <w:r w:rsidR="0057449D" w:rsidRPr="003D7ED4">
        <w:rPr>
          <w:rFonts w:eastAsia="Times New Roman"/>
          <w:sz w:val="24"/>
          <w:szCs w:val="24"/>
          <w:lang w:val="en-US"/>
        </w:rPr>
        <w:t>”</w:t>
      </w:r>
      <w:r w:rsidRPr="003D7ED4">
        <w:rPr>
          <w:rFonts w:eastAsia="Times New Roman"/>
          <w:sz w:val="24"/>
          <w:szCs w:val="24"/>
          <w:lang w:val="en-US"/>
        </w:rPr>
        <w:t>.</w:t>
      </w:r>
    </w:p>
    <w:p w14:paraId="2026FD5D" w14:textId="77777777" w:rsidR="00AF3F25" w:rsidRPr="003D7ED4" w:rsidRDefault="00AF3F25" w:rsidP="00124A91">
      <w:pPr>
        <w:shd w:val="clear" w:color="auto" w:fill="FFFFFF"/>
        <w:spacing w:before="120" w:after="60"/>
      </w:pPr>
      <w:r w:rsidRPr="003D7ED4">
        <w:rPr>
          <w:b/>
          <w:bCs/>
          <w:sz w:val="24"/>
          <w:szCs w:val="24"/>
          <w:lang w:val="en-US"/>
        </w:rPr>
        <w:t>Guidelines relating to privacy</w:t>
      </w:r>
    </w:p>
    <w:p w14:paraId="12D2A8F6" w14:textId="77777777" w:rsidR="00AF3F25" w:rsidRPr="003D7ED4" w:rsidRDefault="00AF3F25" w:rsidP="00124A91">
      <w:pPr>
        <w:shd w:val="clear" w:color="auto" w:fill="FFFFFF"/>
        <w:tabs>
          <w:tab w:val="left" w:pos="638"/>
        </w:tabs>
        <w:spacing w:before="120"/>
        <w:ind w:firstLine="336"/>
        <w:jc w:val="both"/>
      </w:pPr>
      <w:r w:rsidRPr="003D7ED4">
        <w:rPr>
          <w:b/>
          <w:bCs/>
          <w:sz w:val="24"/>
          <w:szCs w:val="24"/>
          <w:lang w:val="en-US"/>
        </w:rPr>
        <w:t>6.</w:t>
      </w:r>
      <w:r w:rsidRPr="003D7ED4">
        <w:rPr>
          <w:b/>
          <w:bCs/>
          <w:sz w:val="24"/>
          <w:szCs w:val="24"/>
          <w:lang w:val="en-US"/>
        </w:rPr>
        <w:tab/>
      </w:r>
      <w:r w:rsidRPr="003D7ED4">
        <w:rPr>
          <w:sz w:val="24"/>
          <w:szCs w:val="24"/>
          <w:lang w:val="en-US"/>
        </w:rPr>
        <w:t>Section 12 of the Principal Act is amended by inserting after</w:t>
      </w:r>
      <w:r w:rsidR="00124A91">
        <w:rPr>
          <w:sz w:val="24"/>
          <w:szCs w:val="24"/>
          <w:lang w:val="en-US"/>
        </w:rPr>
        <w:t xml:space="preserve"> </w:t>
      </w:r>
      <w:r w:rsidRPr="003D7ED4">
        <w:rPr>
          <w:sz w:val="24"/>
          <w:szCs w:val="24"/>
          <w:lang w:val="en-US"/>
        </w:rPr>
        <w:t>subsection (2) the following subsection:</w:t>
      </w:r>
    </w:p>
    <w:p w14:paraId="36A8A67B" w14:textId="77777777" w:rsidR="00AF3F25" w:rsidRPr="003D7ED4" w:rsidRDefault="0057449D" w:rsidP="00124A91">
      <w:pPr>
        <w:shd w:val="clear" w:color="auto" w:fill="FFFFFF"/>
        <w:spacing w:before="120"/>
        <w:ind w:firstLine="346"/>
        <w:jc w:val="both"/>
      </w:pPr>
      <w:r w:rsidRPr="003D7ED4">
        <w:rPr>
          <w:sz w:val="24"/>
          <w:szCs w:val="24"/>
          <w:lang w:val="en-US"/>
        </w:rPr>
        <w:t>“</w:t>
      </w:r>
      <w:r w:rsidR="00AF3F25" w:rsidRPr="003D7ED4">
        <w:rPr>
          <w:sz w:val="24"/>
          <w:szCs w:val="24"/>
          <w:lang w:val="en-US"/>
        </w:rPr>
        <w:t>(2A) In addition to the requirement that the matching agency and each source agency table a comprehensive report in both Houses of Parliament eighteen months after the commencement of the first data matching cycle (as required by Guideline 12 of the Guidelines issued by the Privacy Commissioner on 27 September 1991), the matching agency and each source agency must prepare and present for tabling in each House of the Parliament by the end of October 1993 a further comprehensive report including references to all of the matters identified in Guideline 12 of the Privacy Commissioner</w:t>
      </w:r>
      <w:r w:rsidRPr="003D7ED4">
        <w:rPr>
          <w:sz w:val="24"/>
          <w:szCs w:val="24"/>
          <w:lang w:val="en-US"/>
        </w:rPr>
        <w:t>’</w:t>
      </w:r>
      <w:r w:rsidR="00AF3F25" w:rsidRPr="003D7ED4">
        <w:rPr>
          <w:sz w:val="24"/>
          <w:szCs w:val="24"/>
          <w:lang w:val="en-US"/>
        </w:rPr>
        <w:t>s Guidelines of 27 September 1991.</w:t>
      </w:r>
      <w:r w:rsidRPr="003D7ED4">
        <w:rPr>
          <w:sz w:val="24"/>
          <w:szCs w:val="24"/>
          <w:lang w:val="en-US"/>
        </w:rPr>
        <w:t>”</w:t>
      </w:r>
      <w:r w:rsidR="00AF3F25" w:rsidRPr="003D7ED4">
        <w:rPr>
          <w:sz w:val="24"/>
          <w:szCs w:val="24"/>
          <w:lang w:val="en-US"/>
        </w:rPr>
        <w:t>.</w:t>
      </w:r>
    </w:p>
    <w:p w14:paraId="7F07909A" w14:textId="77777777" w:rsidR="00AF3F25" w:rsidRPr="003D7ED4" w:rsidRDefault="00AF3F25" w:rsidP="00124A91">
      <w:pPr>
        <w:shd w:val="clear" w:color="auto" w:fill="FFFFFF"/>
        <w:spacing w:before="120" w:after="60"/>
      </w:pPr>
      <w:r w:rsidRPr="003D7ED4">
        <w:rPr>
          <w:b/>
          <w:bCs/>
          <w:sz w:val="24"/>
          <w:szCs w:val="24"/>
          <w:lang w:val="en-US"/>
        </w:rPr>
        <w:t>Cessation of operation of Act</w:t>
      </w:r>
    </w:p>
    <w:p w14:paraId="60434E91" w14:textId="77777777" w:rsidR="00AF3F25" w:rsidRPr="003D7ED4" w:rsidRDefault="00596BD6" w:rsidP="00CB5223">
      <w:pPr>
        <w:shd w:val="clear" w:color="auto" w:fill="FFFFFF"/>
        <w:tabs>
          <w:tab w:val="left" w:pos="638"/>
        </w:tabs>
        <w:spacing w:before="120" w:after="600"/>
        <w:ind w:firstLine="331"/>
        <w:jc w:val="both"/>
      </w:pPr>
      <w:r>
        <w:rPr>
          <w:b/>
          <w:bCs/>
          <w:noProof/>
          <w:sz w:val="24"/>
          <w:szCs w:val="24"/>
          <w:lang w:val="en-AU" w:eastAsia="en-AU"/>
        </w:rPr>
        <mc:AlternateContent>
          <mc:Choice Requires="wps">
            <w:drawing>
              <wp:anchor distT="0" distB="0" distL="114300" distR="114300" simplePos="0" relativeHeight="251660288" behindDoc="0" locked="0" layoutInCell="1" allowOverlap="1" wp14:anchorId="29E09D37" wp14:editId="28FBFDD4">
                <wp:simplePos x="0" y="0"/>
                <wp:positionH relativeFrom="column">
                  <wp:posOffset>0</wp:posOffset>
                </wp:positionH>
                <wp:positionV relativeFrom="paragraph">
                  <wp:posOffset>705485</wp:posOffset>
                </wp:positionV>
                <wp:extent cx="600329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0229D" id="AutoShape 4" o:spid="_x0000_s1026" type="#_x0000_t32" style="position:absolute;margin-left:0;margin-top:55.55pt;width:47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tr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"/>
            </w:pict>
          </mc:Fallback>
        </mc:AlternateContent>
      </w:r>
      <w:r w:rsidR="00AF3F25" w:rsidRPr="003D7ED4">
        <w:rPr>
          <w:b/>
          <w:bCs/>
          <w:sz w:val="24"/>
          <w:szCs w:val="24"/>
          <w:lang w:val="en-US"/>
        </w:rPr>
        <w:t>7.</w:t>
      </w:r>
      <w:r w:rsidR="00AF3F25" w:rsidRPr="003D7ED4">
        <w:rPr>
          <w:b/>
          <w:bCs/>
          <w:sz w:val="24"/>
          <w:szCs w:val="24"/>
          <w:lang w:val="en-US"/>
        </w:rPr>
        <w:tab/>
      </w:r>
      <w:r w:rsidR="00AF3F25" w:rsidRPr="003D7ED4">
        <w:rPr>
          <w:sz w:val="24"/>
          <w:szCs w:val="24"/>
          <w:lang w:val="en-US"/>
        </w:rPr>
        <w:t xml:space="preserve">Section 21 of the Principal Act is amended by omitting </w:t>
      </w:r>
      <w:r w:rsidR="0057449D" w:rsidRPr="003D7ED4">
        <w:rPr>
          <w:sz w:val="24"/>
          <w:szCs w:val="24"/>
          <w:lang w:val="en-US"/>
        </w:rPr>
        <w:t>“</w:t>
      </w:r>
      <w:r w:rsidR="00AF3F25" w:rsidRPr="003D7ED4">
        <w:rPr>
          <w:sz w:val="24"/>
          <w:szCs w:val="24"/>
          <w:lang w:val="en-US"/>
        </w:rPr>
        <w:t>at the</w:t>
      </w:r>
      <w:r w:rsidR="00124A91">
        <w:rPr>
          <w:sz w:val="24"/>
          <w:szCs w:val="24"/>
          <w:lang w:val="en-US"/>
        </w:rPr>
        <w:t xml:space="preserve"> </w:t>
      </w:r>
      <w:r w:rsidR="00AF3F25" w:rsidRPr="003D7ED4">
        <w:rPr>
          <w:sz w:val="24"/>
          <w:szCs w:val="24"/>
          <w:lang w:val="en-US"/>
        </w:rPr>
        <w:t>expiration of 2 years after the date of commencement of this Act</w:t>
      </w:r>
      <w:r w:rsidR="0057449D" w:rsidRPr="003D7ED4">
        <w:rPr>
          <w:sz w:val="24"/>
          <w:szCs w:val="24"/>
          <w:lang w:val="en-US"/>
        </w:rPr>
        <w:t>”</w:t>
      </w:r>
      <w:r w:rsidR="00AF3F25" w:rsidRPr="003D7ED4">
        <w:rPr>
          <w:sz w:val="24"/>
          <w:szCs w:val="24"/>
          <w:lang w:val="en-US"/>
        </w:rPr>
        <w:t xml:space="preserve"> and</w:t>
      </w:r>
      <w:r w:rsidR="00124A91">
        <w:rPr>
          <w:sz w:val="24"/>
          <w:szCs w:val="24"/>
          <w:lang w:val="en-US"/>
        </w:rPr>
        <w:t xml:space="preserve"> </w:t>
      </w:r>
      <w:r w:rsidR="00AF3F25" w:rsidRPr="003D7ED4">
        <w:rPr>
          <w:sz w:val="24"/>
          <w:szCs w:val="24"/>
          <w:lang w:val="en-US"/>
        </w:rPr>
        <w:t xml:space="preserve">substituting </w:t>
      </w:r>
      <w:r w:rsidR="0057449D" w:rsidRPr="003D7ED4">
        <w:rPr>
          <w:sz w:val="24"/>
          <w:szCs w:val="24"/>
          <w:lang w:val="en-US"/>
        </w:rPr>
        <w:t>“</w:t>
      </w:r>
      <w:r w:rsidR="00AF3F25" w:rsidRPr="003D7ED4">
        <w:rPr>
          <w:sz w:val="24"/>
          <w:szCs w:val="24"/>
          <w:lang w:val="en-US"/>
        </w:rPr>
        <w:t>on and from 22 January 1994</w:t>
      </w:r>
      <w:r w:rsidR="0057449D" w:rsidRPr="003D7ED4">
        <w:rPr>
          <w:sz w:val="24"/>
          <w:szCs w:val="24"/>
          <w:lang w:val="en-US"/>
        </w:rPr>
        <w:t>”</w:t>
      </w:r>
      <w:r w:rsidR="00AF3F25" w:rsidRPr="003D7ED4">
        <w:rPr>
          <w:sz w:val="24"/>
          <w:szCs w:val="24"/>
          <w:lang w:val="en-US"/>
        </w:rPr>
        <w:t>.</w:t>
      </w:r>
    </w:p>
    <w:p w14:paraId="1129FCCD" w14:textId="77777777" w:rsidR="00AF3F25" w:rsidRPr="003D7ED4" w:rsidRDefault="00AF3F25" w:rsidP="00124A91">
      <w:pPr>
        <w:shd w:val="clear" w:color="auto" w:fill="FFFFFF"/>
        <w:spacing w:before="120"/>
        <w:jc w:val="center"/>
      </w:pPr>
      <w:r w:rsidRPr="003D7ED4">
        <w:rPr>
          <w:b/>
          <w:bCs/>
          <w:sz w:val="24"/>
          <w:szCs w:val="24"/>
          <w:lang w:val="en-US"/>
        </w:rPr>
        <w:t>NOTE</w:t>
      </w:r>
    </w:p>
    <w:p w14:paraId="12D3FC13" w14:textId="77777777" w:rsidR="00AF3F25" w:rsidRPr="00CB5223" w:rsidRDefault="00AF3F25" w:rsidP="00124A91">
      <w:pPr>
        <w:shd w:val="clear" w:color="auto" w:fill="FFFFFF"/>
        <w:spacing w:before="120"/>
        <w:ind w:left="322" w:hanging="298"/>
      </w:pPr>
      <w:r w:rsidRPr="00CB5223">
        <w:rPr>
          <w:szCs w:val="22"/>
          <w:lang w:val="en-US"/>
        </w:rPr>
        <w:t>1.</w:t>
      </w:r>
      <w:r w:rsidR="0057449D" w:rsidRPr="00CB5223">
        <w:rPr>
          <w:szCs w:val="22"/>
          <w:lang w:val="en-US"/>
        </w:rPr>
        <w:t xml:space="preserve"> </w:t>
      </w:r>
      <w:r w:rsidRPr="00CB5223">
        <w:rPr>
          <w:szCs w:val="22"/>
          <w:lang w:val="en-US"/>
        </w:rPr>
        <w:t xml:space="preserve">No. 20, 1991, as amended. For previous amendments see </w:t>
      </w:r>
      <w:r w:rsidRPr="00430ADA">
        <w:rPr>
          <w:szCs w:val="22"/>
          <w:lang w:val="en-US"/>
        </w:rPr>
        <w:t xml:space="preserve">Nos. </w:t>
      </w:r>
      <w:r w:rsidRPr="00CB5223">
        <w:rPr>
          <w:szCs w:val="22"/>
          <w:lang w:val="en-US"/>
        </w:rPr>
        <w:t>115, 175 and 194, 1991</w:t>
      </w:r>
    </w:p>
    <w:p w14:paraId="697A0FD6" w14:textId="77777777" w:rsidR="00AF3F25" w:rsidRPr="00CB5223" w:rsidRDefault="00AF3F25" w:rsidP="00124A91">
      <w:pPr>
        <w:shd w:val="clear" w:color="auto" w:fill="FFFFFF"/>
        <w:spacing w:before="120"/>
        <w:ind w:left="5"/>
      </w:pPr>
      <w:r w:rsidRPr="00CB5223">
        <w:rPr>
          <w:szCs w:val="22"/>
          <w:lang w:val="en-US"/>
        </w:rPr>
        <w:t>[</w:t>
      </w:r>
      <w:r w:rsidRPr="00CB5223">
        <w:rPr>
          <w:i/>
          <w:iCs/>
          <w:szCs w:val="22"/>
          <w:lang w:val="en-US"/>
        </w:rPr>
        <w:t>Minister</w:t>
      </w:r>
      <w:r w:rsidR="0057449D" w:rsidRPr="00CB5223">
        <w:rPr>
          <w:i/>
          <w:iCs/>
          <w:szCs w:val="22"/>
          <w:lang w:val="en-US"/>
        </w:rPr>
        <w:t>’</w:t>
      </w:r>
      <w:r w:rsidRPr="00CB5223">
        <w:rPr>
          <w:i/>
          <w:iCs/>
          <w:szCs w:val="22"/>
          <w:lang w:val="en-US"/>
        </w:rPr>
        <w:t>s second reading speech made in</w:t>
      </w:r>
      <w:r w:rsidRPr="00CB5223">
        <w:rPr>
          <w:rFonts w:eastAsia="Times New Roman"/>
          <w:szCs w:val="22"/>
          <w:lang w:val="en-US"/>
        </w:rPr>
        <w:t>—</w:t>
      </w:r>
    </w:p>
    <w:p w14:paraId="0ABE61A8" w14:textId="77777777" w:rsidR="00AF3F25" w:rsidRPr="00CB5223" w:rsidRDefault="00AF3F25" w:rsidP="00CB5223">
      <w:pPr>
        <w:shd w:val="clear" w:color="auto" w:fill="FFFFFF"/>
        <w:ind w:left="758"/>
      </w:pPr>
      <w:r w:rsidRPr="00CB5223">
        <w:rPr>
          <w:i/>
          <w:iCs/>
          <w:szCs w:val="22"/>
          <w:lang w:val="en-US"/>
        </w:rPr>
        <w:t>House of Representatives on 3 November 1992</w:t>
      </w:r>
    </w:p>
    <w:p w14:paraId="44B52680" w14:textId="77777777" w:rsidR="00AF3F25" w:rsidRPr="00CB5223" w:rsidRDefault="00AF3F25" w:rsidP="00CB5223">
      <w:pPr>
        <w:shd w:val="clear" w:color="auto" w:fill="FFFFFF"/>
        <w:ind w:left="758"/>
      </w:pPr>
      <w:r w:rsidRPr="00CB5223">
        <w:rPr>
          <w:i/>
          <w:iCs/>
          <w:szCs w:val="22"/>
          <w:lang w:val="en-US"/>
        </w:rPr>
        <w:t>Senate on 12 November 1992</w:t>
      </w:r>
      <w:r w:rsidR="00D770F7">
        <w:rPr>
          <w:szCs w:val="22"/>
          <w:lang w:val="en-US"/>
        </w:rPr>
        <w:t>]</w:t>
      </w:r>
    </w:p>
    <w:sectPr w:rsidR="00AF3F25" w:rsidRPr="00CB5223" w:rsidSect="003D7ED4">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8BF83D" w15:done="0"/>
  <w15:commentEx w15:paraId="68EB5AC1" w15:done="0"/>
  <w15:commentEx w15:paraId="0048FA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8BF83D" w16cid:durableId="20BB25A6"/>
  <w16cid:commentId w16cid:paraId="68EB5AC1" w16cid:durableId="20BB25BD"/>
  <w16cid:commentId w16cid:paraId="0048FA99" w16cid:durableId="20BB2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966EF" w14:textId="77777777" w:rsidR="00583B77" w:rsidRDefault="00583B77" w:rsidP="00EA6465">
      <w:r>
        <w:separator/>
      </w:r>
    </w:p>
  </w:endnote>
  <w:endnote w:type="continuationSeparator" w:id="0">
    <w:p w14:paraId="2AC1EE7F" w14:textId="77777777" w:rsidR="00583B77" w:rsidRDefault="00583B77" w:rsidP="00EA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DAA05" w14:textId="77777777" w:rsidR="00583B77" w:rsidRDefault="00583B77" w:rsidP="00EA6465">
      <w:r>
        <w:separator/>
      </w:r>
    </w:p>
  </w:footnote>
  <w:footnote w:type="continuationSeparator" w:id="0">
    <w:p w14:paraId="210E88E1" w14:textId="77777777" w:rsidR="00583B77" w:rsidRDefault="00583B77" w:rsidP="00EA6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0933" w14:textId="77777777" w:rsidR="00EA6465" w:rsidRPr="00EA6465" w:rsidRDefault="00EA6465" w:rsidP="00EA6465">
    <w:pPr>
      <w:widowControl/>
      <w:jc w:val="center"/>
      <w:rPr>
        <w:i/>
        <w:iCs/>
        <w:sz w:val="22"/>
        <w:szCs w:val="24"/>
        <w:lang w:val="en-US" w:eastAsia="en-US"/>
      </w:rPr>
    </w:pPr>
    <w:r w:rsidRPr="00EA6465">
      <w:rPr>
        <w:i/>
        <w:iCs/>
        <w:sz w:val="22"/>
        <w:szCs w:val="24"/>
        <w:lang w:val="en-US" w:eastAsia="en-US"/>
      </w:rPr>
      <w:t>Data-matching Program (Assistance and Tax)</w:t>
    </w:r>
  </w:p>
  <w:p w14:paraId="1738B91B" w14:textId="38176DB8" w:rsidR="00EA6465" w:rsidRPr="00EA6465" w:rsidRDefault="00EA6465" w:rsidP="00EA6465">
    <w:pPr>
      <w:pStyle w:val="Header"/>
      <w:jc w:val="center"/>
      <w:rPr>
        <w:sz w:val="22"/>
      </w:rPr>
    </w:pPr>
    <w:r w:rsidRPr="00EA6465">
      <w:rPr>
        <w:i/>
        <w:iCs/>
        <w:sz w:val="22"/>
        <w:szCs w:val="24"/>
        <w:lang w:val="en-US" w:eastAsia="en-US"/>
      </w:rPr>
      <w:t xml:space="preserve">Amendment </w:t>
    </w:r>
    <w:r w:rsidR="006E4D4F">
      <w:rPr>
        <w:i/>
        <w:iCs/>
        <w:sz w:val="22"/>
        <w:szCs w:val="24"/>
        <w:lang w:val="en-US" w:eastAsia="en-US"/>
      </w:rPr>
      <w:t xml:space="preserve">    </w:t>
    </w:r>
    <w:r w:rsidRPr="00EA6465">
      <w:rPr>
        <w:i/>
        <w:iCs/>
        <w:sz w:val="22"/>
        <w:szCs w:val="24"/>
        <w:lang w:val="en-US" w:eastAsia="en-US"/>
      </w:rPr>
      <w:t>No. 205,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1FC"/>
    <w:multiLevelType w:val="singleLevel"/>
    <w:tmpl w:val="D208FD3A"/>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1F291192"/>
    <w:multiLevelType w:val="singleLevel"/>
    <w:tmpl w:val="EB000ED4"/>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20911228"/>
    <w:multiLevelType w:val="singleLevel"/>
    <w:tmpl w:val="8D90755A"/>
    <w:lvl w:ilvl="0">
      <w:start w:val="1"/>
      <w:numFmt w:val="lowerLetter"/>
      <w:lvlText w:val="(%1)"/>
      <w:legacy w:legacy="1" w:legacySpace="0" w:legacyIndent="398"/>
      <w:lvlJc w:val="left"/>
      <w:rPr>
        <w:rFonts w:ascii="Times New Roman" w:hAnsi="Times New Roman" w:cs="Times New Roman"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5A"/>
    <w:rsid w:val="00124A91"/>
    <w:rsid w:val="00320BF6"/>
    <w:rsid w:val="003D7ED4"/>
    <w:rsid w:val="00430ADA"/>
    <w:rsid w:val="0047555A"/>
    <w:rsid w:val="004F77D7"/>
    <w:rsid w:val="0050205C"/>
    <w:rsid w:val="0057449D"/>
    <w:rsid w:val="00583B77"/>
    <w:rsid w:val="00596BD6"/>
    <w:rsid w:val="005B56D2"/>
    <w:rsid w:val="0060030C"/>
    <w:rsid w:val="006E4D4F"/>
    <w:rsid w:val="006F2407"/>
    <w:rsid w:val="00863941"/>
    <w:rsid w:val="00AE589A"/>
    <w:rsid w:val="00AF3F25"/>
    <w:rsid w:val="00BD3540"/>
    <w:rsid w:val="00CB5223"/>
    <w:rsid w:val="00D770F7"/>
    <w:rsid w:val="00EA6465"/>
    <w:rsid w:val="00FA21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35EE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465"/>
    <w:pPr>
      <w:tabs>
        <w:tab w:val="center" w:pos="4680"/>
        <w:tab w:val="right" w:pos="9360"/>
      </w:tabs>
    </w:pPr>
  </w:style>
  <w:style w:type="character" w:customStyle="1" w:styleId="HeaderChar">
    <w:name w:val="Header Char"/>
    <w:basedOn w:val="DefaultParagraphFont"/>
    <w:link w:val="Header"/>
    <w:uiPriority w:val="99"/>
    <w:rsid w:val="00EA6465"/>
    <w:rPr>
      <w:rFonts w:ascii="Times New Roman" w:hAnsi="Times New Roman"/>
      <w:sz w:val="20"/>
      <w:szCs w:val="20"/>
      <w:lang w:val="en-IN" w:eastAsia="en-IN"/>
    </w:rPr>
  </w:style>
  <w:style w:type="paragraph" w:styleId="Footer">
    <w:name w:val="footer"/>
    <w:basedOn w:val="Normal"/>
    <w:link w:val="FooterChar"/>
    <w:uiPriority w:val="99"/>
    <w:unhideWhenUsed/>
    <w:rsid w:val="00EA6465"/>
    <w:pPr>
      <w:tabs>
        <w:tab w:val="center" w:pos="4680"/>
        <w:tab w:val="right" w:pos="9360"/>
      </w:tabs>
    </w:pPr>
  </w:style>
  <w:style w:type="character" w:customStyle="1" w:styleId="FooterChar">
    <w:name w:val="Footer Char"/>
    <w:basedOn w:val="DefaultParagraphFont"/>
    <w:link w:val="Footer"/>
    <w:uiPriority w:val="99"/>
    <w:rsid w:val="00EA6465"/>
    <w:rPr>
      <w:rFonts w:ascii="Times New Roman" w:hAnsi="Times New Roman"/>
      <w:sz w:val="20"/>
      <w:szCs w:val="20"/>
      <w:lang w:val="en-IN" w:eastAsia="en-IN"/>
    </w:rPr>
  </w:style>
  <w:style w:type="paragraph" w:styleId="BalloonText">
    <w:name w:val="Balloon Text"/>
    <w:basedOn w:val="Normal"/>
    <w:link w:val="BalloonTextChar"/>
    <w:uiPriority w:val="99"/>
    <w:semiHidden/>
    <w:unhideWhenUsed/>
    <w:rsid w:val="004F77D7"/>
    <w:rPr>
      <w:rFonts w:ascii="Tahoma" w:hAnsi="Tahoma" w:cs="Tahoma"/>
      <w:sz w:val="16"/>
      <w:szCs w:val="16"/>
    </w:rPr>
  </w:style>
  <w:style w:type="character" w:customStyle="1" w:styleId="BalloonTextChar">
    <w:name w:val="Balloon Text Char"/>
    <w:basedOn w:val="DefaultParagraphFont"/>
    <w:link w:val="BalloonText"/>
    <w:uiPriority w:val="99"/>
    <w:semiHidden/>
    <w:rsid w:val="004F77D7"/>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6F2407"/>
    <w:rPr>
      <w:sz w:val="16"/>
      <w:szCs w:val="16"/>
    </w:rPr>
  </w:style>
  <w:style w:type="paragraph" w:styleId="CommentText">
    <w:name w:val="annotation text"/>
    <w:basedOn w:val="Normal"/>
    <w:link w:val="CommentTextChar"/>
    <w:uiPriority w:val="99"/>
    <w:semiHidden/>
    <w:unhideWhenUsed/>
    <w:rsid w:val="006F2407"/>
  </w:style>
  <w:style w:type="character" w:customStyle="1" w:styleId="CommentTextChar">
    <w:name w:val="Comment Text Char"/>
    <w:basedOn w:val="DefaultParagraphFont"/>
    <w:link w:val="CommentText"/>
    <w:uiPriority w:val="99"/>
    <w:semiHidden/>
    <w:rsid w:val="006F2407"/>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6F2407"/>
    <w:rPr>
      <w:b/>
      <w:bCs/>
    </w:rPr>
  </w:style>
  <w:style w:type="character" w:customStyle="1" w:styleId="CommentSubjectChar">
    <w:name w:val="Comment Subject Char"/>
    <w:basedOn w:val="CommentTextChar"/>
    <w:link w:val="CommentSubject"/>
    <w:uiPriority w:val="99"/>
    <w:semiHidden/>
    <w:rsid w:val="006F2407"/>
    <w:rPr>
      <w:rFonts w:ascii="Times New Roman" w:hAnsi="Times New Roman"/>
      <w:b/>
      <w:bCs/>
      <w:sz w:val="20"/>
      <w:szCs w:val="20"/>
      <w:lang w:val="en-IN" w:eastAsia="en-IN"/>
    </w:rPr>
  </w:style>
  <w:style w:type="paragraph" w:styleId="Revision">
    <w:name w:val="Revision"/>
    <w:hidden/>
    <w:uiPriority w:val="99"/>
    <w:semiHidden/>
    <w:rsid w:val="006E4D4F"/>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465"/>
    <w:pPr>
      <w:tabs>
        <w:tab w:val="center" w:pos="4680"/>
        <w:tab w:val="right" w:pos="9360"/>
      </w:tabs>
    </w:pPr>
  </w:style>
  <w:style w:type="character" w:customStyle="1" w:styleId="HeaderChar">
    <w:name w:val="Header Char"/>
    <w:basedOn w:val="DefaultParagraphFont"/>
    <w:link w:val="Header"/>
    <w:uiPriority w:val="99"/>
    <w:rsid w:val="00EA6465"/>
    <w:rPr>
      <w:rFonts w:ascii="Times New Roman" w:hAnsi="Times New Roman"/>
      <w:sz w:val="20"/>
      <w:szCs w:val="20"/>
      <w:lang w:val="en-IN" w:eastAsia="en-IN"/>
    </w:rPr>
  </w:style>
  <w:style w:type="paragraph" w:styleId="Footer">
    <w:name w:val="footer"/>
    <w:basedOn w:val="Normal"/>
    <w:link w:val="FooterChar"/>
    <w:uiPriority w:val="99"/>
    <w:unhideWhenUsed/>
    <w:rsid w:val="00EA6465"/>
    <w:pPr>
      <w:tabs>
        <w:tab w:val="center" w:pos="4680"/>
        <w:tab w:val="right" w:pos="9360"/>
      </w:tabs>
    </w:pPr>
  </w:style>
  <w:style w:type="character" w:customStyle="1" w:styleId="FooterChar">
    <w:name w:val="Footer Char"/>
    <w:basedOn w:val="DefaultParagraphFont"/>
    <w:link w:val="Footer"/>
    <w:uiPriority w:val="99"/>
    <w:rsid w:val="00EA6465"/>
    <w:rPr>
      <w:rFonts w:ascii="Times New Roman" w:hAnsi="Times New Roman"/>
      <w:sz w:val="20"/>
      <w:szCs w:val="20"/>
      <w:lang w:val="en-IN" w:eastAsia="en-IN"/>
    </w:rPr>
  </w:style>
  <w:style w:type="paragraph" w:styleId="BalloonText">
    <w:name w:val="Balloon Text"/>
    <w:basedOn w:val="Normal"/>
    <w:link w:val="BalloonTextChar"/>
    <w:uiPriority w:val="99"/>
    <w:semiHidden/>
    <w:unhideWhenUsed/>
    <w:rsid w:val="004F77D7"/>
    <w:rPr>
      <w:rFonts w:ascii="Tahoma" w:hAnsi="Tahoma" w:cs="Tahoma"/>
      <w:sz w:val="16"/>
      <w:szCs w:val="16"/>
    </w:rPr>
  </w:style>
  <w:style w:type="character" w:customStyle="1" w:styleId="BalloonTextChar">
    <w:name w:val="Balloon Text Char"/>
    <w:basedOn w:val="DefaultParagraphFont"/>
    <w:link w:val="BalloonText"/>
    <w:uiPriority w:val="99"/>
    <w:semiHidden/>
    <w:rsid w:val="004F77D7"/>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6F2407"/>
    <w:rPr>
      <w:sz w:val="16"/>
      <w:szCs w:val="16"/>
    </w:rPr>
  </w:style>
  <w:style w:type="paragraph" w:styleId="CommentText">
    <w:name w:val="annotation text"/>
    <w:basedOn w:val="Normal"/>
    <w:link w:val="CommentTextChar"/>
    <w:uiPriority w:val="99"/>
    <w:semiHidden/>
    <w:unhideWhenUsed/>
    <w:rsid w:val="006F2407"/>
  </w:style>
  <w:style w:type="character" w:customStyle="1" w:styleId="CommentTextChar">
    <w:name w:val="Comment Text Char"/>
    <w:basedOn w:val="DefaultParagraphFont"/>
    <w:link w:val="CommentText"/>
    <w:uiPriority w:val="99"/>
    <w:semiHidden/>
    <w:rsid w:val="006F2407"/>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6F2407"/>
    <w:rPr>
      <w:b/>
      <w:bCs/>
    </w:rPr>
  </w:style>
  <w:style w:type="character" w:customStyle="1" w:styleId="CommentSubjectChar">
    <w:name w:val="Comment Subject Char"/>
    <w:basedOn w:val="CommentTextChar"/>
    <w:link w:val="CommentSubject"/>
    <w:uiPriority w:val="99"/>
    <w:semiHidden/>
    <w:rsid w:val="006F2407"/>
    <w:rPr>
      <w:rFonts w:ascii="Times New Roman" w:hAnsi="Times New Roman"/>
      <w:b/>
      <w:bCs/>
      <w:sz w:val="20"/>
      <w:szCs w:val="20"/>
      <w:lang w:val="en-IN" w:eastAsia="en-IN"/>
    </w:rPr>
  </w:style>
  <w:style w:type="paragraph" w:styleId="Revision">
    <w:name w:val="Revision"/>
    <w:hidden/>
    <w:uiPriority w:val="99"/>
    <w:semiHidden/>
    <w:rsid w:val="006E4D4F"/>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2019-06-24T00:36:00Z</dcterms:created>
  <dcterms:modified xsi:type="dcterms:W3CDTF">2019-10-23T22:51:00Z</dcterms:modified>
</cp:coreProperties>
</file>