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AFF3C" w14:textId="77777777" w:rsidR="009E4863" w:rsidRPr="003570EA" w:rsidRDefault="00704AF9" w:rsidP="003570EA">
      <w:pPr>
        <w:jc w:val="center"/>
        <w:rPr>
          <w:sz w:val="24"/>
          <w:szCs w:val="24"/>
        </w:rPr>
      </w:pPr>
      <w:r w:rsidRPr="003570EA">
        <w:rPr>
          <w:noProof/>
          <w:sz w:val="24"/>
          <w:szCs w:val="24"/>
          <w:lang w:val="en-AU" w:eastAsia="en-AU"/>
        </w:rPr>
        <w:drawing>
          <wp:inline distT="0" distB="0" distL="0" distR="0" wp14:anchorId="1913A44A" wp14:editId="21925D89">
            <wp:extent cx="143065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066800"/>
                    </a:xfrm>
                    <a:prstGeom prst="rect">
                      <a:avLst/>
                    </a:prstGeom>
                    <a:noFill/>
                    <a:ln>
                      <a:noFill/>
                    </a:ln>
                  </pic:spPr>
                </pic:pic>
              </a:graphicData>
            </a:graphic>
          </wp:inline>
        </w:drawing>
      </w:r>
    </w:p>
    <w:p w14:paraId="547E4E34" w14:textId="77777777" w:rsidR="009E4863" w:rsidRPr="003570EA" w:rsidRDefault="009E4863" w:rsidP="003570EA">
      <w:pPr>
        <w:shd w:val="clear" w:color="auto" w:fill="FFFFFF"/>
        <w:spacing w:before="1699"/>
        <w:jc w:val="center"/>
      </w:pPr>
      <w:r w:rsidRPr="003570EA">
        <w:rPr>
          <w:b/>
          <w:bCs/>
          <w:sz w:val="38"/>
          <w:szCs w:val="38"/>
        </w:rPr>
        <w:t>Coal Industry Legislation Amendment Act 1992</w:t>
      </w:r>
    </w:p>
    <w:p w14:paraId="0C8AFD95" w14:textId="77777777" w:rsidR="009E4863" w:rsidRPr="003570EA" w:rsidRDefault="009E4863" w:rsidP="003570EA">
      <w:pPr>
        <w:shd w:val="clear" w:color="auto" w:fill="FFFFFF"/>
        <w:spacing w:before="1042"/>
        <w:jc w:val="center"/>
      </w:pPr>
      <w:r w:rsidRPr="003570EA">
        <w:rPr>
          <w:b/>
          <w:bCs/>
          <w:sz w:val="24"/>
          <w:szCs w:val="24"/>
        </w:rPr>
        <w:t>No. 212 of 1992</w:t>
      </w:r>
    </w:p>
    <w:p w14:paraId="4B2EE4B1" w14:textId="77777777" w:rsidR="009E4863" w:rsidRPr="00EF345F" w:rsidRDefault="008324BF" w:rsidP="003570EA">
      <w:pPr>
        <w:shd w:val="clear" w:color="auto" w:fill="FFFFFF"/>
        <w:spacing w:before="2390"/>
        <w:ind w:left="720" w:right="720"/>
        <w:jc w:val="center"/>
        <w:rPr>
          <w:sz w:val="16"/>
        </w:rPr>
      </w:pPr>
      <w:r w:rsidRPr="00EF345F">
        <w:rPr>
          <w:b/>
          <w:bCs/>
          <w:noProof/>
          <w:sz w:val="26"/>
          <w:szCs w:val="30"/>
          <w:lang w:val="en-AU" w:eastAsia="en-AU"/>
        </w:rPr>
        <mc:AlternateContent>
          <mc:Choice Requires="wps">
            <w:drawing>
              <wp:anchor distT="0" distB="0" distL="114300" distR="114300" simplePos="0" relativeHeight="251659264" behindDoc="0" locked="0" layoutInCell="1" allowOverlap="1" wp14:anchorId="071B2285" wp14:editId="37080250">
                <wp:simplePos x="0" y="0"/>
                <wp:positionH relativeFrom="column">
                  <wp:posOffset>16510</wp:posOffset>
                </wp:positionH>
                <wp:positionV relativeFrom="paragraph">
                  <wp:posOffset>759037</wp:posOffset>
                </wp:positionV>
                <wp:extent cx="5926667" cy="0"/>
                <wp:effectExtent l="0" t="19050" r="36195" b="19050"/>
                <wp:wrapNone/>
                <wp:docPr id="2" name="Straight Connector 2"/>
                <wp:cNvGraphicFramePr/>
                <a:graphic xmlns:a="http://schemas.openxmlformats.org/drawingml/2006/main">
                  <a:graphicData uri="http://schemas.microsoft.com/office/word/2010/wordprocessingShape">
                    <wps:wsp>
                      <wps:cNvCnPr/>
                      <wps:spPr>
                        <a:xfrm>
                          <a:off x="0" y="0"/>
                          <a:ext cx="5926667" cy="0"/>
                        </a:xfrm>
                        <a:prstGeom prst="line">
                          <a:avLst/>
                        </a:prstGeom>
                        <a:ln w="4445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F6F23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59.75pt" to="467.9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" strokecolor="black [3040]" strokeweight="3.5pt">
                <v:stroke linestyle="thinThin"/>
              </v:line>
            </w:pict>
          </mc:Fallback>
        </mc:AlternateContent>
      </w:r>
      <w:r w:rsidR="009E4863" w:rsidRPr="00EF345F">
        <w:rPr>
          <w:b/>
          <w:bCs/>
          <w:sz w:val="26"/>
          <w:szCs w:val="30"/>
        </w:rPr>
        <w:t xml:space="preserve">An Act to amend the </w:t>
      </w:r>
      <w:r w:rsidR="009E4863" w:rsidRPr="00EF345F">
        <w:rPr>
          <w:b/>
          <w:bCs/>
          <w:i/>
          <w:iCs/>
          <w:sz w:val="26"/>
          <w:szCs w:val="30"/>
        </w:rPr>
        <w:t xml:space="preserve">Coal Industry Act 1946 </w:t>
      </w:r>
      <w:r w:rsidR="009E4863" w:rsidRPr="00EF345F">
        <w:rPr>
          <w:b/>
          <w:bCs/>
          <w:sz w:val="26"/>
          <w:szCs w:val="30"/>
        </w:rPr>
        <w:t xml:space="preserve">and the </w:t>
      </w:r>
      <w:r w:rsidR="009E4863" w:rsidRPr="00EF345F">
        <w:rPr>
          <w:b/>
          <w:bCs/>
          <w:i/>
          <w:iCs/>
          <w:sz w:val="26"/>
          <w:szCs w:val="30"/>
        </w:rPr>
        <w:t>Industrial Relations Act 1988</w:t>
      </w:r>
    </w:p>
    <w:p w14:paraId="6108308B" w14:textId="77777777" w:rsidR="009E4863" w:rsidRPr="008401A7" w:rsidRDefault="009E4863" w:rsidP="008401A7">
      <w:pPr>
        <w:shd w:val="clear" w:color="auto" w:fill="FFFFFF"/>
        <w:spacing w:before="240"/>
        <w:jc w:val="right"/>
        <w:rPr>
          <w:sz w:val="22"/>
        </w:rPr>
      </w:pPr>
      <w:r w:rsidRPr="008401A7">
        <w:rPr>
          <w:sz w:val="22"/>
          <w:szCs w:val="24"/>
        </w:rPr>
        <w:t>[</w:t>
      </w:r>
      <w:r w:rsidRPr="008401A7">
        <w:rPr>
          <w:i/>
          <w:iCs/>
          <w:sz w:val="22"/>
          <w:szCs w:val="24"/>
        </w:rPr>
        <w:t>Assented to 24 December 1992</w:t>
      </w:r>
      <w:r w:rsidRPr="008401A7">
        <w:rPr>
          <w:sz w:val="22"/>
          <w:szCs w:val="24"/>
        </w:rPr>
        <w:t>]</w:t>
      </w:r>
    </w:p>
    <w:p w14:paraId="123B20F6" w14:textId="77777777" w:rsidR="009E4863" w:rsidRPr="008401A7" w:rsidRDefault="009E4863" w:rsidP="007F3344">
      <w:pPr>
        <w:shd w:val="clear" w:color="auto" w:fill="FFFFFF"/>
        <w:spacing w:before="120"/>
        <w:ind w:left="365"/>
        <w:jc w:val="both"/>
        <w:rPr>
          <w:sz w:val="22"/>
        </w:rPr>
      </w:pPr>
      <w:r w:rsidRPr="008401A7">
        <w:rPr>
          <w:bCs/>
          <w:sz w:val="22"/>
          <w:szCs w:val="24"/>
        </w:rPr>
        <w:t>The Parliament of Australia enacts:</w:t>
      </w:r>
    </w:p>
    <w:p w14:paraId="016C3664" w14:textId="77777777" w:rsidR="009E4863" w:rsidRPr="008401A7" w:rsidRDefault="009E4863" w:rsidP="007F3344">
      <w:pPr>
        <w:shd w:val="clear" w:color="auto" w:fill="FFFFFF"/>
        <w:spacing w:before="120"/>
        <w:ind w:left="10"/>
        <w:jc w:val="both"/>
        <w:rPr>
          <w:sz w:val="22"/>
        </w:rPr>
      </w:pPr>
      <w:r w:rsidRPr="008401A7">
        <w:rPr>
          <w:b/>
          <w:bCs/>
          <w:sz w:val="22"/>
          <w:szCs w:val="24"/>
        </w:rPr>
        <w:t>Short title</w:t>
      </w:r>
    </w:p>
    <w:p w14:paraId="2F6F5692" w14:textId="77777777" w:rsidR="009E4863" w:rsidRPr="008401A7" w:rsidRDefault="009E4863" w:rsidP="007F3344">
      <w:pPr>
        <w:shd w:val="clear" w:color="auto" w:fill="FFFFFF"/>
        <w:tabs>
          <w:tab w:val="left" w:pos="586"/>
        </w:tabs>
        <w:spacing w:before="120"/>
        <w:ind w:firstLine="360"/>
        <w:jc w:val="both"/>
        <w:rPr>
          <w:sz w:val="22"/>
        </w:rPr>
      </w:pPr>
      <w:r w:rsidRPr="008401A7">
        <w:rPr>
          <w:b/>
          <w:bCs/>
          <w:sz w:val="22"/>
          <w:szCs w:val="24"/>
        </w:rPr>
        <w:t>1.</w:t>
      </w:r>
      <w:r w:rsidRPr="008401A7">
        <w:rPr>
          <w:b/>
          <w:bCs/>
          <w:sz w:val="22"/>
          <w:szCs w:val="24"/>
        </w:rPr>
        <w:tab/>
      </w:r>
      <w:r w:rsidRPr="008401A7">
        <w:rPr>
          <w:sz w:val="22"/>
          <w:szCs w:val="24"/>
        </w:rPr>
        <w:t xml:space="preserve">This Act may be cited as the </w:t>
      </w:r>
      <w:r w:rsidRPr="008401A7">
        <w:rPr>
          <w:i/>
          <w:iCs/>
          <w:sz w:val="22"/>
          <w:szCs w:val="24"/>
        </w:rPr>
        <w:t>Coal Industry Legislation</w:t>
      </w:r>
      <w:r w:rsidR="008401A7">
        <w:rPr>
          <w:i/>
          <w:iCs/>
          <w:sz w:val="22"/>
          <w:szCs w:val="24"/>
        </w:rPr>
        <w:t xml:space="preserve"> </w:t>
      </w:r>
      <w:r w:rsidRPr="008401A7">
        <w:rPr>
          <w:i/>
          <w:iCs/>
          <w:sz w:val="22"/>
          <w:szCs w:val="24"/>
        </w:rPr>
        <w:t>Amendment Act 1992.</w:t>
      </w:r>
    </w:p>
    <w:p w14:paraId="5D58FA60" w14:textId="77777777" w:rsidR="009E4863" w:rsidRPr="008401A7" w:rsidRDefault="009E4863" w:rsidP="007F3344">
      <w:pPr>
        <w:shd w:val="clear" w:color="auto" w:fill="FFFFFF"/>
        <w:spacing w:before="120"/>
        <w:ind w:left="14"/>
        <w:jc w:val="both"/>
        <w:rPr>
          <w:sz w:val="22"/>
        </w:rPr>
      </w:pPr>
      <w:r w:rsidRPr="008401A7">
        <w:rPr>
          <w:b/>
          <w:bCs/>
          <w:sz w:val="22"/>
          <w:szCs w:val="24"/>
        </w:rPr>
        <w:t>Commencement</w:t>
      </w:r>
    </w:p>
    <w:p w14:paraId="398A2A53" w14:textId="77777777" w:rsidR="009E4863" w:rsidRPr="008401A7" w:rsidRDefault="009E4863" w:rsidP="007F3344">
      <w:pPr>
        <w:shd w:val="clear" w:color="auto" w:fill="FFFFFF"/>
        <w:tabs>
          <w:tab w:val="left" w:pos="586"/>
        </w:tabs>
        <w:spacing w:before="120"/>
        <w:ind w:firstLine="360"/>
        <w:jc w:val="both"/>
        <w:rPr>
          <w:sz w:val="22"/>
        </w:rPr>
      </w:pPr>
      <w:r w:rsidRPr="008401A7">
        <w:rPr>
          <w:b/>
          <w:bCs/>
          <w:sz w:val="22"/>
          <w:szCs w:val="24"/>
        </w:rPr>
        <w:t>2.</w:t>
      </w:r>
      <w:r w:rsidRPr="008401A7">
        <w:rPr>
          <w:b/>
          <w:bCs/>
          <w:sz w:val="22"/>
          <w:szCs w:val="24"/>
        </w:rPr>
        <w:tab/>
        <w:t xml:space="preserve">(1) </w:t>
      </w:r>
      <w:r w:rsidRPr="008401A7">
        <w:rPr>
          <w:sz w:val="22"/>
          <w:szCs w:val="24"/>
        </w:rPr>
        <w:t>Sections 1 and 2 commence on the day on which this Act</w:t>
      </w:r>
      <w:r w:rsidR="008401A7">
        <w:rPr>
          <w:sz w:val="22"/>
          <w:szCs w:val="24"/>
        </w:rPr>
        <w:t xml:space="preserve"> </w:t>
      </w:r>
      <w:r w:rsidRPr="008401A7">
        <w:rPr>
          <w:sz w:val="22"/>
          <w:szCs w:val="24"/>
        </w:rPr>
        <w:t>receives the Royal Assent.</w:t>
      </w:r>
    </w:p>
    <w:p w14:paraId="04869476" w14:textId="77777777" w:rsidR="009E4863" w:rsidRPr="008401A7" w:rsidRDefault="009E4863" w:rsidP="007F3344">
      <w:pPr>
        <w:shd w:val="clear" w:color="auto" w:fill="FFFFFF"/>
        <w:spacing w:before="120"/>
        <w:ind w:left="24" w:firstLine="331"/>
        <w:jc w:val="both"/>
        <w:rPr>
          <w:sz w:val="22"/>
        </w:rPr>
      </w:pPr>
      <w:r w:rsidRPr="008401A7">
        <w:rPr>
          <w:b/>
          <w:bCs/>
          <w:sz w:val="22"/>
          <w:szCs w:val="24"/>
        </w:rPr>
        <w:t>(2)</w:t>
      </w:r>
      <w:r w:rsidRPr="008401A7">
        <w:rPr>
          <w:sz w:val="22"/>
          <w:szCs w:val="24"/>
        </w:rPr>
        <w:t xml:space="preserve"> Subject to subsection (3), section 3 commences on a day to be fixed by Proclamation.</w:t>
      </w:r>
    </w:p>
    <w:p w14:paraId="39FA3255" w14:textId="77777777" w:rsidR="009E4863" w:rsidRPr="008401A7" w:rsidRDefault="009E4863" w:rsidP="007F3344">
      <w:pPr>
        <w:shd w:val="clear" w:color="auto" w:fill="FFFFFF"/>
        <w:spacing w:before="120"/>
        <w:ind w:left="24" w:firstLine="331"/>
        <w:jc w:val="both"/>
        <w:rPr>
          <w:sz w:val="22"/>
        </w:rPr>
        <w:sectPr w:rsidR="009E4863" w:rsidRPr="008401A7" w:rsidSect="00791672">
          <w:headerReference w:type="default" r:id="rId9"/>
          <w:pgSz w:w="12240" w:h="15840" w:code="1"/>
          <w:pgMar w:top="1440" w:right="1440" w:bottom="1440" w:left="1440" w:header="720" w:footer="720" w:gutter="0"/>
          <w:cols w:space="60"/>
          <w:noEndnote/>
          <w:titlePg/>
          <w:docGrid w:linePitch="272"/>
        </w:sectPr>
      </w:pPr>
    </w:p>
    <w:p w14:paraId="4E69BAF3" w14:textId="77777777" w:rsidR="009E4863" w:rsidRPr="008401A7" w:rsidRDefault="009E4863" w:rsidP="007F3344">
      <w:pPr>
        <w:numPr>
          <w:ilvl w:val="0"/>
          <w:numId w:val="1"/>
        </w:numPr>
        <w:shd w:val="clear" w:color="auto" w:fill="FFFFFF"/>
        <w:tabs>
          <w:tab w:val="left" w:pos="744"/>
        </w:tabs>
        <w:spacing w:before="120"/>
        <w:ind w:firstLine="346"/>
        <w:jc w:val="both"/>
        <w:rPr>
          <w:b/>
          <w:bCs/>
          <w:sz w:val="22"/>
          <w:szCs w:val="24"/>
        </w:rPr>
      </w:pPr>
      <w:r w:rsidRPr="008401A7">
        <w:rPr>
          <w:sz w:val="22"/>
          <w:szCs w:val="24"/>
        </w:rPr>
        <w:lastRenderedPageBreak/>
        <w:t>If section 3 does not commence within the period of 12 months beginning on the day on which this Act receives the Royal Assent, section 3 is repealed on the first day after the end of that period.</w:t>
      </w:r>
    </w:p>
    <w:p w14:paraId="4935CE79" w14:textId="77777777" w:rsidR="009E4863" w:rsidRPr="008401A7" w:rsidRDefault="009E4863" w:rsidP="007F3344">
      <w:pPr>
        <w:numPr>
          <w:ilvl w:val="0"/>
          <w:numId w:val="1"/>
        </w:numPr>
        <w:shd w:val="clear" w:color="auto" w:fill="FFFFFF"/>
        <w:tabs>
          <w:tab w:val="left" w:pos="744"/>
        </w:tabs>
        <w:spacing w:before="120"/>
        <w:ind w:firstLine="346"/>
        <w:jc w:val="both"/>
        <w:rPr>
          <w:b/>
          <w:bCs/>
          <w:sz w:val="22"/>
          <w:szCs w:val="24"/>
        </w:rPr>
      </w:pPr>
      <w:r w:rsidRPr="008401A7">
        <w:rPr>
          <w:sz w:val="22"/>
          <w:szCs w:val="24"/>
        </w:rPr>
        <w:t>Subject to subsection (5), section 4 commences on a day to be fixed by Proclamation.</w:t>
      </w:r>
    </w:p>
    <w:p w14:paraId="303EDBC3" w14:textId="77777777" w:rsidR="009E4863" w:rsidRPr="008401A7" w:rsidRDefault="009E4863" w:rsidP="007F3344">
      <w:pPr>
        <w:numPr>
          <w:ilvl w:val="0"/>
          <w:numId w:val="1"/>
        </w:numPr>
        <w:shd w:val="clear" w:color="auto" w:fill="FFFFFF"/>
        <w:tabs>
          <w:tab w:val="left" w:pos="744"/>
        </w:tabs>
        <w:spacing w:before="120"/>
        <w:ind w:firstLine="346"/>
        <w:jc w:val="both"/>
        <w:rPr>
          <w:b/>
          <w:bCs/>
          <w:sz w:val="22"/>
          <w:szCs w:val="24"/>
        </w:rPr>
      </w:pPr>
      <w:r w:rsidRPr="008401A7">
        <w:rPr>
          <w:sz w:val="22"/>
          <w:szCs w:val="24"/>
        </w:rPr>
        <w:t>If section 4 does not commence within the period of 12 months beginning on the day on which this Act receives the Royal Assent, section 4 is repealed on the first day after the end of that period.</w:t>
      </w:r>
    </w:p>
    <w:p w14:paraId="76819F94" w14:textId="77777777" w:rsidR="009E4863" w:rsidRPr="008401A7" w:rsidRDefault="009E4863" w:rsidP="007F3344">
      <w:pPr>
        <w:shd w:val="clear" w:color="auto" w:fill="FFFFFF"/>
        <w:spacing w:before="120"/>
        <w:jc w:val="both"/>
        <w:rPr>
          <w:sz w:val="22"/>
        </w:rPr>
      </w:pPr>
      <w:r w:rsidRPr="008401A7">
        <w:rPr>
          <w:b/>
          <w:bCs/>
          <w:sz w:val="22"/>
          <w:szCs w:val="24"/>
        </w:rPr>
        <w:t>Amendments relating to the provision of administrative support for the Coal Industry Tribunal and Local Coal Authorities</w:t>
      </w:r>
    </w:p>
    <w:p w14:paraId="65D3E580" w14:textId="77777777" w:rsidR="009E4863" w:rsidRPr="008401A7" w:rsidRDefault="009E4863" w:rsidP="007F3344">
      <w:pPr>
        <w:shd w:val="clear" w:color="auto" w:fill="FFFFFF"/>
        <w:tabs>
          <w:tab w:val="left" w:pos="638"/>
        </w:tabs>
        <w:spacing w:before="120"/>
        <w:ind w:firstLine="331"/>
        <w:jc w:val="both"/>
        <w:rPr>
          <w:sz w:val="22"/>
        </w:rPr>
      </w:pPr>
      <w:r w:rsidRPr="008401A7">
        <w:rPr>
          <w:b/>
          <w:bCs/>
          <w:sz w:val="22"/>
          <w:szCs w:val="24"/>
        </w:rPr>
        <w:t>3.</w:t>
      </w:r>
      <w:r w:rsidRPr="008401A7">
        <w:rPr>
          <w:b/>
          <w:bCs/>
          <w:sz w:val="22"/>
          <w:szCs w:val="24"/>
        </w:rPr>
        <w:tab/>
      </w:r>
      <w:r w:rsidRPr="008401A7">
        <w:rPr>
          <w:sz w:val="22"/>
          <w:szCs w:val="24"/>
        </w:rPr>
        <w:t>The Acts specified in Schedule 1 are amended as set out in that</w:t>
      </w:r>
      <w:r w:rsidR="008401A7">
        <w:rPr>
          <w:sz w:val="22"/>
          <w:szCs w:val="24"/>
        </w:rPr>
        <w:t xml:space="preserve"> </w:t>
      </w:r>
      <w:r w:rsidRPr="008401A7">
        <w:rPr>
          <w:sz w:val="22"/>
          <w:szCs w:val="24"/>
        </w:rPr>
        <w:t>Schedule.</w:t>
      </w:r>
    </w:p>
    <w:p w14:paraId="0D185FB5" w14:textId="77777777" w:rsidR="009E4863" w:rsidRPr="008401A7" w:rsidRDefault="009E4863" w:rsidP="007F3344">
      <w:pPr>
        <w:shd w:val="clear" w:color="auto" w:fill="FFFFFF"/>
        <w:spacing w:before="120"/>
        <w:ind w:left="5"/>
        <w:jc w:val="both"/>
        <w:rPr>
          <w:sz w:val="22"/>
        </w:rPr>
      </w:pPr>
      <w:r w:rsidRPr="008401A7">
        <w:rPr>
          <w:b/>
          <w:bCs/>
          <w:sz w:val="22"/>
          <w:szCs w:val="24"/>
        </w:rPr>
        <w:t>Amendments relating to audit of the Joint Coal Board</w:t>
      </w:r>
    </w:p>
    <w:p w14:paraId="7B1C4E0F" w14:textId="77777777" w:rsidR="009E4863" w:rsidRPr="008401A7" w:rsidRDefault="007F3344" w:rsidP="007F3344">
      <w:pPr>
        <w:shd w:val="clear" w:color="auto" w:fill="FFFFFF"/>
        <w:tabs>
          <w:tab w:val="left" w:pos="638"/>
        </w:tabs>
        <w:spacing w:before="120"/>
        <w:ind w:firstLine="331"/>
        <w:jc w:val="both"/>
        <w:rPr>
          <w:sz w:val="22"/>
        </w:rPr>
      </w:pPr>
      <w:r>
        <w:rPr>
          <w:b/>
          <w:bCs/>
          <w:noProof/>
          <w:sz w:val="22"/>
          <w:szCs w:val="24"/>
          <w:lang w:val="en-AU" w:eastAsia="en-AU"/>
        </w:rPr>
        <mc:AlternateContent>
          <mc:Choice Requires="wps">
            <w:drawing>
              <wp:anchor distT="0" distB="0" distL="114300" distR="114300" simplePos="0" relativeHeight="251660288" behindDoc="0" locked="0" layoutInCell="1" allowOverlap="1" wp14:anchorId="494D812B" wp14:editId="3D611AC0">
                <wp:simplePos x="0" y="0"/>
                <wp:positionH relativeFrom="column">
                  <wp:posOffset>2545503</wp:posOffset>
                </wp:positionH>
                <wp:positionV relativeFrom="paragraph">
                  <wp:posOffset>550545</wp:posOffset>
                </wp:positionV>
                <wp:extent cx="880534"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880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23A5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45pt,43.35pt" to="269.8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" strokecolor="black [3040]"/>
            </w:pict>
          </mc:Fallback>
        </mc:AlternateContent>
      </w:r>
      <w:r w:rsidR="009E4863" w:rsidRPr="008401A7">
        <w:rPr>
          <w:b/>
          <w:bCs/>
          <w:sz w:val="22"/>
          <w:szCs w:val="24"/>
        </w:rPr>
        <w:t>4.</w:t>
      </w:r>
      <w:r w:rsidR="009E4863" w:rsidRPr="008401A7">
        <w:rPr>
          <w:b/>
          <w:bCs/>
          <w:sz w:val="22"/>
          <w:szCs w:val="24"/>
        </w:rPr>
        <w:tab/>
      </w:r>
      <w:r w:rsidR="009E4863" w:rsidRPr="008401A7">
        <w:rPr>
          <w:sz w:val="22"/>
          <w:szCs w:val="24"/>
        </w:rPr>
        <w:t>The Act specified in Schedule 2 is amended as set out in that</w:t>
      </w:r>
      <w:r w:rsidR="008401A7">
        <w:rPr>
          <w:sz w:val="22"/>
          <w:szCs w:val="24"/>
        </w:rPr>
        <w:t xml:space="preserve"> </w:t>
      </w:r>
      <w:r w:rsidR="009E4863" w:rsidRPr="008401A7">
        <w:rPr>
          <w:sz w:val="22"/>
          <w:szCs w:val="24"/>
        </w:rPr>
        <w:t>Schedule.</w:t>
      </w:r>
    </w:p>
    <w:p w14:paraId="07EB9535" w14:textId="77777777" w:rsidR="009E4863" w:rsidRPr="008401A7" w:rsidRDefault="009E4863" w:rsidP="007F3344">
      <w:pPr>
        <w:shd w:val="clear" w:color="auto" w:fill="FFFFFF"/>
        <w:tabs>
          <w:tab w:val="left" w:pos="638"/>
        </w:tabs>
        <w:spacing w:before="120"/>
        <w:ind w:firstLine="331"/>
        <w:jc w:val="both"/>
        <w:rPr>
          <w:sz w:val="22"/>
        </w:rPr>
        <w:sectPr w:rsidR="009E4863" w:rsidRPr="008401A7" w:rsidSect="003570EA">
          <w:pgSz w:w="12240" w:h="15840" w:code="1"/>
          <w:pgMar w:top="1440" w:right="1440" w:bottom="1440" w:left="1440" w:header="720" w:footer="720" w:gutter="0"/>
          <w:cols w:space="60"/>
          <w:noEndnote/>
        </w:sectPr>
      </w:pPr>
    </w:p>
    <w:p w14:paraId="73C7BA30" w14:textId="5FC4CD88" w:rsidR="009E4863" w:rsidRPr="008401A7" w:rsidRDefault="009E4863" w:rsidP="00690895">
      <w:pPr>
        <w:shd w:val="clear" w:color="auto" w:fill="FFFFFF"/>
        <w:tabs>
          <w:tab w:val="left" w:pos="4500"/>
        </w:tabs>
        <w:spacing w:before="120"/>
        <w:jc w:val="right"/>
        <w:rPr>
          <w:sz w:val="22"/>
        </w:rPr>
      </w:pPr>
      <w:r w:rsidRPr="008401A7">
        <w:rPr>
          <w:b/>
          <w:bCs/>
          <w:sz w:val="22"/>
          <w:szCs w:val="24"/>
        </w:rPr>
        <w:lastRenderedPageBreak/>
        <w:t>SCHEDULE 1</w:t>
      </w:r>
      <w:r w:rsidRPr="008401A7">
        <w:rPr>
          <w:rFonts w:cs="Arial"/>
          <w:b/>
          <w:bCs/>
          <w:sz w:val="22"/>
          <w:szCs w:val="24"/>
        </w:rPr>
        <w:tab/>
      </w:r>
      <w:r w:rsidRPr="0043360C">
        <w:rPr>
          <w:szCs w:val="24"/>
        </w:rPr>
        <w:t>Section 3</w:t>
      </w:r>
    </w:p>
    <w:p w14:paraId="503EBC85" w14:textId="77777777" w:rsidR="009E4863" w:rsidRPr="008401A7" w:rsidRDefault="009E4863" w:rsidP="00690895">
      <w:pPr>
        <w:shd w:val="clear" w:color="auto" w:fill="FFFFFF"/>
        <w:spacing w:before="120"/>
        <w:jc w:val="center"/>
        <w:rPr>
          <w:sz w:val="22"/>
        </w:rPr>
      </w:pPr>
      <w:r w:rsidRPr="008401A7">
        <w:rPr>
          <w:sz w:val="22"/>
          <w:szCs w:val="24"/>
        </w:rPr>
        <w:t>AMENDMENTS RELATING TO THE PROVISION OF ADMINISTRATIVE SUPPORT FOR THE COAL INDUSTRY TRIBUNAL AND LOCAL COAL AUTHORITIES</w:t>
      </w:r>
    </w:p>
    <w:p w14:paraId="11D3288A" w14:textId="77777777" w:rsidR="009E4863" w:rsidRPr="008401A7" w:rsidRDefault="009E4863" w:rsidP="00690895">
      <w:pPr>
        <w:shd w:val="clear" w:color="auto" w:fill="FFFFFF"/>
        <w:spacing w:before="120"/>
        <w:jc w:val="center"/>
        <w:rPr>
          <w:sz w:val="22"/>
        </w:rPr>
      </w:pPr>
      <w:r w:rsidRPr="008401A7">
        <w:rPr>
          <w:b/>
          <w:bCs/>
          <w:i/>
          <w:iCs/>
          <w:sz w:val="22"/>
          <w:szCs w:val="24"/>
        </w:rPr>
        <w:t>Coal Industry Act 1946</w:t>
      </w:r>
    </w:p>
    <w:p w14:paraId="6CC6F106" w14:textId="77777777" w:rsidR="009E4863" w:rsidRPr="008401A7" w:rsidRDefault="009E4863" w:rsidP="007F3344">
      <w:pPr>
        <w:shd w:val="clear" w:color="auto" w:fill="FFFFFF"/>
        <w:spacing w:before="120"/>
        <w:ind w:left="24"/>
        <w:jc w:val="both"/>
        <w:rPr>
          <w:sz w:val="22"/>
        </w:rPr>
      </w:pPr>
      <w:r w:rsidRPr="008401A7">
        <w:rPr>
          <w:b/>
          <w:bCs/>
          <w:sz w:val="22"/>
          <w:szCs w:val="24"/>
        </w:rPr>
        <w:t>Section 28K:</w:t>
      </w:r>
    </w:p>
    <w:p w14:paraId="27196A8B" w14:textId="77777777" w:rsidR="009E4863" w:rsidRPr="008401A7" w:rsidRDefault="009E4863" w:rsidP="007F3344">
      <w:pPr>
        <w:shd w:val="clear" w:color="auto" w:fill="FFFFFF"/>
        <w:spacing w:before="120"/>
        <w:ind w:left="24" w:firstLine="336"/>
        <w:jc w:val="both"/>
        <w:rPr>
          <w:sz w:val="22"/>
        </w:rPr>
      </w:pPr>
      <w:r w:rsidRPr="008401A7">
        <w:rPr>
          <w:sz w:val="22"/>
          <w:szCs w:val="24"/>
        </w:rPr>
        <w:t>Omit all the words after “Parliament”, substitute “for the purposes of the Board”.</w:t>
      </w:r>
    </w:p>
    <w:p w14:paraId="1519179D" w14:textId="77777777" w:rsidR="009E4863" w:rsidRPr="008401A7" w:rsidRDefault="009E4863" w:rsidP="007F3344">
      <w:pPr>
        <w:shd w:val="clear" w:color="auto" w:fill="FFFFFF"/>
        <w:spacing w:before="120"/>
        <w:ind w:left="24"/>
        <w:jc w:val="both"/>
        <w:rPr>
          <w:sz w:val="22"/>
        </w:rPr>
      </w:pPr>
      <w:r w:rsidRPr="008401A7">
        <w:rPr>
          <w:b/>
          <w:bCs/>
          <w:sz w:val="22"/>
          <w:szCs w:val="24"/>
        </w:rPr>
        <w:t>Subsections 37(2) and (2A):</w:t>
      </w:r>
    </w:p>
    <w:p w14:paraId="7EAB8F97" w14:textId="77777777" w:rsidR="009E4863" w:rsidRPr="008401A7" w:rsidRDefault="009E4863" w:rsidP="007F3344">
      <w:pPr>
        <w:shd w:val="clear" w:color="auto" w:fill="FFFFFF"/>
        <w:spacing w:before="120"/>
        <w:ind w:left="360"/>
        <w:jc w:val="both"/>
        <w:rPr>
          <w:sz w:val="22"/>
        </w:rPr>
      </w:pPr>
      <w:r w:rsidRPr="008401A7">
        <w:rPr>
          <w:sz w:val="22"/>
          <w:szCs w:val="24"/>
        </w:rPr>
        <w:t>Omit “, with the concurrence of the Board,”.</w:t>
      </w:r>
    </w:p>
    <w:p w14:paraId="16B07E7B" w14:textId="77777777" w:rsidR="009E4863" w:rsidRPr="008401A7" w:rsidRDefault="009E4863" w:rsidP="007F3344">
      <w:pPr>
        <w:shd w:val="clear" w:color="auto" w:fill="FFFFFF"/>
        <w:spacing w:before="120"/>
        <w:ind w:left="24"/>
        <w:jc w:val="both"/>
        <w:rPr>
          <w:sz w:val="22"/>
        </w:rPr>
      </w:pPr>
      <w:r w:rsidRPr="008401A7">
        <w:rPr>
          <w:b/>
          <w:bCs/>
          <w:sz w:val="22"/>
          <w:szCs w:val="24"/>
        </w:rPr>
        <w:t>Section 40:</w:t>
      </w:r>
    </w:p>
    <w:p w14:paraId="0BF0FA72" w14:textId="77777777" w:rsidR="009E4863" w:rsidRPr="008401A7" w:rsidRDefault="009E4863" w:rsidP="007F3344">
      <w:pPr>
        <w:shd w:val="clear" w:color="auto" w:fill="FFFFFF"/>
        <w:spacing w:before="120"/>
        <w:ind w:left="365"/>
        <w:jc w:val="both"/>
        <w:rPr>
          <w:sz w:val="22"/>
        </w:rPr>
      </w:pPr>
      <w:r w:rsidRPr="008401A7">
        <w:rPr>
          <w:sz w:val="22"/>
          <w:szCs w:val="24"/>
        </w:rPr>
        <w:t>Repeal the section.</w:t>
      </w:r>
    </w:p>
    <w:p w14:paraId="36C49F03" w14:textId="77777777" w:rsidR="009E4863" w:rsidRPr="008401A7" w:rsidRDefault="009E4863" w:rsidP="00690895">
      <w:pPr>
        <w:shd w:val="clear" w:color="auto" w:fill="FFFFFF"/>
        <w:spacing w:before="240"/>
        <w:jc w:val="center"/>
        <w:rPr>
          <w:sz w:val="22"/>
        </w:rPr>
      </w:pPr>
      <w:r w:rsidRPr="008401A7">
        <w:rPr>
          <w:b/>
          <w:bCs/>
          <w:i/>
          <w:iCs/>
          <w:sz w:val="22"/>
          <w:szCs w:val="24"/>
        </w:rPr>
        <w:t>Industrial Relations Act 1988</w:t>
      </w:r>
    </w:p>
    <w:p w14:paraId="30150763" w14:textId="77777777" w:rsidR="009E4863" w:rsidRPr="008401A7" w:rsidRDefault="009E4863" w:rsidP="007F3344">
      <w:pPr>
        <w:shd w:val="clear" w:color="auto" w:fill="FFFFFF"/>
        <w:spacing w:before="120"/>
        <w:ind w:left="14"/>
        <w:jc w:val="both"/>
        <w:rPr>
          <w:sz w:val="22"/>
        </w:rPr>
      </w:pPr>
      <w:r w:rsidRPr="008401A7">
        <w:rPr>
          <w:b/>
          <w:bCs/>
          <w:sz w:val="22"/>
          <w:szCs w:val="24"/>
        </w:rPr>
        <w:t>Paragraph 67(2)(b):</w:t>
      </w:r>
    </w:p>
    <w:p w14:paraId="31C93DE1" w14:textId="77777777" w:rsidR="009E4863" w:rsidRPr="008401A7" w:rsidRDefault="009E4863" w:rsidP="007F3344">
      <w:pPr>
        <w:shd w:val="clear" w:color="auto" w:fill="FFFFFF"/>
        <w:spacing w:before="120"/>
        <w:ind w:left="19" w:firstLine="336"/>
        <w:jc w:val="both"/>
        <w:rPr>
          <w:sz w:val="22"/>
        </w:rPr>
      </w:pPr>
      <w:r w:rsidRPr="008401A7">
        <w:rPr>
          <w:sz w:val="22"/>
          <w:szCs w:val="24"/>
        </w:rPr>
        <w:t>Omit “of the Industrial Registry”, substitute “conferred on the Industrial Registry by this Act”.</w:t>
      </w:r>
    </w:p>
    <w:p w14:paraId="10579D35" w14:textId="77777777" w:rsidR="009E4863" w:rsidRPr="008401A7" w:rsidRDefault="009E4863" w:rsidP="007F3344">
      <w:pPr>
        <w:shd w:val="clear" w:color="auto" w:fill="FFFFFF"/>
        <w:spacing w:before="120"/>
        <w:ind w:left="19"/>
        <w:jc w:val="both"/>
        <w:rPr>
          <w:sz w:val="22"/>
        </w:rPr>
      </w:pPr>
      <w:r w:rsidRPr="008401A7">
        <w:rPr>
          <w:b/>
          <w:bCs/>
          <w:sz w:val="22"/>
          <w:szCs w:val="24"/>
        </w:rPr>
        <w:t>Paragraph 75(2)(b):</w:t>
      </w:r>
    </w:p>
    <w:p w14:paraId="0C36C423" w14:textId="77777777" w:rsidR="009E4863" w:rsidRPr="008401A7" w:rsidRDefault="009E4863" w:rsidP="007F3344">
      <w:pPr>
        <w:shd w:val="clear" w:color="auto" w:fill="FFFFFF"/>
        <w:spacing w:before="120"/>
        <w:ind w:left="24" w:firstLine="326"/>
        <w:jc w:val="both"/>
        <w:rPr>
          <w:sz w:val="22"/>
        </w:rPr>
      </w:pPr>
      <w:r w:rsidRPr="008401A7">
        <w:rPr>
          <w:sz w:val="22"/>
          <w:szCs w:val="24"/>
        </w:rPr>
        <w:t>Omit “of the Industrial Registry”, substitute “conferred on the Industrial Registry by this Act”.</w:t>
      </w:r>
    </w:p>
    <w:p w14:paraId="2C0F29F0" w14:textId="77777777" w:rsidR="009E4863" w:rsidRPr="008401A7" w:rsidRDefault="009E4863" w:rsidP="007F3344">
      <w:pPr>
        <w:shd w:val="clear" w:color="auto" w:fill="FFFFFF"/>
        <w:spacing w:before="120"/>
        <w:ind w:left="10"/>
        <w:jc w:val="both"/>
        <w:rPr>
          <w:sz w:val="22"/>
        </w:rPr>
      </w:pPr>
      <w:r w:rsidRPr="008401A7">
        <w:rPr>
          <w:b/>
          <w:bCs/>
          <w:sz w:val="22"/>
          <w:szCs w:val="24"/>
        </w:rPr>
        <w:t>After section 78:</w:t>
      </w:r>
    </w:p>
    <w:p w14:paraId="5CC8B101" w14:textId="77777777" w:rsidR="009E4863" w:rsidRPr="008401A7" w:rsidRDefault="009E4863" w:rsidP="007F3344">
      <w:pPr>
        <w:shd w:val="clear" w:color="auto" w:fill="FFFFFF"/>
        <w:spacing w:before="120"/>
        <w:ind w:left="355"/>
        <w:jc w:val="both"/>
        <w:rPr>
          <w:sz w:val="22"/>
        </w:rPr>
      </w:pPr>
      <w:r w:rsidRPr="008401A7">
        <w:rPr>
          <w:sz w:val="22"/>
          <w:szCs w:val="24"/>
        </w:rPr>
        <w:t>Insert:</w:t>
      </w:r>
    </w:p>
    <w:p w14:paraId="1A3B64E2" w14:textId="52542475" w:rsidR="009E4863" w:rsidRPr="008401A7" w:rsidRDefault="009E4863" w:rsidP="00690895">
      <w:pPr>
        <w:shd w:val="clear" w:color="auto" w:fill="FFFFFF"/>
        <w:spacing w:before="240"/>
        <w:ind w:left="2059" w:hanging="2059"/>
        <w:jc w:val="center"/>
        <w:rPr>
          <w:sz w:val="22"/>
        </w:rPr>
      </w:pPr>
      <w:r w:rsidRPr="0043360C">
        <w:rPr>
          <w:bCs/>
          <w:iCs/>
          <w:sz w:val="22"/>
          <w:szCs w:val="24"/>
        </w:rPr>
        <w:t>“</w:t>
      </w:r>
      <w:r w:rsidRPr="008401A7">
        <w:rPr>
          <w:b/>
          <w:bCs/>
          <w:i/>
          <w:iCs/>
          <w:sz w:val="22"/>
          <w:szCs w:val="24"/>
        </w:rPr>
        <w:t>Division 2A</w:t>
      </w:r>
      <w:r w:rsidRPr="008401A7">
        <w:rPr>
          <w:rFonts w:eastAsia="Times New Roman"/>
          <w:sz w:val="22"/>
          <w:szCs w:val="24"/>
        </w:rPr>
        <w:t>—</w:t>
      </w:r>
      <w:r w:rsidRPr="008401A7">
        <w:rPr>
          <w:rFonts w:eastAsia="Times New Roman"/>
          <w:b/>
          <w:bCs/>
          <w:i/>
          <w:iCs/>
          <w:sz w:val="22"/>
          <w:szCs w:val="24"/>
        </w:rPr>
        <w:t>Administrative support for the Coal Industry Tribunal and Local Coal Authorities</w:t>
      </w:r>
    </w:p>
    <w:p w14:paraId="7399ECB1" w14:textId="77777777" w:rsidR="009E4863" w:rsidRPr="008401A7" w:rsidRDefault="009E4863" w:rsidP="007F3344">
      <w:pPr>
        <w:shd w:val="clear" w:color="auto" w:fill="FFFFFF"/>
        <w:spacing w:before="120"/>
        <w:ind w:left="10"/>
        <w:jc w:val="both"/>
        <w:rPr>
          <w:sz w:val="22"/>
        </w:rPr>
      </w:pPr>
      <w:r w:rsidRPr="008401A7">
        <w:rPr>
          <w:b/>
          <w:bCs/>
          <w:sz w:val="22"/>
          <w:szCs w:val="24"/>
        </w:rPr>
        <w:t>Interpretation</w:t>
      </w:r>
    </w:p>
    <w:p w14:paraId="731A4426" w14:textId="77777777" w:rsidR="009E4863" w:rsidRPr="008401A7" w:rsidRDefault="009E4863" w:rsidP="007F3344">
      <w:pPr>
        <w:shd w:val="clear" w:color="auto" w:fill="FFFFFF"/>
        <w:spacing w:before="120"/>
        <w:ind w:left="350"/>
        <w:jc w:val="both"/>
        <w:rPr>
          <w:sz w:val="22"/>
        </w:rPr>
      </w:pPr>
      <w:r w:rsidRPr="008401A7">
        <w:rPr>
          <w:sz w:val="22"/>
          <w:szCs w:val="24"/>
        </w:rPr>
        <w:t>“78A. In this Division:</w:t>
      </w:r>
    </w:p>
    <w:p w14:paraId="51B55DC4" w14:textId="77777777" w:rsidR="009E4863" w:rsidRPr="008401A7" w:rsidRDefault="009E4863" w:rsidP="007F3344">
      <w:pPr>
        <w:shd w:val="clear" w:color="auto" w:fill="FFFFFF"/>
        <w:spacing w:before="120"/>
        <w:ind w:left="5"/>
        <w:jc w:val="both"/>
        <w:rPr>
          <w:sz w:val="22"/>
        </w:rPr>
      </w:pPr>
      <w:r w:rsidRPr="008401A7">
        <w:rPr>
          <w:b/>
          <w:bCs/>
          <w:sz w:val="22"/>
          <w:szCs w:val="24"/>
        </w:rPr>
        <w:t xml:space="preserve">‘administrative support function’ </w:t>
      </w:r>
      <w:r w:rsidRPr="008401A7">
        <w:rPr>
          <w:sz w:val="22"/>
          <w:szCs w:val="24"/>
        </w:rPr>
        <w:t>means the function of providing administrative support to the Tribunal and to Local Coal Authorities;</w:t>
      </w:r>
    </w:p>
    <w:p w14:paraId="35DAFAB3" w14:textId="77777777" w:rsidR="009E4863" w:rsidRPr="008401A7" w:rsidRDefault="009E4863" w:rsidP="007F3344">
      <w:pPr>
        <w:shd w:val="clear" w:color="auto" w:fill="FFFFFF"/>
        <w:spacing w:before="120"/>
        <w:jc w:val="both"/>
        <w:rPr>
          <w:sz w:val="22"/>
        </w:rPr>
      </w:pPr>
      <w:r w:rsidRPr="008401A7">
        <w:rPr>
          <w:b/>
          <w:bCs/>
          <w:sz w:val="22"/>
          <w:szCs w:val="24"/>
        </w:rPr>
        <w:t xml:space="preserve">‘Local Coal Authority’ </w:t>
      </w:r>
      <w:r w:rsidRPr="008401A7">
        <w:rPr>
          <w:sz w:val="22"/>
          <w:szCs w:val="24"/>
        </w:rPr>
        <w:t>means a Local Coal Authority established by the Tribunal;</w:t>
      </w:r>
    </w:p>
    <w:p w14:paraId="2CD07E58" w14:textId="77777777" w:rsidR="009E4863" w:rsidRPr="008401A7" w:rsidRDefault="009E4863" w:rsidP="007F3344">
      <w:pPr>
        <w:shd w:val="clear" w:color="auto" w:fill="FFFFFF"/>
        <w:spacing w:before="120"/>
        <w:jc w:val="both"/>
        <w:rPr>
          <w:sz w:val="22"/>
        </w:rPr>
      </w:pPr>
      <w:r w:rsidRPr="008401A7">
        <w:rPr>
          <w:b/>
          <w:bCs/>
          <w:sz w:val="22"/>
          <w:szCs w:val="24"/>
        </w:rPr>
        <w:t xml:space="preserve">‘State Act’ </w:t>
      </w:r>
      <w:r w:rsidRPr="008401A7">
        <w:rPr>
          <w:sz w:val="22"/>
          <w:szCs w:val="24"/>
        </w:rPr>
        <w:t xml:space="preserve">means the </w:t>
      </w:r>
      <w:r w:rsidRPr="008401A7">
        <w:rPr>
          <w:i/>
          <w:iCs/>
          <w:sz w:val="22"/>
          <w:szCs w:val="24"/>
        </w:rPr>
        <w:t xml:space="preserve">Coal Industry Act 1946 </w:t>
      </w:r>
      <w:r w:rsidRPr="008401A7">
        <w:rPr>
          <w:sz w:val="22"/>
          <w:szCs w:val="24"/>
        </w:rPr>
        <w:t>of New South Wales;</w:t>
      </w:r>
    </w:p>
    <w:p w14:paraId="558BBD39" w14:textId="77777777" w:rsidR="009E4863" w:rsidRPr="008401A7" w:rsidRDefault="009E4863" w:rsidP="007F3344">
      <w:pPr>
        <w:shd w:val="clear" w:color="auto" w:fill="FFFFFF"/>
        <w:spacing w:before="120"/>
        <w:jc w:val="both"/>
        <w:rPr>
          <w:sz w:val="22"/>
        </w:rPr>
      </w:pPr>
      <w:r w:rsidRPr="008401A7">
        <w:rPr>
          <w:b/>
          <w:bCs/>
          <w:sz w:val="22"/>
          <w:szCs w:val="24"/>
        </w:rPr>
        <w:t xml:space="preserve">‘Tribunal’ </w:t>
      </w:r>
      <w:r w:rsidRPr="008401A7">
        <w:rPr>
          <w:sz w:val="22"/>
          <w:szCs w:val="24"/>
        </w:rPr>
        <w:t xml:space="preserve">has the same meaning as in the </w:t>
      </w:r>
      <w:r w:rsidRPr="008401A7">
        <w:rPr>
          <w:i/>
          <w:iCs/>
          <w:sz w:val="22"/>
          <w:szCs w:val="24"/>
        </w:rPr>
        <w:t>Coal Industry Act 1946.</w:t>
      </w:r>
    </w:p>
    <w:p w14:paraId="6CE729F1" w14:textId="77777777" w:rsidR="009E4863" w:rsidRPr="008401A7" w:rsidRDefault="009E4863" w:rsidP="007F3344">
      <w:pPr>
        <w:shd w:val="clear" w:color="auto" w:fill="FFFFFF"/>
        <w:spacing w:before="120"/>
        <w:jc w:val="both"/>
        <w:rPr>
          <w:sz w:val="22"/>
        </w:rPr>
      </w:pPr>
      <w:r w:rsidRPr="008401A7">
        <w:rPr>
          <w:b/>
          <w:bCs/>
          <w:sz w:val="22"/>
          <w:szCs w:val="24"/>
        </w:rPr>
        <w:t>Object of joint Commonwealth/New South Wales scheme</w:t>
      </w:r>
    </w:p>
    <w:p w14:paraId="7B40F483" w14:textId="77777777" w:rsidR="009E4863" w:rsidRPr="008401A7" w:rsidRDefault="009E4863" w:rsidP="007F3344">
      <w:pPr>
        <w:shd w:val="clear" w:color="auto" w:fill="FFFFFF"/>
        <w:spacing w:before="120"/>
        <w:ind w:firstLine="331"/>
        <w:jc w:val="both"/>
        <w:rPr>
          <w:sz w:val="22"/>
        </w:rPr>
      </w:pPr>
      <w:r w:rsidRPr="008401A7">
        <w:rPr>
          <w:sz w:val="22"/>
          <w:szCs w:val="24"/>
        </w:rPr>
        <w:t>“78B. The object of the joint legislative scheme constituted by this Division and by complementary provisions of the State Act is to confer the administrative support function on the Industrial Registry.</w:t>
      </w:r>
    </w:p>
    <w:p w14:paraId="05F15070" w14:textId="77777777" w:rsidR="009E4863" w:rsidRPr="008401A7" w:rsidRDefault="009E4863" w:rsidP="007F3344">
      <w:pPr>
        <w:shd w:val="clear" w:color="auto" w:fill="FFFFFF"/>
        <w:spacing w:before="120"/>
        <w:ind w:firstLine="331"/>
        <w:jc w:val="both"/>
        <w:rPr>
          <w:sz w:val="22"/>
        </w:rPr>
        <w:sectPr w:rsidR="009E4863" w:rsidRPr="008401A7" w:rsidSect="003570EA">
          <w:pgSz w:w="12240" w:h="15840" w:code="1"/>
          <w:pgMar w:top="1440" w:right="1440" w:bottom="1440" w:left="1440" w:header="720" w:footer="720" w:gutter="0"/>
          <w:cols w:space="60"/>
          <w:noEndnote/>
        </w:sectPr>
      </w:pPr>
    </w:p>
    <w:p w14:paraId="15A77C22" w14:textId="77777777" w:rsidR="009E4863" w:rsidRPr="008401A7" w:rsidRDefault="009E4863" w:rsidP="00690895">
      <w:pPr>
        <w:shd w:val="clear" w:color="auto" w:fill="FFFFFF"/>
        <w:spacing w:before="120"/>
        <w:jc w:val="center"/>
        <w:rPr>
          <w:sz w:val="22"/>
        </w:rPr>
      </w:pPr>
      <w:r w:rsidRPr="008401A7">
        <w:rPr>
          <w:b/>
          <w:bCs/>
          <w:sz w:val="22"/>
          <w:szCs w:val="24"/>
        </w:rPr>
        <w:lastRenderedPageBreak/>
        <w:t>SCHEDULE 1</w:t>
      </w:r>
      <w:r w:rsidRPr="008401A7">
        <w:rPr>
          <w:rFonts w:eastAsia="Times New Roman"/>
          <w:sz w:val="22"/>
          <w:szCs w:val="24"/>
        </w:rPr>
        <w:t>—continued</w:t>
      </w:r>
    </w:p>
    <w:p w14:paraId="5551D49B" w14:textId="77777777" w:rsidR="009E4863" w:rsidRPr="008401A7" w:rsidRDefault="009E4863" w:rsidP="007F3344">
      <w:pPr>
        <w:shd w:val="clear" w:color="auto" w:fill="FFFFFF"/>
        <w:spacing w:before="120"/>
        <w:ind w:left="19"/>
        <w:jc w:val="both"/>
        <w:rPr>
          <w:sz w:val="22"/>
        </w:rPr>
      </w:pPr>
      <w:r w:rsidRPr="008401A7">
        <w:rPr>
          <w:b/>
          <w:bCs/>
          <w:sz w:val="22"/>
          <w:szCs w:val="24"/>
        </w:rPr>
        <w:t>Conferral of administrative support function to the extent of Commonwealth legislative power</w:t>
      </w:r>
    </w:p>
    <w:p w14:paraId="3F561740" w14:textId="77777777" w:rsidR="009E4863" w:rsidRPr="008401A7" w:rsidRDefault="009E4863" w:rsidP="007F3344">
      <w:pPr>
        <w:shd w:val="clear" w:color="auto" w:fill="FFFFFF"/>
        <w:spacing w:before="120"/>
        <w:ind w:left="29" w:firstLine="341"/>
        <w:jc w:val="both"/>
        <w:rPr>
          <w:sz w:val="22"/>
        </w:rPr>
      </w:pPr>
      <w:r w:rsidRPr="008401A7">
        <w:rPr>
          <w:sz w:val="22"/>
          <w:szCs w:val="24"/>
        </w:rPr>
        <w:t>“78C.(1) The administrative support function is conferred on the Industrial Registry.</w:t>
      </w:r>
    </w:p>
    <w:p w14:paraId="64C6BD07" w14:textId="77777777" w:rsidR="009E4863" w:rsidRPr="008401A7" w:rsidRDefault="009E4863" w:rsidP="007F3344">
      <w:pPr>
        <w:shd w:val="clear" w:color="auto" w:fill="FFFFFF"/>
        <w:spacing w:before="120"/>
        <w:ind w:left="365"/>
        <w:jc w:val="both"/>
        <w:rPr>
          <w:sz w:val="22"/>
        </w:rPr>
      </w:pPr>
      <w:r w:rsidRPr="008401A7">
        <w:rPr>
          <w:sz w:val="22"/>
          <w:szCs w:val="24"/>
        </w:rPr>
        <w:t>“(2) The Industrial Registrar:</w:t>
      </w:r>
    </w:p>
    <w:p w14:paraId="374E9A06" w14:textId="77777777" w:rsidR="009E4863" w:rsidRPr="008401A7" w:rsidRDefault="009E4863" w:rsidP="007F3344">
      <w:pPr>
        <w:numPr>
          <w:ilvl w:val="0"/>
          <w:numId w:val="2"/>
        </w:numPr>
        <w:shd w:val="clear" w:color="auto" w:fill="FFFFFF"/>
        <w:tabs>
          <w:tab w:val="left" w:pos="792"/>
        </w:tabs>
        <w:spacing w:before="120"/>
        <w:ind w:left="792" w:hanging="389"/>
        <w:jc w:val="both"/>
        <w:rPr>
          <w:sz w:val="22"/>
          <w:szCs w:val="24"/>
        </w:rPr>
      </w:pPr>
      <w:r w:rsidRPr="008401A7">
        <w:rPr>
          <w:sz w:val="22"/>
          <w:szCs w:val="24"/>
        </w:rPr>
        <w:t>must perform the function conferred on the Industrial Registry by this section; and</w:t>
      </w:r>
    </w:p>
    <w:p w14:paraId="5D77A1E8" w14:textId="77777777" w:rsidR="009E4863" w:rsidRPr="008401A7" w:rsidRDefault="009E4863" w:rsidP="007F3344">
      <w:pPr>
        <w:numPr>
          <w:ilvl w:val="0"/>
          <w:numId w:val="2"/>
        </w:numPr>
        <w:shd w:val="clear" w:color="auto" w:fill="FFFFFF"/>
        <w:tabs>
          <w:tab w:val="left" w:pos="792"/>
        </w:tabs>
        <w:spacing w:before="120"/>
        <w:ind w:left="792" w:hanging="389"/>
        <w:jc w:val="both"/>
        <w:rPr>
          <w:sz w:val="22"/>
          <w:szCs w:val="24"/>
        </w:rPr>
      </w:pPr>
      <w:r w:rsidRPr="008401A7">
        <w:rPr>
          <w:sz w:val="22"/>
          <w:szCs w:val="24"/>
        </w:rPr>
        <w:t>has such powers as are necessary for the performance of that function.</w:t>
      </w:r>
    </w:p>
    <w:p w14:paraId="518B374B" w14:textId="77777777" w:rsidR="009E4863" w:rsidRPr="008401A7" w:rsidRDefault="009E4863" w:rsidP="007F3344">
      <w:pPr>
        <w:shd w:val="clear" w:color="auto" w:fill="FFFFFF"/>
        <w:spacing w:before="120"/>
        <w:ind w:left="19" w:firstLine="341"/>
        <w:jc w:val="both"/>
        <w:rPr>
          <w:sz w:val="22"/>
        </w:rPr>
      </w:pPr>
      <w:r w:rsidRPr="008401A7">
        <w:rPr>
          <w:sz w:val="22"/>
          <w:szCs w:val="24"/>
        </w:rPr>
        <w:t>“(3) Subject to the directions of the Industrial Registrar, each Deputy Industrial Registrar:</w:t>
      </w:r>
    </w:p>
    <w:p w14:paraId="64D5154E" w14:textId="77777777" w:rsidR="009E4863" w:rsidRPr="008401A7" w:rsidRDefault="009E4863" w:rsidP="007F3344">
      <w:pPr>
        <w:numPr>
          <w:ilvl w:val="0"/>
          <w:numId w:val="3"/>
        </w:numPr>
        <w:shd w:val="clear" w:color="auto" w:fill="FFFFFF"/>
        <w:tabs>
          <w:tab w:val="left" w:pos="797"/>
        </w:tabs>
        <w:spacing w:before="120"/>
        <w:ind w:left="797" w:hanging="394"/>
        <w:jc w:val="both"/>
        <w:rPr>
          <w:sz w:val="22"/>
          <w:szCs w:val="24"/>
        </w:rPr>
      </w:pPr>
      <w:r w:rsidRPr="008401A7">
        <w:rPr>
          <w:sz w:val="22"/>
          <w:szCs w:val="24"/>
        </w:rPr>
        <w:t>must perform the function conferred on the Industrial Registry by this section; and</w:t>
      </w:r>
    </w:p>
    <w:p w14:paraId="5D9F421A" w14:textId="77777777" w:rsidR="009E4863" w:rsidRPr="008401A7" w:rsidRDefault="009E4863" w:rsidP="007F3344">
      <w:pPr>
        <w:numPr>
          <w:ilvl w:val="0"/>
          <w:numId w:val="3"/>
        </w:numPr>
        <w:shd w:val="clear" w:color="auto" w:fill="FFFFFF"/>
        <w:tabs>
          <w:tab w:val="left" w:pos="797"/>
        </w:tabs>
        <w:spacing w:before="120"/>
        <w:ind w:left="797" w:hanging="394"/>
        <w:jc w:val="both"/>
        <w:rPr>
          <w:sz w:val="22"/>
          <w:szCs w:val="24"/>
        </w:rPr>
      </w:pPr>
      <w:r w:rsidRPr="008401A7">
        <w:rPr>
          <w:sz w:val="22"/>
          <w:szCs w:val="24"/>
        </w:rPr>
        <w:t>has such powers as are necessary for the performance of that function.</w:t>
      </w:r>
    </w:p>
    <w:p w14:paraId="41B7C772" w14:textId="77777777" w:rsidR="009E4863" w:rsidRPr="008401A7" w:rsidRDefault="009E4863" w:rsidP="007F3344">
      <w:pPr>
        <w:shd w:val="clear" w:color="auto" w:fill="FFFFFF"/>
        <w:spacing w:before="120"/>
        <w:ind w:left="10" w:firstLine="350"/>
        <w:jc w:val="both"/>
        <w:rPr>
          <w:sz w:val="22"/>
        </w:rPr>
      </w:pPr>
      <w:r w:rsidRPr="008401A7">
        <w:rPr>
          <w:sz w:val="22"/>
          <w:szCs w:val="24"/>
        </w:rPr>
        <w:t>“(4) This section confers functions and powers to the extent to which they are not in excess of the legislative power of the Commonwealth.</w:t>
      </w:r>
    </w:p>
    <w:p w14:paraId="426B3EC0" w14:textId="77777777" w:rsidR="009E4863" w:rsidRPr="008401A7" w:rsidRDefault="009E4863" w:rsidP="007F3344">
      <w:pPr>
        <w:shd w:val="clear" w:color="auto" w:fill="FFFFFF"/>
        <w:spacing w:before="120"/>
        <w:ind w:left="10"/>
        <w:jc w:val="both"/>
        <w:rPr>
          <w:sz w:val="22"/>
        </w:rPr>
      </w:pPr>
      <w:r w:rsidRPr="008401A7">
        <w:rPr>
          <w:b/>
          <w:bCs/>
          <w:sz w:val="22"/>
          <w:szCs w:val="24"/>
        </w:rPr>
        <w:t>State Act may confer administrative support function to the extent of State legislative power</w:t>
      </w:r>
    </w:p>
    <w:p w14:paraId="27531987" w14:textId="77777777" w:rsidR="009E4863" w:rsidRPr="008401A7" w:rsidRDefault="009E4863" w:rsidP="007F3344">
      <w:pPr>
        <w:shd w:val="clear" w:color="auto" w:fill="FFFFFF"/>
        <w:spacing w:before="120"/>
        <w:ind w:left="10" w:firstLine="350"/>
        <w:jc w:val="both"/>
        <w:rPr>
          <w:sz w:val="22"/>
        </w:rPr>
      </w:pPr>
      <w:r w:rsidRPr="008401A7">
        <w:rPr>
          <w:sz w:val="22"/>
          <w:szCs w:val="24"/>
        </w:rPr>
        <w:t>“78D.(1) This section applies if the State Act contains provisions about the administrative support function which are complementary to section 78C of this Act.</w:t>
      </w:r>
    </w:p>
    <w:p w14:paraId="3A071859" w14:textId="77777777" w:rsidR="009E4863" w:rsidRPr="008401A7" w:rsidRDefault="009E4863" w:rsidP="007F3344">
      <w:pPr>
        <w:shd w:val="clear" w:color="auto" w:fill="FFFFFF"/>
        <w:spacing w:before="120"/>
        <w:ind w:left="10" w:firstLine="346"/>
        <w:jc w:val="both"/>
        <w:rPr>
          <w:sz w:val="22"/>
        </w:rPr>
      </w:pPr>
      <w:r w:rsidRPr="008401A7">
        <w:rPr>
          <w:sz w:val="22"/>
          <w:szCs w:val="24"/>
        </w:rPr>
        <w:t>“(2) The Industrial Registry may perform the function conferred by the complementary provisions of the State Act.</w:t>
      </w:r>
    </w:p>
    <w:p w14:paraId="3D3DF309" w14:textId="77777777" w:rsidR="009E4863" w:rsidRPr="008401A7" w:rsidRDefault="009E4863" w:rsidP="007F3344">
      <w:pPr>
        <w:shd w:val="clear" w:color="auto" w:fill="FFFFFF"/>
        <w:spacing w:before="120"/>
        <w:ind w:left="5" w:firstLine="346"/>
        <w:jc w:val="both"/>
        <w:rPr>
          <w:sz w:val="22"/>
        </w:rPr>
      </w:pPr>
      <w:r w:rsidRPr="008401A7">
        <w:rPr>
          <w:sz w:val="22"/>
          <w:szCs w:val="24"/>
        </w:rPr>
        <w:t>“(3) The Industrial Registrar, and each Deputy Industrial Registrar, may perform the functions, and exercise the powers, conferred by the complementary provisions of the State Act.</w:t>
      </w:r>
    </w:p>
    <w:p w14:paraId="0CA17EE8" w14:textId="77777777" w:rsidR="009E4863" w:rsidRPr="008401A7" w:rsidRDefault="009E4863" w:rsidP="007F3344">
      <w:pPr>
        <w:shd w:val="clear" w:color="auto" w:fill="FFFFFF"/>
        <w:spacing w:before="120"/>
        <w:jc w:val="both"/>
        <w:rPr>
          <w:sz w:val="22"/>
        </w:rPr>
      </w:pPr>
      <w:r w:rsidRPr="008401A7">
        <w:rPr>
          <w:b/>
          <w:bCs/>
          <w:sz w:val="22"/>
          <w:szCs w:val="24"/>
        </w:rPr>
        <w:t>Management of Industrial Registry</w:t>
      </w:r>
      <w:r w:rsidRPr="008401A7">
        <w:rPr>
          <w:rFonts w:eastAsia="Times New Roman"/>
          <w:b/>
          <w:bCs/>
          <w:sz w:val="22"/>
          <w:szCs w:val="24"/>
        </w:rPr>
        <w:t>—needs of Tribunal and Local Coal Authorities to be considered</w:t>
      </w:r>
    </w:p>
    <w:p w14:paraId="2A8E4D92" w14:textId="77777777" w:rsidR="009E4863" w:rsidRPr="008401A7" w:rsidRDefault="00690895" w:rsidP="007F3344">
      <w:pPr>
        <w:shd w:val="clear" w:color="auto" w:fill="FFFFFF"/>
        <w:spacing w:before="120"/>
        <w:ind w:firstLine="346"/>
        <w:jc w:val="both"/>
        <w:rPr>
          <w:sz w:val="22"/>
        </w:rPr>
      </w:pPr>
      <w:r>
        <w:rPr>
          <w:noProof/>
          <w:sz w:val="22"/>
          <w:szCs w:val="24"/>
          <w:lang w:val="en-AU" w:eastAsia="en-AU"/>
        </w:rPr>
        <mc:AlternateContent>
          <mc:Choice Requires="wps">
            <w:drawing>
              <wp:anchor distT="0" distB="0" distL="114300" distR="114300" simplePos="0" relativeHeight="251661312" behindDoc="0" locked="0" layoutInCell="1" allowOverlap="1" wp14:anchorId="514C0034" wp14:editId="6BB0BD87">
                <wp:simplePos x="0" y="0"/>
                <wp:positionH relativeFrom="column">
                  <wp:posOffset>2598420</wp:posOffset>
                </wp:positionH>
                <wp:positionV relativeFrom="paragraph">
                  <wp:posOffset>670983</wp:posOffset>
                </wp:positionV>
                <wp:extent cx="821266"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821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2637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6pt,52.85pt" to="269.2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" strokecolor="black [3040]"/>
            </w:pict>
          </mc:Fallback>
        </mc:AlternateContent>
      </w:r>
      <w:r w:rsidR="009E4863" w:rsidRPr="008401A7">
        <w:rPr>
          <w:sz w:val="22"/>
          <w:szCs w:val="24"/>
        </w:rPr>
        <w:t>“78E. In allocating and managing the resources of the Industrial Registry, the Industrial Registrar must have regard to the needs of the Tribunal and Local Coal Authorities.”.</w:t>
      </w:r>
    </w:p>
    <w:p w14:paraId="304291DD" w14:textId="77777777" w:rsidR="009E4863" w:rsidRPr="008401A7" w:rsidRDefault="009E4863" w:rsidP="007F3344">
      <w:pPr>
        <w:shd w:val="clear" w:color="auto" w:fill="FFFFFF"/>
        <w:spacing w:before="120"/>
        <w:ind w:firstLine="346"/>
        <w:jc w:val="both"/>
        <w:rPr>
          <w:sz w:val="22"/>
        </w:rPr>
        <w:sectPr w:rsidR="009E4863" w:rsidRPr="008401A7" w:rsidSect="003570EA">
          <w:pgSz w:w="12240" w:h="15840" w:code="1"/>
          <w:pgMar w:top="1440" w:right="1440" w:bottom="1440" w:left="1440" w:header="720" w:footer="720" w:gutter="0"/>
          <w:cols w:space="60"/>
          <w:noEndnote/>
        </w:sectPr>
      </w:pPr>
    </w:p>
    <w:p w14:paraId="04E28B21" w14:textId="01E0C681" w:rsidR="009E4863" w:rsidRPr="008401A7" w:rsidRDefault="009E4863" w:rsidP="00FD3C7A">
      <w:pPr>
        <w:shd w:val="clear" w:color="auto" w:fill="FFFFFF"/>
        <w:tabs>
          <w:tab w:val="left" w:pos="4590"/>
        </w:tabs>
        <w:spacing w:before="120"/>
        <w:jc w:val="right"/>
        <w:rPr>
          <w:sz w:val="22"/>
        </w:rPr>
      </w:pPr>
      <w:r w:rsidRPr="008401A7">
        <w:rPr>
          <w:b/>
          <w:bCs/>
          <w:sz w:val="22"/>
          <w:szCs w:val="22"/>
        </w:rPr>
        <w:lastRenderedPageBreak/>
        <w:t xml:space="preserve">SCHEDULE </w:t>
      </w:r>
      <w:r w:rsidRPr="00690895">
        <w:rPr>
          <w:b/>
          <w:sz w:val="22"/>
          <w:szCs w:val="22"/>
        </w:rPr>
        <w:t>2</w:t>
      </w:r>
      <w:r w:rsidRPr="008401A7">
        <w:rPr>
          <w:rFonts w:cs="Arial"/>
          <w:sz w:val="22"/>
          <w:szCs w:val="22"/>
        </w:rPr>
        <w:tab/>
      </w:r>
      <w:r w:rsidR="0043360C" w:rsidRPr="0043360C">
        <w:rPr>
          <w:rFonts w:cs="Arial"/>
          <w:szCs w:val="22"/>
        </w:rPr>
        <w:t>S</w:t>
      </w:r>
      <w:r w:rsidRPr="0043360C">
        <w:rPr>
          <w:szCs w:val="22"/>
        </w:rPr>
        <w:t>ection 4</w:t>
      </w:r>
      <w:bookmarkStart w:id="0" w:name="_GoBack"/>
      <w:bookmarkEnd w:id="0"/>
    </w:p>
    <w:p w14:paraId="02001B2D" w14:textId="77777777" w:rsidR="009E4863" w:rsidRPr="008401A7" w:rsidRDefault="009E4863" w:rsidP="00690895">
      <w:pPr>
        <w:shd w:val="clear" w:color="auto" w:fill="FFFFFF"/>
        <w:spacing w:before="120"/>
        <w:ind w:left="1454" w:hanging="1454"/>
        <w:jc w:val="center"/>
        <w:rPr>
          <w:sz w:val="22"/>
        </w:rPr>
      </w:pPr>
      <w:r w:rsidRPr="008401A7">
        <w:rPr>
          <w:sz w:val="22"/>
          <w:szCs w:val="22"/>
        </w:rPr>
        <w:t>AMENDMENTS RELATING TO AUDIT OF THE JOINT COAL BOARD</w:t>
      </w:r>
    </w:p>
    <w:p w14:paraId="591F4AF0" w14:textId="77777777" w:rsidR="009E4863" w:rsidRPr="008401A7" w:rsidRDefault="009E4863" w:rsidP="00690895">
      <w:pPr>
        <w:shd w:val="clear" w:color="auto" w:fill="FFFFFF"/>
        <w:spacing w:before="120"/>
        <w:jc w:val="center"/>
        <w:rPr>
          <w:sz w:val="22"/>
        </w:rPr>
      </w:pPr>
      <w:r w:rsidRPr="008401A7">
        <w:rPr>
          <w:b/>
          <w:bCs/>
          <w:i/>
          <w:iCs/>
          <w:sz w:val="22"/>
          <w:szCs w:val="22"/>
        </w:rPr>
        <w:t>Coal Industry Act 1946</w:t>
      </w:r>
    </w:p>
    <w:p w14:paraId="208ABEDF" w14:textId="77777777" w:rsidR="009E4863" w:rsidRPr="008401A7" w:rsidRDefault="009E4863" w:rsidP="007F3344">
      <w:pPr>
        <w:shd w:val="clear" w:color="auto" w:fill="FFFFFF"/>
        <w:spacing w:before="120"/>
        <w:jc w:val="both"/>
        <w:rPr>
          <w:sz w:val="22"/>
        </w:rPr>
      </w:pPr>
      <w:r w:rsidRPr="008401A7">
        <w:rPr>
          <w:b/>
          <w:bCs/>
          <w:sz w:val="22"/>
          <w:szCs w:val="22"/>
        </w:rPr>
        <w:t>Subsection 28N(2):</w:t>
      </w:r>
    </w:p>
    <w:p w14:paraId="05C927CA" w14:textId="77777777" w:rsidR="009E4863" w:rsidRPr="008401A7" w:rsidRDefault="009E4863" w:rsidP="007F3344">
      <w:pPr>
        <w:shd w:val="clear" w:color="auto" w:fill="FFFFFF"/>
        <w:spacing w:before="120"/>
        <w:ind w:left="346"/>
        <w:jc w:val="both"/>
        <w:rPr>
          <w:sz w:val="22"/>
        </w:rPr>
      </w:pPr>
      <w:r w:rsidRPr="008401A7">
        <w:rPr>
          <w:sz w:val="22"/>
          <w:szCs w:val="22"/>
        </w:rPr>
        <w:t>Insert “Commonwealth” before “Minister’’.</w:t>
      </w:r>
    </w:p>
    <w:p w14:paraId="11081B65" w14:textId="77777777" w:rsidR="009E4863" w:rsidRPr="008401A7" w:rsidRDefault="009E4863" w:rsidP="007F3344">
      <w:pPr>
        <w:shd w:val="clear" w:color="auto" w:fill="FFFFFF"/>
        <w:spacing w:before="120"/>
        <w:jc w:val="both"/>
        <w:rPr>
          <w:sz w:val="22"/>
        </w:rPr>
      </w:pPr>
      <w:r w:rsidRPr="008401A7">
        <w:rPr>
          <w:b/>
          <w:bCs/>
          <w:sz w:val="22"/>
          <w:szCs w:val="22"/>
        </w:rPr>
        <w:t>Subsection 28N(3):</w:t>
      </w:r>
    </w:p>
    <w:p w14:paraId="7F0FAF34" w14:textId="77777777" w:rsidR="009E4863" w:rsidRPr="008401A7" w:rsidRDefault="009E4863" w:rsidP="007F3344">
      <w:pPr>
        <w:shd w:val="clear" w:color="auto" w:fill="FFFFFF"/>
        <w:spacing w:before="120"/>
        <w:ind w:left="336"/>
        <w:jc w:val="both"/>
        <w:rPr>
          <w:sz w:val="22"/>
        </w:rPr>
      </w:pPr>
      <w:r w:rsidRPr="008401A7">
        <w:rPr>
          <w:sz w:val="22"/>
          <w:szCs w:val="22"/>
        </w:rPr>
        <w:t>Omit the subsection, substitute:</w:t>
      </w:r>
    </w:p>
    <w:p w14:paraId="17C162F7" w14:textId="77777777" w:rsidR="009E4863" w:rsidRPr="008401A7" w:rsidRDefault="009E4863" w:rsidP="007F3344">
      <w:pPr>
        <w:shd w:val="clear" w:color="auto" w:fill="FFFFFF"/>
        <w:spacing w:before="120"/>
        <w:ind w:left="336"/>
        <w:jc w:val="both"/>
        <w:rPr>
          <w:sz w:val="22"/>
        </w:rPr>
      </w:pPr>
      <w:r w:rsidRPr="008401A7">
        <w:rPr>
          <w:sz w:val="22"/>
          <w:szCs w:val="22"/>
        </w:rPr>
        <w:t>“(3) The annual report must contain:</w:t>
      </w:r>
    </w:p>
    <w:p w14:paraId="70FE67FB" w14:textId="77777777" w:rsidR="009E4863" w:rsidRPr="008401A7" w:rsidRDefault="009E4863" w:rsidP="007F3344">
      <w:pPr>
        <w:numPr>
          <w:ilvl w:val="0"/>
          <w:numId w:val="4"/>
        </w:numPr>
        <w:shd w:val="clear" w:color="auto" w:fill="FFFFFF"/>
        <w:tabs>
          <w:tab w:val="left" w:pos="768"/>
        </w:tabs>
        <w:spacing w:before="120"/>
        <w:ind w:left="370"/>
        <w:jc w:val="both"/>
        <w:rPr>
          <w:sz w:val="22"/>
          <w:szCs w:val="22"/>
        </w:rPr>
      </w:pPr>
      <w:r w:rsidRPr="008401A7">
        <w:rPr>
          <w:sz w:val="22"/>
          <w:szCs w:val="22"/>
        </w:rPr>
        <w:t>a report of the Board’s operations during the financial year; and</w:t>
      </w:r>
    </w:p>
    <w:p w14:paraId="6AE8089C" w14:textId="77777777" w:rsidR="009E4863" w:rsidRPr="008401A7" w:rsidRDefault="009E4863" w:rsidP="007F3344">
      <w:pPr>
        <w:numPr>
          <w:ilvl w:val="0"/>
          <w:numId w:val="4"/>
        </w:numPr>
        <w:shd w:val="clear" w:color="auto" w:fill="FFFFFF"/>
        <w:tabs>
          <w:tab w:val="left" w:pos="768"/>
        </w:tabs>
        <w:spacing w:before="120"/>
        <w:ind w:left="768" w:hanging="398"/>
        <w:jc w:val="both"/>
        <w:rPr>
          <w:sz w:val="22"/>
          <w:szCs w:val="22"/>
        </w:rPr>
      </w:pPr>
      <w:r w:rsidRPr="008401A7">
        <w:rPr>
          <w:sz w:val="22"/>
          <w:szCs w:val="22"/>
        </w:rPr>
        <w:t>financial statements for that year in such form as the Minister for Finance approves; and</w:t>
      </w:r>
    </w:p>
    <w:p w14:paraId="629F2F66" w14:textId="77777777" w:rsidR="009E4863" w:rsidRPr="008401A7" w:rsidRDefault="009E4863" w:rsidP="007F3344">
      <w:pPr>
        <w:numPr>
          <w:ilvl w:val="0"/>
          <w:numId w:val="4"/>
        </w:numPr>
        <w:shd w:val="clear" w:color="auto" w:fill="FFFFFF"/>
        <w:tabs>
          <w:tab w:val="left" w:pos="768"/>
        </w:tabs>
        <w:spacing w:before="120"/>
        <w:ind w:left="768" w:hanging="398"/>
        <w:jc w:val="both"/>
        <w:rPr>
          <w:sz w:val="22"/>
          <w:szCs w:val="22"/>
        </w:rPr>
      </w:pPr>
      <w:r w:rsidRPr="008401A7">
        <w:rPr>
          <w:sz w:val="22"/>
          <w:szCs w:val="22"/>
        </w:rPr>
        <w:t>statements about such other matters as the Minister for Finance may require; and</w:t>
      </w:r>
    </w:p>
    <w:p w14:paraId="0FEA3719" w14:textId="77777777" w:rsidR="009E4863" w:rsidRPr="008401A7" w:rsidRDefault="009E4863" w:rsidP="007F3344">
      <w:pPr>
        <w:numPr>
          <w:ilvl w:val="0"/>
          <w:numId w:val="4"/>
        </w:numPr>
        <w:shd w:val="clear" w:color="auto" w:fill="FFFFFF"/>
        <w:tabs>
          <w:tab w:val="left" w:pos="768"/>
        </w:tabs>
        <w:spacing w:before="120"/>
        <w:ind w:left="768" w:hanging="398"/>
        <w:jc w:val="both"/>
        <w:rPr>
          <w:sz w:val="22"/>
          <w:szCs w:val="22"/>
        </w:rPr>
      </w:pPr>
      <w:r w:rsidRPr="008401A7">
        <w:rPr>
          <w:sz w:val="22"/>
          <w:szCs w:val="22"/>
        </w:rPr>
        <w:t>statements about such other matters as the Commonwealth Minister and the State Minister may require.</w:t>
      </w:r>
    </w:p>
    <w:p w14:paraId="275061CC" w14:textId="77777777" w:rsidR="009E4863" w:rsidRPr="008401A7" w:rsidRDefault="009E4863" w:rsidP="00FD3C7A">
      <w:pPr>
        <w:shd w:val="clear" w:color="auto" w:fill="FFFFFF"/>
        <w:spacing w:before="120"/>
        <w:ind w:firstLine="360"/>
        <w:jc w:val="both"/>
        <w:rPr>
          <w:sz w:val="22"/>
        </w:rPr>
      </w:pPr>
      <w:r w:rsidRPr="008401A7">
        <w:rPr>
          <w:sz w:val="22"/>
          <w:szCs w:val="22"/>
        </w:rPr>
        <w:t>“(4) Before submitting the annual report to the Commonwealth Minister and the State Minister under subsection (1), the Board must submit the financial statements set out in the report to the Auditor-General, who must report to the Ministers:</w:t>
      </w:r>
    </w:p>
    <w:p w14:paraId="51C48CED" w14:textId="77777777" w:rsidR="009E4863" w:rsidRPr="008401A7" w:rsidRDefault="009E4863" w:rsidP="007F3344">
      <w:pPr>
        <w:numPr>
          <w:ilvl w:val="0"/>
          <w:numId w:val="5"/>
        </w:numPr>
        <w:shd w:val="clear" w:color="auto" w:fill="FFFFFF"/>
        <w:tabs>
          <w:tab w:val="left" w:pos="768"/>
        </w:tabs>
        <w:spacing w:before="120"/>
        <w:ind w:left="768" w:hanging="394"/>
        <w:jc w:val="both"/>
        <w:rPr>
          <w:sz w:val="22"/>
          <w:szCs w:val="22"/>
        </w:rPr>
      </w:pPr>
      <w:r w:rsidRPr="008401A7">
        <w:rPr>
          <w:sz w:val="22"/>
          <w:szCs w:val="22"/>
        </w:rPr>
        <w:t>whether, in the Auditor-General’s opinion, the statements are based on proper accounts and records; and</w:t>
      </w:r>
    </w:p>
    <w:p w14:paraId="7C5F3450" w14:textId="77777777" w:rsidR="009E4863" w:rsidRPr="008401A7" w:rsidRDefault="009E4863" w:rsidP="007F3344">
      <w:pPr>
        <w:numPr>
          <w:ilvl w:val="0"/>
          <w:numId w:val="5"/>
        </w:numPr>
        <w:shd w:val="clear" w:color="auto" w:fill="FFFFFF"/>
        <w:tabs>
          <w:tab w:val="left" w:pos="768"/>
        </w:tabs>
        <w:spacing w:before="120"/>
        <w:ind w:left="768" w:hanging="394"/>
        <w:jc w:val="both"/>
        <w:rPr>
          <w:sz w:val="22"/>
          <w:szCs w:val="22"/>
        </w:rPr>
      </w:pPr>
      <w:r w:rsidRPr="008401A7">
        <w:rPr>
          <w:sz w:val="22"/>
          <w:szCs w:val="22"/>
        </w:rPr>
        <w:t>whether the statements are in agreement with the accounts and records and, in the Auditor-General’s opinion, show fairly the financial transactions and the state of affairs of the Board; and</w:t>
      </w:r>
    </w:p>
    <w:p w14:paraId="6B66E78E" w14:textId="77777777" w:rsidR="009E4863" w:rsidRPr="008401A7" w:rsidRDefault="009E4863" w:rsidP="007F3344">
      <w:pPr>
        <w:numPr>
          <w:ilvl w:val="0"/>
          <w:numId w:val="5"/>
        </w:numPr>
        <w:shd w:val="clear" w:color="auto" w:fill="FFFFFF"/>
        <w:tabs>
          <w:tab w:val="left" w:pos="768"/>
        </w:tabs>
        <w:spacing w:before="120"/>
        <w:ind w:left="768" w:hanging="394"/>
        <w:jc w:val="both"/>
        <w:rPr>
          <w:sz w:val="22"/>
          <w:szCs w:val="22"/>
        </w:rPr>
      </w:pPr>
      <w:r w:rsidRPr="008401A7">
        <w:rPr>
          <w:sz w:val="22"/>
          <w:szCs w:val="22"/>
        </w:rPr>
        <w:t>whether, in the Auditor-General’s opinion, the receipt, expenditure and investment of money, and the acquisition and the disposal of assets, by the Board during the financial year have been in accordance with this Act; and</w:t>
      </w:r>
    </w:p>
    <w:p w14:paraId="65CE3496" w14:textId="77777777" w:rsidR="009E4863" w:rsidRPr="008401A7" w:rsidRDefault="009E4863" w:rsidP="007F3344">
      <w:pPr>
        <w:numPr>
          <w:ilvl w:val="0"/>
          <w:numId w:val="5"/>
        </w:numPr>
        <w:shd w:val="clear" w:color="auto" w:fill="FFFFFF"/>
        <w:tabs>
          <w:tab w:val="left" w:pos="768"/>
        </w:tabs>
        <w:spacing w:before="120"/>
        <w:ind w:left="768" w:hanging="394"/>
        <w:jc w:val="both"/>
        <w:rPr>
          <w:sz w:val="22"/>
          <w:szCs w:val="22"/>
        </w:rPr>
      </w:pPr>
      <w:r w:rsidRPr="008401A7">
        <w:rPr>
          <w:sz w:val="22"/>
          <w:szCs w:val="22"/>
        </w:rPr>
        <w:t>as to such other matters arising out of the statements as the Auditor-General considers should be reported to the Ministers.</w:t>
      </w:r>
    </w:p>
    <w:p w14:paraId="32C43E07" w14:textId="77777777" w:rsidR="009E4863" w:rsidRPr="008401A7" w:rsidRDefault="009E4863" w:rsidP="007F3344">
      <w:pPr>
        <w:shd w:val="clear" w:color="auto" w:fill="FFFFFF"/>
        <w:spacing w:before="120"/>
        <w:ind w:left="5" w:firstLine="326"/>
        <w:jc w:val="both"/>
        <w:rPr>
          <w:sz w:val="22"/>
        </w:rPr>
      </w:pPr>
      <w:r w:rsidRPr="008401A7">
        <w:rPr>
          <w:sz w:val="22"/>
          <w:szCs w:val="22"/>
        </w:rPr>
        <w:t>“(5) The Commonwealth Minister must cause the Auditor-General’s report to be laid before each House of the Parliament within 21 sitting days of that House after receiving that report.”.</w:t>
      </w:r>
    </w:p>
    <w:p w14:paraId="2D8C5CB9" w14:textId="77777777" w:rsidR="009E4863" w:rsidRPr="008401A7" w:rsidRDefault="009E4863" w:rsidP="007F3344">
      <w:pPr>
        <w:shd w:val="clear" w:color="auto" w:fill="FFFFFF"/>
        <w:spacing w:before="120"/>
        <w:ind w:left="10"/>
        <w:jc w:val="both"/>
        <w:rPr>
          <w:sz w:val="22"/>
        </w:rPr>
      </w:pPr>
      <w:r w:rsidRPr="008401A7">
        <w:rPr>
          <w:b/>
          <w:bCs/>
          <w:sz w:val="22"/>
          <w:szCs w:val="22"/>
        </w:rPr>
        <w:t>Subsection 28T(4):</w:t>
      </w:r>
    </w:p>
    <w:p w14:paraId="7CCDF84D" w14:textId="77777777" w:rsidR="009E4863" w:rsidRPr="008401A7" w:rsidRDefault="009E4863" w:rsidP="007F3344">
      <w:pPr>
        <w:shd w:val="clear" w:color="auto" w:fill="FFFFFF"/>
        <w:spacing w:before="120"/>
        <w:ind w:left="346"/>
        <w:jc w:val="both"/>
        <w:rPr>
          <w:sz w:val="22"/>
        </w:rPr>
      </w:pPr>
      <w:r w:rsidRPr="008401A7">
        <w:rPr>
          <w:sz w:val="22"/>
          <w:szCs w:val="22"/>
        </w:rPr>
        <w:t>Omit the subsection.</w:t>
      </w:r>
    </w:p>
    <w:p w14:paraId="04BB8CAD" w14:textId="77777777" w:rsidR="00BF5D82" w:rsidRPr="008A46E1" w:rsidRDefault="00D40A49" w:rsidP="00BF5D82">
      <w:pPr>
        <w:shd w:val="clear" w:color="auto" w:fill="FFFFFF"/>
        <w:spacing w:before="1000"/>
        <w:jc w:val="both"/>
        <w:rPr>
          <w:rFonts w:eastAsia="Times New Roman"/>
          <w:szCs w:val="22"/>
        </w:rPr>
      </w:pPr>
      <w:r w:rsidRPr="008A46E1">
        <w:rPr>
          <w:noProof/>
          <w:szCs w:val="22"/>
          <w:lang w:val="en-AU" w:eastAsia="en-AU"/>
        </w:rPr>
        <mc:AlternateContent>
          <mc:Choice Requires="wps">
            <w:drawing>
              <wp:anchor distT="0" distB="0" distL="114300" distR="114300" simplePos="0" relativeHeight="251662336" behindDoc="0" locked="0" layoutInCell="1" allowOverlap="1" wp14:anchorId="7663E0CC" wp14:editId="70B3DC94">
                <wp:simplePos x="0" y="0"/>
                <wp:positionH relativeFrom="column">
                  <wp:posOffset>-15663</wp:posOffset>
                </wp:positionH>
                <wp:positionV relativeFrom="paragraph">
                  <wp:posOffset>318135</wp:posOffset>
                </wp:positionV>
                <wp:extent cx="59690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1883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25.05pt" to="468.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" strokecolor="black [3040]"/>
            </w:pict>
          </mc:Fallback>
        </mc:AlternateContent>
      </w:r>
      <w:r w:rsidR="009E4863" w:rsidRPr="008A46E1">
        <w:rPr>
          <w:szCs w:val="22"/>
        </w:rPr>
        <w:t>[</w:t>
      </w:r>
      <w:r w:rsidR="009E4863" w:rsidRPr="008A46E1">
        <w:rPr>
          <w:i/>
          <w:iCs/>
          <w:szCs w:val="22"/>
        </w:rPr>
        <w:t>Minister’s second reading speech made in</w:t>
      </w:r>
      <w:r w:rsidR="009E4863" w:rsidRPr="008A46E1">
        <w:rPr>
          <w:rFonts w:eastAsia="Times New Roman"/>
          <w:szCs w:val="22"/>
        </w:rPr>
        <w:t>—</w:t>
      </w:r>
    </w:p>
    <w:p w14:paraId="2A106F23" w14:textId="77777777" w:rsidR="00BF5D82" w:rsidRPr="008A46E1" w:rsidRDefault="009E4863" w:rsidP="00BF5D82">
      <w:pPr>
        <w:shd w:val="clear" w:color="auto" w:fill="FFFFFF"/>
        <w:ind w:left="1608" w:hanging="744"/>
        <w:jc w:val="both"/>
        <w:rPr>
          <w:rFonts w:eastAsia="Times New Roman"/>
          <w:i/>
          <w:iCs/>
          <w:szCs w:val="22"/>
        </w:rPr>
      </w:pPr>
      <w:r w:rsidRPr="008A46E1">
        <w:rPr>
          <w:rFonts w:eastAsia="Times New Roman"/>
          <w:i/>
          <w:iCs/>
          <w:szCs w:val="22"/>
        </w:rPr>
        <w:t>Senate on 17 September 1992</w:t>
      </w:r>
    </w:p>
    <w:p w14:paraId="53846496" w14:textId="77777777" w:rsidR="009E4863" w:rsidRPr="008A46E1" w:rsidRDefault="009E4863" w:rsidP="00BF5D82">
      <w:pPr>
        <w:shd w:val="clear" w:color="auto" w:fill="FFFFFF"/>
        <w:ind w:left="1608" w:hanging="744"/>
        <w:jc w:val="both"/>
      </w:pPr>
      <w:r w:rsidRPr="008A46E1">
        <w:rPr>
          <w:rFonts w:eastAsia="Times New Roman"/>
          <w:i/>
          <w:iCs/>
          <w:szCs w:val="22"/>
        </w:rPr>
        <w:t>House of Representatives on 16 December 1992</w:t>
      </w:r>
      <w:r w:rsidRPr="008A46E1">
        <w:rPr>
          <w:rFonts w:eastAsia="Times New Roman"/>
          <w:szCs w:val="22"/>
        </w:rPr>
        <w:t>]</w:t>
      </w:r>
    </w:p>
    <w:sectPr w:rsidR="009E4863" w:rsidRPr="008A46E1" w:rsidSect="003570EA">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A371A" w15:done="0"/>
  <w15:commentEx w15:paraId="1695455D" w15:done="0"/>
  <w15:commentEx w15:paraId="29DAB0A8" w15:done="0"/>
  <w15:commentEx w15:paraId="5DC7DE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A371A" w16cid:durableId="20E9829F"/>
  <w16cid:commentId w16cid:paraId="1695455D" w16cid:durableId="20E982C2"/>
  <w16cid:commentId w16cid:paraId="29DAB0A8" w16cid:durableId="20E9834B"/>
  <w16cid:commentId w16cid:paraId="5DC7DEA3" w16cid:durableId="20E983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16810" w14:textId="77777777" w:rsidR="009F0FC8" w:rsidRDefault="009F0FC8" w:rsidP="00791672">
      <w:r>
        <w:separator/>
      </w:r>
    </w:p>
  </w:endnote>
  <w:endnote w:type="continuationSeparator" w:id="0">
    <w:p w14:paraId="51C02D50" w14:textId="77777777" w:rsidR="009F0FC8" w:rsidRDefault="009F0FC8" w:rsidP="0079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B45EF" w14:textId="77777777" w:rsidR="009F0FC8" w:rsidRDefault="009F0FC8" w:rsidP="00791672">
      <w:r>
        <w:separator/>
      </w:r>
    </w:p>
  </w:footnote>
  <w:footnote w:type="continuationSeparator" w:id="0">
    <w:p w14:paraId="503A6C17" w14:textId="77777777" w:rsidR="009F0FC8" w:rsidRDefault="009F0FC8" w:rsidP="00791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2B6FF" w14:textId="77777777" w:rsidR="00791672" w:rsidRDefault="00791672" w:rsidP="00791672">
    <w:pPr>
      <w:pStyle w:val="Header"/>
      <w:jc w:val="center"/>
    </w:pPr>
    <w:r>
      <w:rPr>
        <w:i/>
        <w:iCs/>
        <w:sz w:val="22"/>
        <w:szCs w:val="22"/>
        <w:lang w:val="en-IN" w:eastAsia="en-IN"/>
      </w:rPr>
      <w:t>Coal Industry Legislation Amendment</w:t>
    </w:r>
    <w:r>
      <w:rPr>
        <w:i/>
        <w:iCs/>
        <w:sz w:val="22"/>
        <w:szCs w:val="22"/>
        <w:lang w:val="en-IN" w:eastAsia="en-IN"/>
      </w:rPr>
      <w:tab/>
      <w:t>No. 212,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F1FAC"/>
    <w:multiLevelType w:val="singleLevel"/>
    <w:tmpl w:val="9BE649AC"/>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446E606D"/>
    <w:multiLevelType w:val="singleLevel"/>
    <w:tmpl w:val="DF9E4A94"/>
    <w:lvl w:ilvl="0">
      <w:start w:val="3"/>
      <w:numFmt w:val="decimal"/>
      <w:lvlText w:val="(%1)"/>
      <w:legacy w:legacy="1" w:legacySpace="0" w:legacyIndent="398"/>
      <w:lvlJc w:val="left"/>
      <w:rPr>
        <w:rFonts w:ascii="Times New Roman" w:hAnsi="Times New Roman" w:cs="Times New Roman" w:hint="default"/>
      </w:rPr>
    </w:lvl>
  </w:abstractNum>
  <w:abstractNum w:abstractNumId="2">
    <w:nsid w:val="4F4E1B15"/>
    <w:multiLevelType w:val="singleLevel"/>
    <w:tmpl w:val="55D2F320"/>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627851AA"/>
    <w:multiLevelType w:val="singleLevel"/>
    <w:tmpl w:val="55D2F320"/>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6F0606F6"/>
    <w:multiLevelType w:val="singleLevel"/>
    <w:tmpl w:val="7D56BD7A"/>
    <w:lvl w:ilvl="0">
      <w:start w:val="1"/>
      <w:numFmt w:val="lowerLetter"/>
      <w:lvlText w:val="(%1)"/>
      <w:legacy w:legacy="1" w:legacySpace="0" w:legacyIndent="398"/>
      <w:lvlJc w:val="left"/>
      <w:rPr>
        <w:rFonts w:ascii="Times New Roman" w:hAnsi="Times New Roman" w:cs="Times New Roman" w:hint="default"/>
      </w:r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90"/>
    <w:rsid w:val="002D71FE"/>
    <w:rsid w:val="003570EA"/>
    <w:rsid w:val="0043360C"/>
    <w:rsid w:val="00603F59"/>
    <w:rsid w:val="00647107"/>
    <w:rsid w:val="00690895"/>
    <w:rsid w:val="00704AF9"/>
    <w:rsid w:val="00791672"/>
    <w:rsid w:val="007B2E0B"/>
    <w:rsid w:val="007F3344"/>
    <w:rsid w:val="008324BF"/>
    <w:rsid w:val="008401A7"/>
    <w:rsid w:val="0085637F"/>
    <w:rsid w:val="008A46E1"/>
    <w:rsid w:val="008F01B0"/>
    <w:rsid w:val="00966106"/>
    <w:rsid w:val="009E4863"/>
    <w:rsid w:val="009F0FC8"/>
    <w:rsid w:val="00AB413B"/>
    <w:rsid w:val="00BF5D82"/>
    <w:rsid w:val="00D40A49"/>
    <w:rsid w:val="00EF345F"/>
    <w:rsid w:val="00F02690"/>
    <w:rsid w:val="00FD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B6A3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1672"/>
    <w:pPr>
      <w:tabs>
        <w:tab w:val="center" w:pos="4513"/>
        <w:tab w:val="right" w:pos="9026"/>
      </w:tabs>
    </w:pPr>
  </w:style>
  <w:style w:type="character" w:customStyle="1" w:styleId="HeaderChar">
    <w:name w:val="Header Char"/>
    <w:basedOn w:val="DefaultParagraphFont"/>
    <w:link w:val="Header"/>
    <w:uiPriority w:val="99"/>
    <w:rsid w:val="00791672"/>
    <w:rPr>
      <w:rFonts w:ascii="Times New Roman" w:hAnsi="Times New Roman"/>
      <w:sz w:val="20"/>
      <w:szCs w:val="20"/>
      <w:lang w:val="en-US" w:eastAsia="en-US"/>
    </w:rPr>
  </w:style>
  <w:style w:type="paragraph" w:styleId="Footer">
    <w:name w:val="footer"/>
    <w:basedOn w:val="Normal"/>
    <w:link w:val="FooterChar"/>
    <w:uiPriority w:val="99"/>
    <w:rsid w:val="00791672"/>
    <w:pPr>
      <w:tabs>
        <w:tab w:val="center" w:pos="4513"/>
        <w:tab w:val="right" w:pos="9026"/>
      </w:tabs>
    </w:pPr>
  </w:style>
  <w:style w:type="character" w:customStyle="1" w:styleId="FooterChar">
    <w:name w:val="Footer Char"/>
    <w:basedOn w:val="DefaultParagraphFont"/>
    <w:link w:val="Footer"/>
    <w:uiPriority w:val="99"/>
    <w:rsid w:val="00791672"/>
    <w:rPr>
      <w:rFonts w:ascii="Times New Roman" w:hAnsi="Times New Roman"/>
      <w:sz w:val="20"/>
      <w:szCs w:val="20"/>
      <w:lang w:val="en-US" w:eastAsia="en-US"/>
    </w:rPr>
  </w:style>
  <w:style w:type="character" w:styleId="CommentReference">
    <w:name w:val="annotation reference"/>
    <w:basedOn w:val="DefaultParagraphFont"/>
    <w:uiPriority w:val="99"/>
    <w:rsid w:val="007B2E0B"/>
    <w:rPr>
      <w:sz w:val="16"/>
      <w:szCs w:val="16"/>
    </w:rPr>
  </w:style>
  <w:style w:type="paragraph" w:styleId="CommentText">
    <w:name w:val="annotation text"/>
    <w:basedOn w:val="Normal"/>
    <w:link w:val="CommentTextChar"/>
    <w:uiPriority w:val="99"/>
    <w:rsid w:val="007B2E0B"/>
  </w:style>
  <w:style w:type="character" w:customStyle="1" w:styleId="CommentTextChar">
    <w:name w:val="Comment Text Char"/>
    <w:basedOn w:val="DefaultParagraphFont"/>
    <w:link w:val="CommentText"/>
    <w:uiPriority w:val="99"/>
    <w:rsid w:val="007B2E0B"/>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7B2E0B"/>
    <w:rPr>
      <w:b/>
      <w:bCs/>
    </w:rPr>
  </w:style>
  <w:style w:type="character" w:customStyle="1" w:styleId="CommentSubjectChar">
    <w:name w:val="Comment Subject Char"/>
    <w:basedOn w:val="CommentTextChar"/>
    <w:link w:val="CommentSubject"/>
    <w:uiPriority w:val="99"/>
    <w:semiHidden/>
    <w:rsid w:val="007B2E0B"/>
    <w:rPr>
      <w:rFonts w:ascii="Times New Roman" w:hAnsi="Times New Roman"/>
      <w:b/>
      <w:bCs/>
      <w:sz w:val="20"/>
      <w:szCs w:val="20"/>
      <w:lang w:val="en-US" w:eastAsia="en-US"/>
    </w:rPr>
  </w:style>
  <w:style w:type="paragraph" w:styleId="BalloonText">
    <w:name w:val="Balloon Text"/>
    <w:basedOn w:val="Normal"/>
    <w:link w:val="BalloonTextChar"/>
    <w:uiPriority w:val="99"/>
    <w:semiHidden/>
    <w:unhideWhenUsed/>
    <w:rsid w:val="007B2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E0B"/>
    <w:rPr>
      <w:rFonts w:ascii="Segoe UI" w:hAnsi="Segoe UI" w:cs="Segoe UI"/>
      <w:sz w:val="18"/>
      <w:szCs w:val="18"/>
      <w:lang w:val="en-US" w:eastAsia="en-US"/>
    </w:rPr>
  </w:style>
  <w:style w:type="paragraph" w:styleId="Revision">
    <w:name w:val="Revision"/>
    <w:hidden/>
    <w:uiPriority w:val="99"/>
    <w:semiHidden/>
    <w:rsid w:val="0043360C"/>
    <w:pPr>
      <w:spacing w:after="0" w:line="240" w:lineRule="auto"/>
    </w:pPr>
    <w:rPr>
      <w:rFonts w:ascii="Times New Roman" w:hAnsi="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1672"/>
    <w:pPr>
      <w:tabs>
        <w:tab w:val="center" w:pos="4513"/>
        <w:tab w:val="right" w:pos="9026"/>
      </w:tabs>
    </w:pPr>
  </w:style>
  <w:style w:type="character" w:customStyle="1" w:styleId="HeaderChar">
    <w:name w:val="Header Char"/>
    <w:basedOn w:val="DefaultParagraphFont"/>
    <w:link w:val="Header"/>
    <w:uiPriority w:val="99"/>
    <w:rsid w:val="00791672"/>
    <w:rPr>
      <w:rFonts w:ascii="Times New Roman" w:hAnsi="Times New Roman"/>
      <w:sz w:val="20"/>
      <w:szCs w:val="20"/>
      <w:lang w:val="en-US" w:eastAsia="en-US"/>
    </w:rPr>
  </w:style>
  <w:style w:type="paragraph" w:styleId="Footer">
    <w:name w:val="footer"/>
    <w:basedOn w:val="Normal"/>
    <w:link w:val="FooterChar"/>
    <w:uiPriority w:val="99"/>
    <w:rsid w:val="00791672"/>
    <w:pPr>
      <w:tabs>
        <w:tab w:val="center" w:pos="4513"/>
        <w:tab w:val="right" w:pos="9026"/>
      </w:tabs>
    </w:pPr>
  </w:style>
  <w:style w:type="character" w:customStyle="1" w:styleId="FooterChar">
    <w:name w:val="Footer Char"/>
    <w:basedOn w:val="DefaultParagraphFont"/>
    <w:link w:val="Footer"/>
    <w:uiPriority w:val="99"/>
    <w:rsid w:val="00791672"/>
    <w:rPr>
      <w:rFonts w:ascii="Times New Roman" w:hAnsi="Times New Roman"/>
      <w:sz w:val="20"/>
      <w:szCs w:val="20"/>
      <w:lang w:val="en-US" w:eastAsia="en-US"/>
    </w:rPr>
  </w:style>
  <w:style w:type="character" w:styleId="CommentReference">
    <w:name w:val="annotation reference"/>
    <w:basedOn w:val="DefaultParagraphFont"/>
    <w:uiPriority w:val="99"/>
    <w:rsid w:val="007B2E0B"/>
    <w:rPr>
      <w:sz w:val="16"/>
      <w:szCs w:val="16"/>
    </w:rPr>
  </w:style>
  <w:style w:type="paragraph" w:styleId="CommentText">
    <w:name w:val="annotation text"/>
    <w:basedOn w:val="Normal"/>
    <w:link w:val="CommentTextChar"/>
    <w:uiPriority w:val="99"/>
    <w:rsid w:val="007B2E0B"/>
  </w:style>
  <w:style w:type="character" w:customStyle="1" w:styleId="CommentTextChar">
    <w:name w:val="Comment Text Char"/>
    <w:basedOn w:val="DefaultParagraphFont"/>
    <w:link w:val="CommentText"/>
    <w:uiPriority w:val="99"/>
    <w:rsid w:val="007B2E0B"/>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7B2E0B"/>
    <w:rPr>
      <w:b/>
      <w:bCs/>
    </w:rPr>
  </w:style>
  <w:style w:type="character" w:customStyle="1" w:styleId="CommentSubjectChar">
    <w:name w:val="Comment Subject Char"/>
    <w:basedOn w:val="CommentTextChar"/>
    <w:link w:val="CommentSubject"/>
    <w:uiPriority w:val="99"/>
    <w:semiHidden/>
    <w:rsid w:val="007B2E0B"/>
    <w:rPr>
      <w:rFonts w:ascii="Times New Roman" w:hAnsi="Times New Roman"/>
      <w:b/>
      <w:bCs/>
      <w:sz w:val="20"/>
      <w:szCs w:val="20"/>
      <w:lang w:val="en-US" w:eastAsia="en-US"/>
    </w:rPr>
  </w:style>
  <w:style w:type="paragraph" w:styleId="BalloonText">
    <w:name w:val="Balloon Text"/>
    <w:basedOn w:val="Normal"/>
    <w:link w:val="BalloonTextChar"/>
    <w:uiPriority w:val="99"/>
    <w:semiHidden/>
    <w:unhideWhenUsed/>
    <w:rsid w:val="007B2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E0B"/>
    <w:rPr>
      <w:rFonts w:ascii="Segoe UI" w:hAnsi="Segoe UI" w:cs="Segoe UI"/>
      <w:sz w:val="18"/>
      <w:szCs w:val="18"/>
      <w:lang w:val="en-US" w:eastAsia="en-US"/>
    </w:rPr>
  </w:style>
  <w:style w:type="paragraph" w:styleId="Revision">
    <w:name w:val="Revision"/>
    <w:hidden/>
    <w:uiPriority w:val="99"/>
    <w:semiHidden/>
    <w:rsid w:val="0043360C"/>
    <w:pPr>
      <w:spacing w:after="0" w:line="240" w:lineRule="auto"/>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973</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TTS0018</dc:creator>
  <cp:keywords/>
  <dc:description/>
  <cp:lastModifiedBy>Ziegler, Liesl</cp:lastModifiedBy>
  <cp:revision>3</cp:revision>
  <dcterms:created xsi:type="dcterms:W3CDTF">2019-07-29T04:39:00Z</dcterms:created>
  <dcterms:modified xsi:type="dcterms:W3CDTF">2019-10-25T03:38:00Z</dcterms:modified>
</cp:coreProperties>
</file>