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7B3BA" w14:textId="77777777" w:rsidR="00AB7684" w:rsidRPr="008C7C76" w:rsidRDefault="006043F5" w:rsidP="006D184B">
      <w:pPr>
        <w:jc w:val="center"/>
        <w:rPr>
          <w:sz w:val="24"/>
          <w:szCs w:val="24"/>
        </w:rPr>
      </w:pPr>
      <w:r w:rsidRPr="008C7C76">
        <w:rPr>
          <w:noProof/>
          <w:sz w:val="24"/>
          <w:szCs w:val="24"/>
          <w:lang w:val="en-AU" w:eastAsia="en-AU"/>
        </w:rPr>
        <w:drawing>
          <wp:inline distT="0" distB="0" distL="0" distR="0" wp14:anchorId="386FBF29" wp14:editId="32056841">
            <wp:extent cx="1379855"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041400"/>
                    </a:xfrm>
                    <a:prstGeom prst="rect">
                      <a:avLst/>
                    </a:prstGeom>
                    <a:noFill/>
                    <a:ln>
                      <a:noFill/>
                    </a:ln>
                  </pic:spPr>
                </pic:pic>
              </a:graphicData>
            </a:graphic>
          </wp:inline>
        </w:drawing>
      </w:r>
    </w:p>
    <w:p w14:paraId="6086B8FD" w14:textId="77777777" w:rsidR="00AB7684" w:rsidRPr="008C7C76" w:rsidRDefault="00AB7684" w:rsidP="006D184B">
      <w:pPr>
        <w:shd w:val="clear" w:color="auto" w:fill="FFFFFF"/>
        <w:spacing w:before="1531"/>
        <w:jc w:val="center"/>
      </w:pPr>
      <w:r w:rsidRPr="008C7C76">
        <w:rPr>
          <w:b/>
          <w:bCs/>
          <w:sz w:val="38"/>
          <w:szCs w:val="38"/>
          <w:lang w:val="de-DE"/>
        </w:rPr>
        <w:t xml:space="preserve">Migration </w:t>
      </w:r>
      <w:r w:rsidRPr="008C7C76">
        <w:rPr>
          <w:b/>
          <w:bCs/>
          <w:sz w:val="38"/>
          <w:szCs w:val="38"/>
        </w:rPr>
        <w:t>(Offences and Undesirable Persons) Amendment Act 1992</w:t>
      </w:r>
    </w:p>
    <w:p w14:paraId="2B73BA9F" w14:textId="77777777" w:rsidR="00AB7684" w:rsidRPr="008C7C76" w:rsidRDefault="00AB7684" w:rsidP="006D184B">
      <w:pPr>
        <w:shd w:val="clear" w:color="auto" w:fill="FFFFFF"/>
        <w:spacing w:before="1133"/>
        <w:jc w:val="center"/>
      </w:pPr>
      <w:r w:rsidRPr="008C7C76">
        <w:rPr>
          <w:b/>
          <w:bCs/>
          <w:sz w:val="24"/>
          <w:szCs w:val="24"/>
        </w:rPr>
        <w:t>No. 213 of 1992</w:t>
      </w:r>
    </w:p>
    <w:p w14:paraId="11CB3125" w14:textId="77777777" w:rsidR="00AB7684" w:rsidRPr="00161AA7" w:rsidRDefault="006D184B" w:rsidP="006D184B">
      <w:pPr>
        <w:shd w:val="clear" w:color="auto" w:fill="FFFFFF"/>
        <w:spacing w:before="2280"/>
        <w:jc w:val="center"/>
        <w:rPr>
          <w:sz w:val="16"/>
        </w:rPr>
      </w:pPr>
      <w:r w:rsidRPr="00161AA7">
        <w:rPr>
          <w:b/>
          <w:bCs/>
          <w:noProof/>
          <w:sz w:val="26"/>
          <w:szCs w:val="30"/>
          <w:lang w:val="en-AU" w:eastAsia="en-AU"/>
        </w:rPr>
        <mc:AlternateContent>
          <mc:Choice Requires="wps">
            <w:drawing>
              <wp:anchor distT="0" distB="0" distL="114300" distR="114300" simplePos="0" relativeHeight="251659264" behindDoc="0" locked="0" layoutInCell="1" allowOverlap="1" wp14:anchorId="147D4FB8" wp14:editId="266811F9">
                <wp:simplePos x="0" y="0"/>
                <wp:positionH relativeFrom="column">
                  <wp:posOffset>16722</wp:posOffset>
                </wp:positionH>
                <wp:positionV relativeFrom="paragraph">
                  <wp:posOffset>746125</wp:posOffset>
                </wp:positionV>
                <wp:extent cx="5985933" cy="0"/>
                <wp:effectExtent l="0" t="19050" r="34290" b="19050"/>
                <wp:wrapNone/>
                <wp:docPr id="2" name="Straight Connector 2"/>
                <wp:cNvGraphicFramePr/>
                <a:graphic xmlns:a="http://schemas.openxmlformats.org/drawingml/2006/main">
                  <a:graphicData uri="http://schemas.microsoft.com/office/word/2010/wordprocessingShape">
                    <wps:wsp>
                      <wps:cNvCnPr/>
                      <wps:spPr>
                        <a:xfrm>
                          <a:off x="0" y="0"/>
                          <a:ext cx="5985933" cy="0"/>
                        </a:xfrm>
                        <a:prstGeom prst="line">
                          <a:avLst/>
                        </a:prstGeom>
                        <a:ln w="444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AC10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58.75pt" to="472.6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" strokecolor="black [3040]" strokeweight="3.5pt">
                <v:stroke linestyle="thinThin"/>
              </v:line>
            </w:pict>
          </mc:Fallback>
        </mc:AlternateContent>
      </w:r>
      <w:r w:rsidR="00AB7684" w:rsidRPr="00161AA7">
        <w:rPr>
          <w:b/>
          <w:bCs/>
          <w:sz w:val="26"/>
          <w:szCs w:val="30"/>
        </w:rPr>
        <w:t xml:space="preserve">An Act to amend the </w:t>
      </w:r>
      <w:r w:rsidR="00AB7684" w:rsidRPr="00161AA7">
        <w:rPr>
          <w:b/>
          <w:bCs/>
          <w:i/>
          <w:iCs/>
          <w:sz w:val="26"/>
          <w:szCs w:val="30"/>
        </w:rPr>
        <w:t>Migration Act 1958</w:t>
      </w:r>
    </w:p>
    <w:p w14:paraId="3B290194" w14:textId="77777777" w:rsidR="00AB7684" w:rsidRPr="006D184B" w:rsidRDefault="00AB7684" w:rsidP="006D184B">
      <w:pPr>
        <w:shd w:val="clear" w:color="auto" w:fill="FFFFFF"/>
        <w:spacing w:before="538"/>
        <w:jc w:val="right"/>
        <w:rPr>
          <w:sz w:val="22"/>
        </w:rPr>
      </w:pPr>
      <w:r w:rsidRPr="006D184B">
        <w:rPr>
          <w:sz w:val="22"/>
          <w:szCs w:val="24"/>
        </w:rPr>
        <w:t>[</w:t>
      </w:r>
      <w:r w:rsidRPr="006D184B">
        <w:rPr>
          <w:i/>
          <w:iCs/>
          <w:sz w:val="22"/>
          <w:szCs w:val="24"/>
        </w:rPr>
        <w:t>Assented to 24 December 1992</w:t>
      </w:r>
      <w:r w:rsidRPr="006D184B">
        <w:rPr>
          <w:sz w:val="22"/>
          <w:szCs w:val="24"/>
        </w:rPr>
        <w:t>]</w:t>
      </w:r>
    </w:p>
    <w:p w14:paraId="2F2E59E4" w14:textId="77777777" w:rsidR="00AB7684" w:rsidRPr="006D184B" w:rsidRDefault="00AB7684" w:rsidP="004B66B0">
      <w:pPr>
        <w:shd w:val="clear" w:color="auto" w:fill="FFFFFF"/>
        <w:spacing w:before="120"/>
        <w:ind w:left="360"/>
        <w:jc w:val="both"/>
        <w:rPr>
          <w:sz w:val="22"/>
        </w:rPr>
      </w:pPr>
      <w:r w:rsidRPr="006D184B">
        <w:rPr>
          <w:sz w:val="22"/>
          <w:szCs w:val="24"/>
        </w:rPr>
        <w:t>The Parliament of Australia enacts:</w:t>
      </w:r>
    </w:p>
    <w:p w14:paraId="203B527A" w14:textId="77777777" w:rsidR="00AB7684" w:rsidRPr="006D184B" w:rsidRDefault="00AB7684" w:rsidP="004B66B0">
      <w:pPr>
        <w:shd w:val="clear" w:color="auto" w:fill="FFFFFF"/>
        <w:spacing w:before="120"/>
        <w:ind w:left="19"/>
        <w:jc w:val="both"/>
        <w:rPr>
          <w:sz w:val="22"/>
        </w:rPr>
      </w:pPr>
      <w:r w:rsidRPr="006D184B">
        <w:rPr>
          <w:b/>
          <w:bCs/>
          <w:sz w:val="22"/>
          <w:szCs w:val="24"/>
        </w:rPr>
        <w:t>Short title etc.</w:t>
      </w:r>
    </w:p>
    <w:p w14:paraId="1ED7D336" w14:textId="77777777" w:rsidR="00AB7684" w:rsidRPr="006D184B" w:rsidRDefault="00AB7684" w:rsidP="004B66B0">
      <w:pPr>
        <w:shd w:val="clear" w:color="auto" w:fill="FFFFFF"/>
        <w:spacing w:before="120"/>
        <w:ind w:left="38" w:firstLine="331"/>
        <w:jc w:val="both"/>
        <w:rPr>
          <w:sz w:val="22"/>
        </w:rPr>
      </w:pPr>
      <w:r w:rsidRPr="006D184B">
        <w:rPr>
          <w:b/>
          <w:bCs/>
          <w:sz w:val="22"/>
          <w:szCs w:val="24"/>
        </w:rPr>
        <w:t xml:space="preserve">1.(1) </w:t>
      </w:r>
      <w:r w:rsidRPr="006D184B">
        <w:rPr>
          <w:sz w:val="22"/>
          <w:szCs w:val="24"/>
        </w:rPr>
        <w:t xml:space="preserve">This Act may be cited as the </w:t>
      </w:r>
      <w:r w:rsidRPr="006D184B">
        <w:rPr>
          <w:i/>
          <w:iCs/>
          <w:sz w:val="22"/>
          <w:szCs w:val="24"/>
        </w:rPr>
        <w:t>Migration (Offences and Undesirable Persons) Amendment Act 1992.</w:t>
      </w:r>
    </w:p>
    <w:p w14:paraId="58CE7DA1" w14:textId="77777777" w:rsidR="00AB7684" w:rsidRPr="006D184B" w:rsidRDefault="00AB7684" w:rsidP="004B66B0">
      <w:pPr>
        <w:shd w:val="clear" w:color="auto" w:fill="FFFFFF"/>
        <w:spacing w:before="120"/>
        <w:ind w:left="355"/>
        <w:jc w:val="both"/>
        <w:rPr>
          <w:sz w:val="22"/>
        </w:rPr>
      </w:pPr>
      <w:r w:rsidRPr="006D184B">
        <w:rPr>
          <w:b/>
          <w:bCs/>
          <w:sz w:val="22"/>
          <w:szCs w:val="24"/>
        </w:rPr>
        <w:t>(2)</w:t>
      </w:r>
      <w:r w:rsidRPr="006D184B">
        <w:rPr>
          <w:sz w:val="22"/>
          <w:szCs w:val="24"/>
        </w:rPr>
        <w:t xml:space="preserve"> In this Act, </w:t>
      </w:r>
      <w:r w:rsidRPr="006D184B">
        <w:rPr>
          <w:b/>
          <w:bCs/>
          <w:sz w:val="22"/>
          <w:szCs w:val="24"/>
        </w:rPr>
        <w:t xml:space="preserve">“Principal Act” </w:t>
      </w:r>
      <w:r w:rsidRPr="006D184B">
        <w:rPr>
          <w:sz w:val="22"/>
          <w:szCs w:val="24"/>
        </w:rPr>
        <w:t xml:space="preserve">means the </w:t>
      </w:r>
      <w:r w:rsidRPr="006D184B">
        <w:rPr>
          <w:i/>
          <w:iCs/>
          <w:sz w:val="22"/>
          <w:szCs w:val="24"/>
        </w:rPr>
        <w:t>Migration Act 1958</w:t>
      </w:r>
      <w:r w:rsidRPr="006D184B">
        <w:rPr>
          <w:sz w:val="22"/>
          <w:szCs w:val="24"/>
          <w:vertAlign w:val="superscript"/>
        </w:rPr>
        <w:t>1</w:t>
      </w:r>
      <w:r w:rsidRPr="006D184B">
        <w:rPr>
          <w:sz w:val="22"/>
          <w:szCs w:val="24"/>
        </w:rPr>
        <w:t>.</w:t>
      </w:r>
    </w:p>
    <w:p w14:paraId="04B6807A" w14:textId="77777777" w:rsidR="00AB7684" w:rsidRPr="006D184B" w:rsidRDefault="00AB7684" w:rsidP="004B66B0">
      <w:pPr>
        <w:shd w:val="clear" w:color="auto" w:fill="FFFFFF"/>
        <w:spacing w:before="120"/>
        <w:jc w:val="both"/>
        <w:rPr>
          <w:sz w:val="22"/>
        </w:rPr>
      </w:pPr>
      <w:r w:rsidRPr="006D184B">
        <w:rPr>
          <w:sz w:val="22"/>
          <w:szCs w:val="24"/>
        </w:rPr>
        <w:t>Commencement</w:t>
      </w:r>
    </w:p>
    <w:p w14:paraId="686B8CE1" w14:textId="77777777" w:rsidR="00AB7684" w:rsidRPr="006D184B" w:rsidRDefault="00AB7684" w:rsidP="004B66B0">
      <w:pPr>
        <w:shd w:val="clear" w:color="auto" w:fill="FFFFFF"/>
        <w:spacing w:before="120"/>
        <w:ind w:left="5" w:firstLine="346"/>
        <w:jc w:val="both"/>
        <w:rPr>
          <w:sz w:val="22"/>
        </w:rPr>
      </w:pPr>
      <w:r w:rsidRPr="006D184B">
        <w:rPr>
          <w:b/>
          <w:bCs/>
          <w:sz w:val="22"/>
          <w:szCs w:val="24"/>
        </w:rPr>
        <w:t>2.(1)</w:t>
      </w:r>
      <w:r w:rsidRPr="006D184B">
        <w:rPr>
          <w:sz w:val="22"/>
          <w:szCs w:val="24"/>
        </w:rPr>
        <w:t xml:space="preserve"> Subject to subsection (2), this Act commences on the day on which it receives the Royal Assent.</w:t>
      </w:r>
    </w:p>
    <w:p w14:paraId="0108754D" w14:textId="77777777" w:rsidR="00AB7684" w:rsidRPr="006D184B" w:rsidRDefault="00AB7684" w:rsidP="004B66B0">
      <w:pPr>
        <w:shd w:val="clear" w:color="auto" w:fill="FFFFFF"/>
        <w:spacing w:before="120"/>
        <w:ind w:left="34" w:firstLine="312"/>
        <w:jc w:val="both"/>
        <w:rPr>
          <w:sz w:val="22"/>
        </w:rPr>
      </w:pPr>
      <w:r w:rsidRPr="006D184B">
        <w:rPr>
          <w:b/>
          <w:bCs/>
          <w:sz w:val="22"/>
          <w:szCs w:val="24"/>
        </w:rPr>
        <w:t>(2)</w:t>
      </w:r>
      <w:r w:rsidRPr="006D184B">
        <w:rPr>
          <w:sz w:val="22"/>
          <w:szCs w:val="24"/>
        </w:rPr>
        <w:t xml:space="preserve"> Subsection 4(2) and sections 6 and 7 commence on 1 November 1993.</w:t>
      </w:r>
    </w:p>
    <w:p w14:paraId="3C88AB1E" w14:textId="77777777" w:rsidR="00AB7684" w:rsidRPr="006D184B" w:rsidRDefault="00AB7684" w:rsidP="004B66B0">
      <w:pPr>
        <w:shd w:val="clear" w:color="auto" w:fill="FFFFFF"/>
        <w:spacing w:before="120"/>
        <w:ind w:left="34" w:firstLine="312"/>
        <w:jc w:val="both"/>
        <w:rPr>
          <w:sz w:val="22"/>
        </w:rPr>
        <w:sectPr w:rsidR="00AB7684" w:rsidRPr="006D184B" w:rsidSect="007105F1">
          <w:headerReference w:type="default" r:id="rId9"/>
          <w:pgSz w:w="12240" w:h="15840" w:code="1"/>
          <w:pgMar w:top="1440" w:right="1440" w:bottom="1440" w:left="1440" w:header="720" w:footer="720" w:gutter="0"/>
          <w:cols w:space="60"/>
          <w:noEndnote/>
          <w:titlePg/>
          <w:docGrid w:linePitch="272"/>
        </w:sectPr>
      </w:pPr>
    </w:p>
    <w:p w14:paraId="621974D1" w14:textId="77777777" w:rsidR="00AB7684" w:rsidRPr="006D184B" w:rsidRDefault="00AB7684" w:rsidP="004B66B0">
      <w:pPr>
        <w:shd w:val="clear" w:color="auto" w:fill="FFFFFF"/>
        <w:spacing w:before="120"/>
        <w:ind w:left="14" w:firstLine="326"/>
        <w:jc w:val="both"/>
        <w:rPr>
          <w:sz w:val="22"/>
        </w:rPr>
      </w:pPr>
      <w:r w:rsidRPr="006D184B">
        <w:rPr>
          <w:b/>
          <w:bCs/>
          <w:sz w:val="22"/>
          <w:szCs w:val="24"/>
        </w:rPr>
        <w:lastRenderedPageBreak/>
        <w:t>3.</w:t>
      </w:r>
      <w:r w:rsidRPr="006D184B">
        <w:rPr>
          <w:sz w:val="22"/>
          <w:szCs w:val="24"/>
        </w:rPr>
        <w:t xml:space="preserve"> After section 83 of the Principal Act the following section is inserted:</w:t>
      </w:r>
    </w:p>
    <w:p w14:paraId="05A34FD8" w14:textId="77777777" w:rsidR="00AB7684" w:rsidRPr="006D184B" w:rsidRDefault="00AB7684" w:rsidP="004B66B0">
      <w:pPr>
        <w:shd w:val="clear" w:color="auto" w:fill="FFFFFF"/>
        <w:spacing w:before="120"/>
        <w:jc w:val="both"/>
        <w:rPr>
          <w:sz w:val="22"/>
        </w:rPr>
      </w:pPr>
      <w:r w:rsidRPr="006D184B">
        <w:rPr>
          <w:b/>
          <w:bCs/>
          <w:sz w:val="22"/>
          <w:szCs w:val="24"/>
        </w:rPr>
        <w:t>Offences relating to visas</w:t>
      </w:r>
    </w:p>
    <w:p w14:paraId="653AC3BE" w14:textId="77777777" w:rsidR="00AB7684" w:rsidRPr="006D184B" w:rsidRDefault="00AB7684" w:rsidP="004B66B0">
      <w:pPr>
        <w:shd w:val="clear" w:color="auto" w:fill="FFFFFF"/>
        <w:spacing w:before="120"/>
        <w:ind w:left="341"/>
        <w:jc w:val="both"/>
        <w:rPr>
          <w:sz w:val="22"/>
        </w:rPr>
      </w:pPr>
      <w:r w:rsidRPr="006D184B">
        <w:rPr>
          <w:sz w:val="22"/>
          <w:szCs w:val="24"/>
        </w:rPr>
        <w:t>“83AA. A person must not:</w:t>
      </w:r>
    </w:p>
    <w:p w14:paraId="1A744BA8" w14:textId="77777777" w:rsidR="00AB7684" w:rsidRPr="006D184B" w:rsidRDefault="00AB7684" w:rsidP="004B66B0">
      <w:pPr>
        <w:numPr>
          <w:ilvl w:val="0"/>
          <w:numId w:val="1"/>
        </w:numPr>
        <w:shd w:val="clear" w:color="auto" w:fill="FFFFFF"/>
        <w:tabs>
          <w:tab w:val="left" w:pos="778"/>
        </w:tabs>
        <w:spacing w:before="120"/>
        <w:ind w:left="778" w:hanging="394"/>
        <w:jc w:val="both"/>
        <w:rPr>
          <w:sz w:val="22"/>
          <w:szCs w:val="24"/>
        </w:rPr>
      </w:pPr>
      <w:r w:rsidRPr="006D184B">
        <w:rPr>
          <w:sz w:val="22"/>
          <w:szCs w:val="24"/>
        </w:rPr>
        <w:t>for purpose of travel to Australia, remaining in Australia or identification, use a visa that was granted to another person; or</w:t>
      </w:r>
    </w:p>
    <w:p w14:paraId="7A873AA1" w14:textId="77777777" w:rsidR="00AB7684" w:rsidRPr="006D184B" w:rsidRDefault="00AB7684" w:rsidP="004B66B0">
      <w:pPr>
        <w:numPr>
          <w:ilvl w:val="0"/>
          <w:numId w:val="1"/>
        </w:numPr>
        <w:shd w:val="clear" w:color="auto" w:fill="FFFFFF"/>
        <w:tabs>
          <w:tab w:val="left" w:pos="778"/>
        </w:tabs>
        <w:spacing w:before="120"/>
        <w:ind w:left="778" w:hanging="394"/>
        <w:jc w:val="both"/>
        <w:rPr>
          <w:sz w:val="22"/>
          <w:szCs w:val="24"/>
        </w:rPr>
      </w:pPr>
      <w:r w:rsidRPr="006D184B">
        <w:rPr>
          <w:sz w:val="22"/>
          <w:szCs w:val="24"/>
        </w:rPr>
        <w:t>without reasonable excuse, have in his or her possession or under his or her control a visa that was not granted to him or her.</w:t>
      </w:r>
    </w:p>
    <w:p w14:paraId="30E12115" w14:textId="77777777" w:rsidR="00AB7684" w:rsidRPr="006D184B" w:rsidRDefault="00AB7684" w:rsidP="004B66B0">
      <w:pPr>
        <w:shd w:val="clear" w:color="auto" w:fill="FFFFFF"/>
        <w:spacing w:before="120"/>
        <w:ind w:left="14"/>
        <w:jc w:val="both"/>
        <w:rPr>
          <w:sz w:val="22"/>
        </w:rPr>
      </w:pPr>
      <w:r w:rsidRPr="006D184B">
        <w:rPr>
          <w:sz w:val="22"/>
          <w:szCs w:val="24"/>
        </w:rPr>
        <w:t>Penalty: Imprisonment for 2 years.”.</w:t>
      </w:r>
    </w:p>
    <w:p w14:paraId="47BF005D" w14:textId="77777777" w:rsidR="00AB7684" w:rsidRPr="006D184B" w:rsidRDefault="00AB7684" w:rsidP="004B66B0">
      <w:pPr>
        <w:shd w:val="clear" w:color="auto" w:fill="FFFFFF"/>
        <w:spacing w:before="120"/>
        <w:ind w:left="5"/>
        <w:jc w:val="both"/>
        <w:rPr>
          <w:sz w:val="22"/>
        </w:rPr>
      </w:pPr>
      <w:r w:rsidRPr="006D184B">
        <w:rPr>
          <w:b/>
          <w:bCs/>
          <w:sz w:val="22"/>
          <w:szCs w:val="24"/>
        </w:rPr>
        <w:t>Review of decisions</w:t>
      </w:r>
    </w:p>
    <w:p w14:paraId="057DD28B" w14:textId="77777777" w:rsidR="00AB7684" w:rsidRPr="006D184B" w:rsidRDefault="00AB7684" w:rsidP="004B66B0">
      <w:pPr>
        <w:shd w:val="clear" w:color="auto" w:fill="FFFFFF"/>
        <w:spacing w:before="120"/>
        <w:ind w:left="331"/>
        <w:jc w:val="both"/>
        <w:rPr>
          <w:sz w:val="22"/>
        </w:rPr>
      </w:pPr>
      <w:r w:rsidRPr="006D184B">
        <w:rPr>
          <w:b/>
          <w:bCs/>
          <w:sz w:val="22"/>
          <w:szCs w:val="24"/>
        </w:rPr>
        <w:t xml:space="preserve">4.(1) </w:t>
      </w:r>
      <w:r w:rsidRPr="006D184B">
        <w:rPr>
          <w:sz w:val="22"/>
          <w:szCs w:val="24"/>
        </w:rPr>
        <w:t>Section 180 of the Principal Act is amended:</w:t>
      </w:r>
    </w:p>
    <w:p w14:paraId="4702E168" w14:textId="77777777" w:rsidR="00AB7684" w:rsidRPr="006D184B" w:rsidRDefault="00AB7684" w:rsidP="004B66B0">
      <w:pPr>
        <w:shd w:val="clear" w:color="auto" w:fill="FFFFFF"/>
        <w:tabs>
          <w:tab w:val="left" w:pos="778"/>
        </w:tabs>
        <w:spacing w:before="120"/>
        <w:ind w:left="778" w:hanging="389"/>
        <w:jc w:val="both"/>
        <w:rPr>
          <w:sz w:val="22"/>
        </w:rPr>
      </w:pPr>
      <w:r w:rsidRPr="006D184B">
        <w:rPr>
          <w:b/>
          <w:bCs/>
          <w:sz w:val="22"/>
          <w:szCs w:val="24"/>
        </w:rPr>
        <w:t>(a)</w:t>
      </w:r>
      <w:r w:rsidRPr="006D184B">
        <w:rPr>
          <w:sz w:val="22"/>
          <w:szCs w:val="24"/>
        </w:rPr>
        <w:tab/>
        <w:t>by omitting subsection (1) and substituting the following</w:t>
      </w:r>
      <w:r w:rsidR="008C7C76" w:rsidRPr="006D184B">
        <w:rPr>
          <w:sz w:val="22"/>
          <w:szCs w:val="24"/>
        </w:rPr>
        <w:t xml:space="preserve"> </w:t>
      </w:r>
      <w:r w:rsidRPr="006D184B">
        <w:rPr>
          <w:sz w:val="22"/>
          <w:szCs w:val="24"/>
        </w:rPr>
        <w:t>subsection:</w:t>
      </w:r>
    </w:p>
    <w:p w14:paraId="548E347D" w14:textId="77777777" w:rsidR="00AB7684" w:rsidRPr="006D184B" w:rsidRDefault="00AB7684" w:rsidP="004B66B0">
      <w:pPr>
        <w:shd w:val="clear" w:color="auto" w:fill="FFFFFF"/>
        <w:spacing w:before="120"/>
        <w:ind w:left="778" w:firstLine="221"/>
        <w:jc w:val="both"/>
        <w:rPr>
          <w:sz w:val="22"/>
        </w:rPr>
      </w:pPr>
      <w:r w:rsidRPr="006D184B">
        <w:rPr>
          <w:sz w:val="22"/>
          <w:szCs w:val="24"/>
        </w:rPr>
        <w:t>“(1) Applications may be made to the Administrative Appeals Tribunal for review of:</w:t>
      </w:r>
    </w:p>
    <w:p w14:paraId="6E8073DA" w14:textId="77777777" w:rsidR="00AB7684" w:rsidRPr="006D184B" w:rsidRDefault="00AB7684" w:rsidP="004B66B0">
      <w:pPr>
        <w:numPr>
          <w:ilvl w:val="0"/>
          <w:numId w:val="2"/>
        </w:numPr>
        <w:shd w:val="clear" w:color="auto" w:fill="FFFFFF"/>
        <w:tabs>
          <w:tab w:val="left" w:pos="1435"/>
        </w:tabs>
        <w:spacing w:before="120"/>
        <w:ind w:left="1042"/>
        <w:jc w:val="both"/>
        <w:rPr>
          <w:sz w:val="22"/>
          <w:szCs w:val="24"/>
        </w:rPr>
      </w:pPr>
      <w:r w:rsidRPr="006D184B">
        <w:rPr>
          <w:sz w:val="22"/>
          <w:szCs w:val="24"/>
        </w:rPr>
        <w:t>decisions of the Minister under section 55; or</w:t>
      </w:r>
    </w:p>
    <w:p w14:paraId="50E9673C" w14:textId="77777777" w:rsidR="00AB7684" w:rsidRPr="006D184B" w:rsidRDefault="00AB7684" w:rsidP="004B66B0">
      <w:pPr>
        <w:numPr>
          <w:ilvl w:val="0"/>
          <w:numId w:val="2"/>
        </w:numPr>
        <w:shd w:val="clear" w:color="auto" w:fill="FFFFFF"/>
        <w:tabs>
          <w:tab w:val="left" w:pos="1435"/>
        </w:tabs>
        <w:spacing w:before="120"/>
        <w:ind w:left="1042"/>
        <w:jc w:val="both"/>
        <w:rPr>
          <w:sz w:val="22"/>
          <w:szCs w:val="24"/>
        </w:rPr>
      </w:pPr>
      <w:r w:rsidRPr="006D184B">
        <w:rPr>
          <w:sz w:val="22"/>
          <w:szCs w:val="24"/>
        </w:rPr>
        <w:t>decisions of the Minister under section 180A;</w:t>
      </w:r>
    </w:p>
    <w:p w14:paraId="252A3826" w14:textId="77777777" w:rsidR="00AB7684" w:rsidRPr="006D184B" w:rsidRDefault="00AB7684" w:rsidP="004B66B0">
      <w:pPr>
        <w:shd w:val="clear" w:color="auto" w:fill="FFFFFF"/>
        <w:spacing w:before="120"/>
        <w:ind w:left="782"/>
        <w:jc w:val="both"/>
        <w:rPr>
          <w:sz w:val="22"/>
        </w:rPr>
      </w:pPr>
      <w:r w:rsidRPr="006D184B">
        <w:rPr>
          <w:sz w:val="22"/>
          <w:szCs w:val="24"/>
        </w:rPr>
        <w:t>other than decisions to which a certificate under section 180B applies.”;</w:t>
      </w:r>
    </w:p>
    <w:p w14:paraId="5FB8CAFE" w14:textId="77777777" w:rsidR="00AB7684" w:rsidRPr="006D184B" w:rsidRDefault="00AB7684" w:rsidP="004B66B0">
      <w:pPr>
        <w:numPr>
          <w:ilvl w:val="0"/>
          <w:numId w:val="3"/>
        </w:numPr>
        <w:shd w:val="clear" w:color="auto" w:fill="FFFFFF"/>
        <w:tabs>
          <w:tab w:val="left" w:pos="778"/>
        </w:tabs>
        <w:spacing w:before="120"/>
        <w:ind w:left="778" w:hanging="389"/>
        <w:jc w:val="both"/>
        <w:rPr>
          <w:b/>
          <w:bCs/>
          <w:sz w:val="22"/>
          <w:szCs w:val="24"/>
        </w:rPr>
      </w:pPr>
      <w:r w:rsidRPr="006D184B">
        <w:rPr>
          <w:sz w:val="22"/>
          <w:szCs w:val="24"/>
        </w:rPr>
        <w:t>by omitting from subsection (2) “subsection (1)” and substituting “paragraph (1)(a)”;</w:t>
      </w:r>
    </w:p>
    <w:p w14:paraId="4F504D29" w14:textId="77777777" w:rsidR="00AB7684" w:rsidRPr="006D184B" w:rsidRDefault="00AB7684" w:rsidP="004B66B0">
      <w:pPr>
        <w:numPr>
          <w:ilvl w:val="0"/>
          <w:numId w:val="3"/>
        </w:numPr>
        <w:shd w:val="clear" w:color="auto" w:fill="FFFFFF"/>
        <w:tabs>
          <w:tab w:val="left" w:pos="778"/>
        </w:tabs>
        <w:spacing w:before="120"/>
        <w:ind w:left="778" w:hanging="389"/>
        <w:jc w:val="both"/>
        <w:rPr>
          <w:b/>
          <w:bCs/>
          <w:sz w:val="22"/>
          <w:szCs w:val="24"/>
        </w:rPr>
      </w:pPr>
      <w:r w:rsidRPr="006D184B">
        <w:rPr>
          <w:sz w:val="22"/>
          <w:szCs w:val="24"/>
        </w:rPr>
        <w:t>by omitting subsection (3) and substituting the following subsections:</w:t>
      </w:r>
    </w:p>
    <w:p w14:paraId="56AD0465" w14:textId="77777777" w:rsidR="00AB7684" w:rsidRPr="006D184B" w:rsidRDefault="00AB7684" w:rsidP="004B66B0">
      <w:pPr>
        <w:shd w:val="clear" w:color="auto" w:fill="FFFFFF"/>
        <w:spacing w:before="120"/>
        <w:ind w:left="782" w:firstLine="216"/>
        <w:jc w:val="both"/>
        <w:rPr>
          <w:sz w:val="22"/>
        </w:rPr>
      </w:pPr>
      <w:r w:rsidRPr="006D184B">
        <w:rPr>
          <w:sz w:val="22"/>
          <w:szCs w:val="24"/>
        </w:rPr>
        <w:t>“(3) A person who is the subject of a decision referred to in paragraph (1)(b) is not entitled to make an application under subsection (1) for review of the decision unless the person has entered Australia and has not left Australia.</w:t>
      </w:r>
    </w:p>
    <w:p w14:paraId="468E831D" w14:textId="77777777" w:rsidR="00AB7684" w:rsidRPr="006D184B" w:rsidRDefault="00AB7684" w:rsidP="004B66B0">
      <w:pPr>
        <w:shd w:val="clear" w:color="auto" w:fill="FFFFFF"/>
        <w:spacing w:before="120"/>
        <w:ind w:left="782" w:firstLine="216"/>
        <w:jc w:val="both"/>
        <w:rPr>
          <w:sz w:val="22"/>
        </w:rPr>
      </w:pPr>
      <w:r w:rsidRPr="006D184B">
        <w:rPr>
          <w:sz w:val="22"/>
          <w:szCs w:val="24"/>
        </w:rPr>
        <w:t>“(3A) A person other than the person who is the subject of a decision referred to in paragraph (1)(b) is not entitled to make an application under subsection (1) for review of the decision unless the person would be entitled to seek review of the decision under Part 3 if the decision had been made on another ground.</w:t>
      </w:r>
    </w:p>
    <w:p w14:paraId="6448C301" w14:textId="77777777" w:rsidR="00AB7684" w:rsidRPr="006D184B" w:rsidRDefault="00AB7684" w:rsidP="004B66B0">
      <w:pPr>
        <w:shd w:val="clear" w:color="auto" w:fill="FFFFFF"/>
        <w:spacing w:before="120"/>
        <w:ind w:left="782" w:firstLine="216"/>
        <w:jc w:val="both"/>
        <w:rPr>
          <w:sz w:val="22"/>
        </w:rPr>
      </w:pPr>
      <w:r w:rsidRPr="006D184B">
        <w:rPr>
          <w:sz w:val="22"/>
          <w:szCs w:val="24"/>
        </w:rPr>
        <w:t>“(3B) Decisions referred to in subsection (1) are not reviewable under Part 3.”.</w:t>
      </w:r>
    </w:p>
    <w:p w14:paraId="566DE48A" w14:textId="77777777" w:rsidR="00AB7684" w:rsidRPr="006D184B" w:rsidRDefault="00AB7684" w:rsidP="004B66B0">
      <w:pPr>
        <w:shd w:val="clear" w:color="auto" w:fill="FFFFFF"/>
        <w:spacing w:before="120"/>
        <w:ind w:left="394"/>
        <w:jc w:val="both"/>
        <w:rPr>
          <w:sz w:val="22"/>
        </w:rPr>
      </w:pPr>
      <w:r w:rsidRPr="006D184B">
        <w:rPr>
          <w:b/>
          <w:bCs/>
          <w:sz w:val="22"/>
          <w:szCs w:val="24"/>
        </w:rPr>
        <w:t>(2)</w:t>
      </w:r>
      <w:r w:rsidRPr="006D184B">
        <w:rPr>
          <w:sz w:val="22"/>
          <w:szCs w:val="24"/>
        </w:rPr>
        <w:t xml:space="preserve"> Section 180 of the Principal Act is amended:</w:t>
      </w:r>
    </w:p>
    <w:p w14:paraId="50E5608B" w14:textId="2FBDFFD3" w:rsidR="00AB7684" w:rsidRPr="006D184B" w:rsidRDefault="00AB7684" w:rsidP="004B66B0">
      <w:pPr>
        <w:shd w:val="clear" w:color="auto" w:fill="FFFFFF"/>
        <w:spacing w:before="120"/>
        <w:ind w:left="782" w:hanging="389"/>
        <w:jc w:val="both"/>
        <w:rPr>
          <w:sz w:val="22"/>
        </w:rPr>
      </w:pPr>
      <w:r w:rsidRPr="006D184B">
        <w:rPr>
          <w:b/>
          <w:bCs/>
          <w:sz w:val="22"/>
          <w:szCs w:val="24"/>
        </w:rPr>
        <w:t>(a)</w:t>
      </w:r>
      <w:r w:rsidR="000B1BBB">
        <w:rPr>
          <w:sz w:val="22"/>
          <w:szCs w:val="24"/>
        </w:rPr>
        <w:tab/>
      </w:r>
      <w:r w:rsidRPr="006D184B">
        <w:rPr>
          <w:sz w:val="22"/>
          <w:szCs w:val="24"/>
        </w:rPr>
        <w:t>by omitting from paragraph (1)(a) “section 5</w:t>
      </w:r>
      <w:r w:rsidR="00173DE6">
        <w:rPr>
          <w:sz w:val="22"/>
          <w:szCs w:val="24"/>
        </w:rPr>
        <w:t>6</w:t>
      </w:r>
      <w:r w:rsidRPr="006D184B">
        <w:rPr>
          <w:sz w:val="22"/>
          <w:szCs w:val="24"/>
        </w:rPr>
        <w:t xml:space="preserve">” and substituting “section </w:t>
      </w:r>
      <w:r w:rsidRPr="0039330A">
        <w:rPr>
          <w:sz w:val="22"/>
          <w:szCs w:val="24"/>
        </w:rPr>
        <w:t>5</w:t>
      </w:r>
      <w:r w:rsidR="0039330A" w:rsidRPr="0039330A">
        <w:rPr>
          <w:sz w:val="22"/>
          <w:szCs w:val="24"/>
        </w:rPr>
        <w:t xml:space="preserve">5 </w:t>
      </w:r>
      <w:r w:rsidRPr="006D184B">
        <w:rPr>
          <w:sz w:val="22"/>
          <w:szCs w:val="24"/>
        </w:rPr>
        <w:t>because of circumstances specified in section 55”;</w:t>
      </w:r>
    </w:p>
    <w:p w14:paraId="0AB5893E" w14:textId="77777777" w:rsidR="00AB7684" w:rsidRPr="006D184B" w:rsidRDefault="00AB7684" w:rsidP="004B66B0">
      <w:pPr>
        <w:shd w:val="clear" w:color="auto" w:fill="FFFFFF"/>
        <w:spacing w:before="120"/>
        <w:ind w:left="782" w:hanging="389"/>
        <w:jc w:val="both"/>
        <w:rPr>
          <w:sz w:val="22"/>
        </w:rPr>
        <w:sectPr w:rsidR="00AB7684" w:rsidRPr="006D184B" w:rsidSect="008C7C76">
          <w:pgSz w:w="12240" w:h="15840" w:code="1"/>
          <w:pgMar w:top="1440" w:right="1440" w:bottom="1440" w:left="1440" w:header="720" w:footer="720" w:gutter="0"/>
          <w:cols w:space="60"/>
          <w:noEndnote/>
        </w:sectPr>
      </w:pPr>
    </w:p>
    <w:p w14:paraId="715ED3B5" w14:textId="77777777" w:rsidR="00AB7684" w:rsidRPr="006D184B" w:rsidRDefault="00AB7684" w:rsidP="004B66B0">
      <w:pPr>
        <w:shd w:val="clear" w:color="auto" w:fill="FFFFFF"/>
        <w:tabs>
          <w:tab w:val="left" w:pos="773"/>
        </w:tabs>
        <w:spacing w:before="120"/>
        <w:ind w:left="773" w:hanging="398"/>
        <w:jc w:val="both"/>
        <w:rPr>
          <w:sz w:val="22"/>
        </w:rPr>
      </w:pPr>
      <w:r w:rsidRPr="006D184B">
        <w:rPr>
          <w:b/>
          <w:bCs/>
          <w:sz w:val="22"/>
          <w:szCs w:val="24"/>
        </w:rPr>
        <w:lastRenderedPageBreak/>
        <w:t>(b)</w:t>
      </w:r>
      <w:r w:rsidRPr="006D184B">
        <w:rPr>
          <w:sz w:val="22"/>
          <w:szCs w:val="24"/>
        </w:rPr>
        <w:tab/>
        <w:t>by inserting after paragraph (1)(b) the following word and</w:t>
      </w:r>
      <w:r w:rsidR="008C7C76" w:rsidRPr="006D184B">
        <w:rPr>
          <w:sz w:val="22"/>
          <w:szCs w:val="24"/>
        </w:rPr>
        <w:t xml:space="preserve"> </w:t>
      </w:r>
      <w:r w:rsidRPr="006D184B">
        <w:rPr>
          <w:sz w:val="22"/>
          <w:szCs w:val="24"/>
        </w:rPr>
        <w:t>paragraph:</w:t>
      </w:r>
    </w:p>
    <w:p w14:paraId="5DECABD5" w14:textId="77777777" w:rsidR="00AB7684" w:rsidRPr="006D184B" w:rsidRDefault="00AB7684" w:rsidP="004B66B0">
      <w:pPr>
        <w:shd w:val="clear" w:color="auto" w:fill="FFFFFF"/>
        <w:spacing w:before="120"/>
        <w:ind w:left="1661" w:hanging="883"/>
        <w:jc w:val="both"/>
        <w:rPr>
          <w:sz w:val="22"/>
        </w:rPr>
      </w:pPr>
      <w:r w:rsidRPr="006D184B">
        <w:rPr>
          <w:sz w:val="22"/>
          <w:szCs w:val="24"/>
        </w:rPr>
        <w:t>“; or (c) a decision to refuse an application for a protection visa, or to cancel a protection visa, relying on one or more of the following Articles of the Refugees Convention, namely, Article 1F, 32 or 33(2).”;</w:t>
      </w:r>
    </w:p>
    <w:p w14:paraId="5B88E591" w14:textId="77777777" w:rsidR="00AB7684" w:rsidRPr="006D184B" w:rsidRDefault="00AB7684" w:rsidP="004B66B0">
      <w:pPr>
        <w:shd w:val="clear" w:color="auto" w:fill="FFFFFF"/>
        <w:tabs>
          <w:tab w:val="left" w:pos="773"/>
        </w:tabs>
        <w:spacing w:before="120"/>
        <w:ind w:left="773" w:hanging="398"/>
        <w:jc w:val="both"/>
        <w:rPr>
          <w:sz w:val="22"/>
        </w:rPr>
      </w:pPr>
      <w:r w:rsidRPr="006D184B">
        <w:rPr>
          <w:b/>
          <w:bCs/>
          <w:sz w:val="22"/>
          <w:szCs w:val="24"/>
        </w:rPr>
        <w:t>(c)</w:t>
      </w:r>
      <w:r w:rsidRPr="006D184B">
        <w:rPr>
          <w:sz w:val="22"/>
          <w:szCs w:val="24"/>
        </w:rPr>
        <w:tab/>
        <w:t>by omitting subsections (3) and (3A) and substituting the</w:t>
      </w:r>
      <w:r w:rsidR="008C7C76" w:rsidRPr="006D184B">
        <w:rPr>
          <w:sz w:val="22"/>
          <w:szCs w:val="24"/>
        </w:rPr>
        <w:t xml:space="preserve"> </w:t>
      </w:r>
      <w:r w:rsidRPr="006D184B">
        <w:rPr>
          <w:sz w:val="22"/>
          <w:szCs w:val="24"/>
        </w:rPr>
        <w:t>following subsection:</w:t>
      </w:r>
    </w:p>
    <w:p w14:paraId="2DDBC7B0" w14:textId="77777777" w:rsidR="00AB7684" w:rsidRPr="006D184B" w:rsidRDefault="00AB7684" w:rsidP="004B66B0">
      <w:pPr>
        <w:shd w:val="clear" w:color="auto" w:fill="FFFFFF"/>
        <w:spacing w:before="120"/>
        <w:ind w:left="782" w:firstLine="211"/>
        <w:jc w:val="both"/>
        <w:rPr>
          <w:sz w:val="22"/>
        </w:rPr>
      </w:pPr>
      <w:r w:rsidRPr="006D184B">
        <w:rPr>
          <w:sz w:val="22"/>
          <w:szCs w:val="24"/>
        </w:rPr>
        <w:t>“(3) A person is not entitled to make an application under subsection (1) for review of a decision referred to in paragraph (1)(b) or (c) unless the person would be entitled to seek review of the decision under Part 3 or 4A if the decision had been made on another ground.”;</w:t>
      </w:r>
    </w:p>
    <w:p w14:paraId="638886DF" w14:textId="77777777" w:rsidR="00AB7684" w:rsidRPr="006D184B" w:rsidRDefault="00AB7684" w:rsidP="004B66B0">
      <w:pPr>
        <w:shd w:val="clear" w:color="auto" w:fill="FFFFFF"/>
        <w:tabs>
          <w:tab w:val="left" w:pos="773"/>
        </w:tabs>
        <w:spacing w:before="120"/>
        <w:ind w:left="374"/>
        <w:jc w:val="both"/>
        <w:rPr>
          <w:sz w:val="22"/>
        </w:rPr>
      </w:pPr>
      <w:r w:rsidRPr="006D184B">
        <w:rPr>
          <w:b/>
          <w:bCs/>
          <w:sz w:val="22"/>
          <w:szCs w:val="24"/>
        </w:rPr>
        <w:t>(d)</w:t>
      </w:r>
      <w:r w:rsidRPr="006D184B">
        <w:rPr>
          <w:sz w:val="22"/>
          <w:szCs w:val="24"/>
        </w:rPr>
        <w:tab/>
        <w:t>by inserting in subsection (3B) “or 4A” after “Part 3”.</w:t>
      </w:r>
    </w:p>
    <w:p w14:paraId="07AB1459" w14:textId="77777777" w:rsidR="00AB7684" w:rsidRPr="006D184B" w:rsidRDefault="00AB7684" w:rsidP="004B66B0">
      <w:pPr>
        <w:shd w:val="clear" w:color="auto" w:fill="FFFFFF"/>
        <w:spacing w:before="120"/>
        <w:ind w:left="5" w:firstLine="341"/>
        <w:jc w:val="both"/>
        <w:rPr>
          <w:sz w:val="22"/>
        </w:rPr>
      </w:pPr>
      <w:r w:rsidRPr="006D184B">
        <w:rPr>
          <w:b/>
          <w:bCs/>
          <w:sz w:val="22"/>
          <w:szCs w:val="24"/>
        </w:rPr>
        <w:t>5.</w:t>
      </w:r>
      <w:r w:rsidRPr="006D184B">
        <w:rPr>
          <w:sz w:val="22"/>
          <w:szCs w:val="24"/>
        </w:rPr>
        <w:t xml:space="preserve"> After section 180 of the Principal Act the following sections are inserted:</w:t>
      </w:r>
    </w:p>
    <w:p w14:paraId="49384D0F" w14:textId="77777777" w:rsidR="00AB7684" w:rsidRPr="006D184B" w:rsidRDefault="00AB7684" w:rsidP="004B66B0">
      <w:pPr>
        <w:shd w:val="clear" w:color="auto" w:fill="FFFFFF"/>
        <w:spacing w:before="120"/>
        <w:jc w:val="both"/>
        <w:rPr>
          <w:sz w:val="22"/>
        </w:rPr>
      </w:pPr>
      <w:r w:rsidRPr="006D184B">
        <w:rPr>
          <w:b/>
          <w:bCs/>
          <w:sz w:val="22"/>
          <w:szCs w:val="24"/>
        </w:rPr>
        <w:t>Special power to refuse or to cancel visa or entry permit</w:t>
      </w:r>
    </w:p>
    <w:p w14:paraId="0FF1112B" w14:textId="77777777" w:rsidR="00AB7684" w:rsidRPr="006D184B" w:rsidRDefault="00AB7684" w:rsidP="004B66B0">
      <w:pPr>
        <w:shd w:val="clear" w:color="auto" w:fill="FFFFFF"/>
        <w:spacing w:before="120"/>
        <w:ind w:left="5" w:firstLine="346"/>
        <w:jc w:val="both"/>
        <w:rPr>
          <w:sz w:val="22"/>
        </w:rPr>
      </w:pPr>
      <w:r w:rsidRPr="006D184B">
        <w:rPr>
          <w:sz w:val="22"/>
          <w:szCs w:val="24"/>
        </w:rPr>
        <w:t>“180A.(1) The Minister may refuse to grant a visa or an entry permit to a person, or may cancel a valid visa or a valid entry permit that has been granted to a person, if:</w:t>
      </w:r>
    </w:p>
    <w:p w14:paraId="2E2C547F" w14:textId="77777777" w:rsidR="00AB7684" w:rsidRPr="006D184B" w:rsidRDefault="00AB7684" w:rsidP="004B66B0">
      <w:pPr>
        <w:numPr>
          <w:ilvl w:val="0"/>
          <w:numId w:val="4"/>
        </w:numPr>
        <w:shd w:val="clear" w:color="auto" w:fill="FFFFFF"/>
        <w:tabs>
          <w:tab w:val="left" w:pos="792"/>
        </w:tabs>
        <w:spacing w:before="120"/>
        <w:ind w:left="394"/>
        <w:jc w:val="both"/>
        <w:rPr>
          <w:sz w:val="22"/>
          <w:szCs w:val="24"/>
        </w:rPr>
      </w:pPr>
      <w:r w:rsidRPr="006D184B">
        <w:rPr>
          <w:sz w:val="22"/>
          <w:szCs w:val="24"/>
        </w:rPr>
        <w:t>subsection (2) applies to the person; or</w:t>
      </w:r>
    </w:p>
    <w:p w14:paraId="75B2569D" w14:textId="77777777" w:rsidR="00AB7684" w:rsidRPr="006D184B" w:rsidRDefault="00AB7684" w:rsidP="004B66B0">
      <w:pPr>
        <w:numPr>
          <w:ilvl w:val="0"/>
          <w:numId w:val="4"/>
        </w:numPr>
        <w:shd w:val="clear" w:color="auto" w:fill="FFFFFF"/>
        <w:tabs>
          <w:tab w:val="left" w:pos="792"/>
        </w:tabs>
        <w:spacing w:before="120"/>
        <w:ind w:left="792" w:hanging="398"/>
        <w:jc w:val="both"/>
        <w:rPr>
          <w:sz w:val="22"/>
          <w:szCs w:val="24"/>
        </w:rPr>
      </w:pPr>
      <w:r w:rsidRPr="006D184B">
        <w:rPr>
          <w:sz w:val="22"/>
          <w:szCs w:val="24"/>
        </w:rPr>
        <w:t>the Minister is satisfied that, if the person were allowed to enter or to remain in Australia, the person would:</w:t>
      </w:r>
    </w:p>
    <w:p w14:paraId="55B1B401" w14:textId="77777777" w:rsidR="00AB7684" w:rsidRPr="006D184B" w:rsidRDefault="00AB7684" w:rsidP="004B66B0">
      <w:pPr>
        <w:shd w:val="clear" w:color="auto" w:fill="FFFFFF"/>
        <w:spacing w:before="120"/>
        <w:ind w:left="1109"/>
        <w:jc w:val="both"/>
        <w:rPr>
          <w:sz w:val="22"/>
        </w:rPr>
      </w:pPr>
      <w:r w:rsidRPr="006D184B">
        <w:rPr>
          <w:sz w:val="22"/>
          <w:szCs w:val="24"/>
        </w:rPr>
        <w:t>(</w:t>
      </w:r>
      <w:proofErr w:type="spellStart"/>
      <w:r w:rsidRPr="006D184B">
        <w:rPr>
          <w:sz w:val="22"/>
          <w:szCs w:val="24"/>
        </w:rPr>
        <w:t>i</w:t>
      </w:r>
      <w:proofErr w:type="spellEnd"/>
      <w:r w:rsidRPr="006D184B">
        <w:rPr>
          <w:sz w:val="22"/>
          <w:szCs w:val="24"/>
        </w:rPr>
        <w:t>)</w:t>
      </w:r>
      <w:r w:rsidR="000B1BBB">
        <w:rPr>
          <w:sz w:val="22"/>
          <w:szCs w:val="24"/>
        </w:rPr>
        <w:tab/>
      </w:r>
      <w:r w:rsidRPr="006D184B">
        <w:rPr>
          <w:sz w:val="22"/>
          <w:szCs w:val="24"/>
        </w:rPr>
        <w:t>be likely to engage in criminal conduct in Australia; or</w:t>
      </w:r>
    </w:p>
    <w:p w14:paraId="1D5364A8" w14:textId="77777777" w:rsidR="00AB7684" w:rsidRPr="006D184B" w:rsidRDefault="00AB7684" w:rsidP="004B66B0">
      <w:pPr>
        <w:shd w:val="clear" w:color="auto" w:fill="FFFFFF"/>
        <w:spacing w:before="120"/>
        <w:ind w:left="1032"/>
        <w:jc w:val="both"/>
        <w:rPr>
          <w:sz w:val="22"/>
        </w:rPr>
      </w:pPr>
      <w:r w:rsidRPr="006D184B">
        <w:rPr>
          <w:sz w:val="22"/>
          <w:szCs w:val="24"/>
        </w:rPr>
        <w:t>(ii)</w:t>
      </w:r>
      <w:r w:rsidR="000B1BBB">
        <w:rPr>
          <w:sz w:val="22"/>
          <w:szCs w:val="24"/>
        </w:rPr>
        <w:tab/>
      </w:r>
      <w:r w:rsidRPr="006D184B">
        <w:rPr>
          <w:sz w:val="22"/>
          <w:szCs w:val="24"/>
        </w:rPr>
        <w:t>vilify a segment of the Australian community; or</w:t>
      </w:r>
    </w:p>
    <w:p w14:paraId="23492FCA" w14:textId="77777777" w:rsidR="00AB7684" w:rsidRPr="006D184B" w:rsidRDefault="00AB7684" w:rsidP="004B66B0">
      <w:pPr>
        <w:shd w:val="clear" w:color="auto" w:fill="FFFFFF"/>
        <w:spacing w:before="120"/>
        <w:ind w:left="1450" w:hanging="480"/>
        <w:jc w:val="both"/>
        <w:rPr>
          <w:sz w:val="22"/>
        </w:rPr>
      </w:pPr>
      <w:r w:rsidRPr="006D184B">
        <w:rPr>
          <w:sz w:val="22"/>
          <w:szCs w:val="24"/>
        </w:rPr>
        <w:t>(iii)</w:t>
      </w:r>
      <w:r w:rsidR="000B1BBB">
        <w:rPr>
          <w:sz w:val="22"/>
          <w:szCs w:val="24"/>
        </w:rPr>
        <w:tab/>
      </w:r>
      <w:r w:rsidRPr="006D184B">
        <w:rPr>
          <w:sz w:val="22"/>
          <w:szCs w:val="24"/>
        </w:rPr>
        <w:t>incite discord in the Australian community or in a segment of that community; or</w:t>
      </w:r>
    </w:p>
    <w:p w14:paraId="49BB190C" w14:textId="77777777" w:rsidR="00AB7684" w:rsidRPr="006D184B" w:rsidRDefault="00AB7684" w:rsidP="004B66B0">
      <w:pPr>
        <w:shd w:val="clear" w:color="auto" w:fill="FFFFFF"/>
        <w:spacing w:before="120"/>
        <w:ind w:left="1450" w:hanging="461"/>
        <w:jc w:val="both"/>
        <w:rPr>
          <w:sz w:val="22"/>
        </w:rPr>
      </w:pPr>
      <w:r w:rsidRPr="006D184B">
        <w:rPr>
          <w:sz w:val="22"/>
          <w:szCs w:val="24"/>
        </w:rPr>
        <w:t>(iv)</w:t>
      </w:r>
      <w:r w:rsidR="000B1BBB">
        <w:rPr>
          <w:sz w:val="22"/>
          <w:szCs w:val="24"/>
        </w:rPr>
        <w:tab/>
      </w:r>
      <w:r w:rsidRPr="006D184B">
        <w:rPr>
          <w:sz w:val="22"/>
          <w:szCs w:val="24"/>
        </w:rPr>
        <w:t>represent a danger to the Australian community or to a segment of that community, whether by way of being liable to become involved in activities that are disruptive to, or violence threatening harm to, that community or segment, or in any other way.</w:t>
      </w:r>
    </w:p>
    <w:p w14:paraId="29BCB1D6" w14:textId="77777777" w:rsidR="00AB7684" w:rsidRPr="006D184B" w:rsidRDefault="00AB7684" w:rsidP="004B66B0">
      <w:pPr>
        <w:shd w:val="clear" w:color="auto" w:fill="FFFFFF"/>
        <w:spacing w:before="120"/>
        <w:ind w:left="360"/>
        <w:jc w:val="both"/>
        <w:rPr>
          <w:sz w:val="22"/>
        </w:rPr>
      </w:pPr>
      <w:r w:rsidRPr="006D184B">
        <w:rPr>
          <w:sz w:val="22"/>
          <w:szCs w:val="24"/>
        </w:rPr>
        <w:t>“(2) This subsection applies to a person if the Minister:</w:t>
      </w:r>
    </w:p>
    <w:p w14:paraId="46FF155D" w14:textId="77777777" w:rsidR="00AB7684" w:rsidRPr="006D184B" w:rsidRDefault="00AB7684" w:rsidP="004B66B0">
      <w:pPr>
        <w:shd w:val="clear" w:color="auto" w:fill="FFFFFF"/>
        <w:tabs>
          <w:tab w:val="left" w:pos="806"/>
        </w:tabs>
        <w:spacing w:before="120"/>
        <w:ind w:left="408"/>
        <w:jc w:val="both"/>
        <w:rPr>
          <w:sz w:val="22"/>
        </w:rPr>
      </w:pPr>
      <w:r w:rsidRPr="006D184B">
        <w:rPr>
          <w:sz w:val="22"/>
          <w:szCs w:val="24"/>
        </w:rPr>
        <w:t>(a)</w:t>
      </w:r>
      <w:r w:rsidRPr="006D184B">
        <w:rPr>
          <w:sz w:val="22"/>
          <w:szCs w:val="24"/>
        </w:rPr>
        <w:tab/>
        <w:t>having regard to:</w:t>
      </w:r>
    </w:p>
    <w:p w14:paraId="42E37A96" w14:textId="77777777" w:rsidR="00AB7684" w:rsidRPr="006D184B" w:rsidRDefault="00AB7684" w:rsidP="004B66B0">
      <w:pPr>
        <w:shd w:val="clear" w:color="auto" w:fill="FFFFFF"/>
        <w:spacing w:before="120"/>
        <w:ind w:left="1114"/>
        <w:jc w:val="both"/>
        <w:rPr>
          <w:sz w:val="22"/>
        </w:rPr>
      </w:pPr>
      <w:r w:rsidRPr="006D184B">
        <w:rPr>
          <w:sz w:val="22"/>
          <w:szCs w:val="24"/>
        </w:rPr>
        <w:t>(</w:t>
      </w:r>
      <w:proofErr w:type="spellStart"/>
      <w:r w:rsidRPr="006D184B">
        <w:rPr>
          <w:sz w:val="22"/>
          <w:szCs w:val="24"/>
        </w:rPr>
        <w:t>i</w:t>
      </w:r>
      <w:proofErr w:type="spellEnd"/>
      <w:r w:rsidRPr="006D184B">
        <w:rPr>
          <w:sz w:val="22"/>
          <w:szCs w:val="24"/>
        </w:rPr>
        <w:t>) the person’s past criminal conduct; or</w:t>
      </w:r>
    </w:p>
    <w:p w14:paraId="2BE29241" w14:textId="77777777" w:rsidR="00AB7684" w:rsidRPr="006D184B" w:rsidRDefault="00AB7684" w:rsidP="004B66B0">
      <w:pPr>
        <w:shd w:val="clear" w:color="auto" w:fill="FFFFFF"/>
        <w:spacing w:before="120"/>
        <w:ind w:left="1046"/>
        <w:jc w:val="both"/>
        <w:rPr>
          <w:sz w:val="22"/>
        </w:rPr>
      </w:pPr>
      <w:r w:rsidRPr="006D184B">
        <w:rPr>
          <w:sz w:val="22"/>
          <w:szCs w:val="24"/>
        </w:rPr>
        <w:t>(ii) the person’s general conduct;</w:t>
      </w:r>
    </w:p>
    <w:p w14:paraId="2E117F36" w14:textId="77777777" w:rsidR="00AB7684" w:rsidRPr="006D184B" w:rsidRDefault="00AB7684" w:rsidP="004B66B0">
      <w:pPr>
        <w:shd w:val="clear" w:color="auto" w:fill="FFFFFF"/>
        <w:spacing w:before="120"/>
        <w:ind w:left="816"/>
        <w:jc w:val="both"/>
        <w:rPr>
          <w:sz w:val="22"/>
        </w:rPr>
      </w:pPr>
      <w:r w:rsidRPr="006D184B">
        <w:rPr>
          <w:sz w:val="22"/>
          <w:szCs w:val="24"/>
        </w:rPr>
        <w:t>is satisfied that the person is not of good character; or</w:t>
      </w:r>
    </w:p>
    <w:p w14:paraId="704A0BE9" w14:textId="77777777" w:rsidR="00AB7684" w:rsidRPr="006D184B" w:rsidRDefault="00AB7684" w:rsidP="004B66B0">
      <w:pPr>
        <w:shd w:val="clear" w:color="auto" w:fill="FFFFFF"/>
        <w:tabs>
          <w:tab w:val="left" w:pos="806"/>
        </w:tabs>
        <w:spacing w:before="120"/>
        <w:ind w:left="806" w:hanging="398"/>
        <w:jc w:val="both"/>
        <w:rPr>
          <w:sz w:val="22"/>
        </w:rPr>
      </w:pPr>
      <w:r w:rsidRPr="006D184B">
        <w:rPr>
          <w:sz w:val="22"/>
          <w:szCs w:val="24"/>
        </w:rPr>
        <w:t>(b)</w:t>
      </w:r>
      <w:r w:rsidRPr="006D184B">
        <w:rPr>
          <w:sz w:val="22"/>
          <w:szCs w:val="24"/>
        </w:rPr>
        <w:tab/>
        <w:t>is satisfied that the person is not of good character because of</w:t>
      </w:r>
      <w:r w:rsidR="008C7C76" w:rsidRPr="006D184B">
        <w:rPr>
          <w:sz w:val="22"/>
          <w:szCs w:val="24"/>
        </w:rPr>
        <w:t xml:space="preserve"> </w:t>
      </w:r>
      <w:r w:rsidRPr="006D184B">
        <w:rPr>
          <w:sz w:val="22"/>
          <w:szCs w:val="24"/>
        </w:rPr>
        <w:t>the person’s association with another person, or with a group</w:t>
      </w:r>
      <w:r w:rsidR="008C7C76" w:rsidRPr="006D184B">
        <w:rPr>
          <w:sz w:val="22"/>
          <w:szCs w:val="24"/>
        </w:rPr>
        <w:t xml:space="preserve"> </w:t>
      </w:r>
      <w:r w:rsidRPr="006D184B">
        <w:rPr>
          <w:sz w:val="22"/>
          <w:szCs w:val="24"/>
        </w:rPr>
        <w:t>or organisation, who or that the Minister has reasonable grounds</w:t>
      </w:r>
      <w:r w:rsidR="008C7C76" w:rsidRPr="006D184B">
        <w:rPr>
          <w:sz w:val="22"/>
          <w:szCs w:val="24"/>
        </w:rPr>
        <w:t xml:space="preserve"> </w:t>
      </w:r>
      <w:r w:rsidRPr="006D184B">
        <w:rPr>
          <w:sz w:val="22"/>
          <w:szCs w:val="24"/>
        </w:rPr>
        <w:t>to believe has been or is involved in criminal conduct.</w:t>
      </w:r>
    </w:p>
    <w:p w14:paraId="63B7ECEB" w14:textId="77777777" w:rsidR="00AB7684" w:rsidRPr="006D184B" w:rsidRDefault="00AB7684" w:rsidP="004B66B0">
      <w:pPr>
        <w:shd w:val="clear" w:color="auto" w:fill="FFFFFF"/>
        <w:tabs>
          <w:tab w:val="left" w:pos="806"/>
        </w:tabs>
        <w:spacing w:before="120"/>
        <w:ind w:left="806" w:hanging="398"/>
        <w:jc w:val="both"/>
        <w:rPr>
          <w:sz w:val="22"/>
        </w:rPr>
        <w:sectPr w:rsidR="00AB7684" w:rsidRPr="006D184B" w:rsidSect="008C7C76">
          <w:pgSz w:w="12240" w:h="15840" w:code="1"/>
          <w:pgMar w:top="1440" w:right="1440" w:bottom="1440" w:left="1440" w:header="720" w:footer="720" w:gutter="0"/>
          <w:cols w:space="60"/>
          <w:noEndnote/>
        </w:sectPr>
      </w:pPr>
    </w:p>
    <w:p w14:paraId="2208D634" w14:textId="77777777" w:rsidR="00AB7684" w:rsidRPr="006D184B" w:rsidRDefault="00AB7684" w:rsidP="004B66B0">
      <w:pPr>
        <w:shd w:val="clear" w:color="auto" w:fill="FFFFFF"/>
        <w:spacing w:before="120"/>
        <w:ind w:firstLine="346"/>
        <w:jc w:val="both"/>
        <w:rPr>
          <w:sz w:val="22"/>
        </w:rPr>
      </w:pPr>
      <w:r w:rsidRPr="006D184B">
        <w:rPr>
          <w:sz w:val="22"/>
          <w:szCs w:val="24"/>
        </w:rPr>
        <w:lastRenderedPageBreak/>
        <w:t>“(3) The power under this section to refuse to grant a visa or an entry permit to a person, or to cancel a valid visa or a valid entry permit that has been granted to a person, is in addition to any other power under this Act, as in force from time to time, to refuse to grant a visa or an entry permit to a person, or to cancel a valid visa or a valid entry permit that has been granted to a person.</w:t>
      </w:r>
    </w:p>
    <w:p w14:paraId="480E52C5" w14:textId="77777777" w:rsidR="00AB7684" w:rsidRPr="006D184B" w:rsidRDefault="00AB7684" w:rsidP="004B66B0">
      <w:pPr>
        <w:shd w:val="clear" w:color="auto" w:fill="FFFFFF"/>
        <w:spacing w:before="120"/>
        <w:ind w:left="10"/>
        <w:jc w:val="both"/>
        <w:rPr>
          <w:sz w:val="22"/>
        </w:rPr>
      </w:pPr>
      <w:r w:rsidRPr="006D184B">
        <w:rPr>
          <w:b/>
          <w:bCs/>
          <w:sz w:val="22"/>
          <w:szCs w:val="24"/>
        </w:rPr>
        <w:t>Minister may decide in the national interest that certain persons are to be excluded persons</w:t>
      </w:r>
    </w:p>
    <w:p w14:paraId="688A2D26" w14:textId="77777777" w:rsidR="00AB7684" w:rsidRPr="006D184B" w:rsidRDefault="00AB7684" w:rsidP="004B66B0">
      <w:pPr>
        <w:shd w:val="clear" w:color="auto" w:fill="FFFFFF"/>
        <w:spacing w:before="120"/>
        <w:ind w:left="355"/>
        <w:jc w:val="both"/>
        <w:rPr>
          <w:sz w:val="22"/>
        </w:rPr>
      </w:pPr>
      <w:r w:rsidRPr="006D184B">
        <w:rPr>
          <w:sz w:val="22"/>
          <w:szCs w:val="24"/>
        </w:rPr>
        <w:t>“180B.(1) If:</w:t>
      </w:r>
    </w:p>
    <w:p w14:paraId="17F305FD" w14:textId="77777777" w:rsidR="00AB7684" w:rsidRPr="006D184B" w:rsidRDefault="00AB7684" w:rsidP="004B66B0">
      <w:pPr>
        <w:numPr>
          <w:ilvl w:val="0"/>
          <w:numId w:val="5"/>
        </w:numPr>
        <w:shd w:val="clear" w:color="auto" w:fill="FFFFFF"/>
        <w:tabs>
          <w:tab w:val="left" w:pos="787"/>
        </w:tabs>
        <w:spacing w:before="120"/>
        <w:ind w:left="787" w:hanging="389"/>
        <w:jc w:val="both"/>
        <w:rPr>
          <w:sz w:val="22"/>
          <w:szCs w:val="24"/>
        </w:rPr>
      </w:pPr>
      <w:r w:rsidRPr="006D184B">
        <w:rPr>
          <w:sz w:val="22"/>
          <w:szCs w:val="24"/>
        </w:rPr>
        <w:t>the Minister, acting personally, intends to make a decision under section 55 or 180A in relation to a person; and</w:t>
      </w:r>
    </w:p>
    <w:p w14:paraId="61398610" w14:textId="77777777" w:rsidR="00AB7684" w:rsidRPr="006D184B" w:rsidRDefault="00AB7684" w:rsidP="004B66B0">
      <w:pPr>
        <w:numPr>
          <w:ilvl w:val="0"/>
          <w:numId w:val="5"/>
        </w:numPr>
        <w:shd w:val="clear" w:color="auto" w:fill="FFFFFF"/>
        <w:tabs>
          <w:tab w:val="left" w:pos="787"/>
        </w:tabs>
        <w:spacing w:before="120"/>
        <w:ind w:left="787" w:hanging="389"/>
        <w:jc w:val="both"/>
        <w:rPr>
          <w:sz w:val="22"/>
          <w:szCs w:val="24"/>
        </w:rPr>
      </w:pPr>
      <w:r w:rsidRPr="006D184B">
        <w:rPr>
          <w:sz w:val="22"/>
          <w:szCs w:val="24"/>
        </w:rPr>
        <w:t>the Minister decides that, because of the seriousness of the circumstances giving rise to the making of that decision, it is in the national interest that the person be declared to be an excluded person;</w:t>
      </w:r>
    </w:p>
    <w:p w14:paraId="76D8F4C4" w14:textId="77777777" w:rsidR="00AB7684" w:rsidRPr="006D184B" w:rsidRDefault="00AB7684" w:rsidP="004B66B0">
      <w:pPr>
        <w:shd w:val="clear" w:color="auto" w:fill="FFFFFF"/>
        <w:spacing w:before="120"/>
        <w:ind w:left="19"/>
        <w:jc w:val="both"/>
        <w:rPr>
          <w:sz w:val="22"/>
        </w:rPr>
      </w:pPr>
      <w:r w:rsidRPr="006D184B">
        <w:rPr>
          <w:sz w:val="22"/>
          <w:szCs w:val="24"/>
        </w:rPr>
        <w:t>the Minister may, as part of the decision, include a certificate declaring the person to be an excluded person.</w:t>
      </w:r>
    </w:p>
    <w:p w14:paraId="7C33050D" w14:textId="77777777" w:rsidR="00AB7684" w:rsidRPr="006D184B" w:rsidRDefault="00AB7684" w:rsidP="004B66B0">
      <w:pPr>
        <w:shd w:val="clear" w:color="auto" w:fill="FFFFFF"/>
        <w:spacing w:before="120"/>
        <w:ind w:left="19" w:firstLine="341"/>
        <w:jc w:val="both"/>
        <w:rPr>
          <w:sz w:val="22"/>
        </w:rPr>
      </w:pPr>
      <w:r w:rsidRPr="006D184B">
        <w:rPr>
          <w:sz w:val="22"/>
          <w:szCs w:val="24"/>
        </w:rPr>
        <w:t>“(2) A decision under subsection (1) must be taken by the Minister personally.</w:t>
      </w:r>
    </w:p>
    <w:p w14:paraId="4C55BBAF" w14:textId="77777777" w:rsidR="00AB7684" w:rsidRPr="006D184B" w:rsidRDefault="00AB7684" w:rsidP="004B66B0">
      <w:pPr>
        <w:shd w:val="clear" w:color="auto" w:fill="FFFFFF"/>
        <w:spacing w:before="120"/>
        <w:ind w:left="19" w:firstLine="341"/>
        <w:jc w:val="both"/>
        <w:rPr>
          <w:sz w:val="22"/>
        </w:rPr>
      </w:pPr>
      <w:r w:rsidRPr="006D184B">
        <w:rPr>
          <w:sz w:val="22"/>
          <w:szCs w:val="24"/>
        </w:rPr>
        <w:t>“(3) If the Minister makes a decision under subsection (1), the Minister must cause notice of the making of the decision to be laid before each House of the Parliament within 15 sitting days of that House after the day on which the decision was made.</w:t>
      </w:r>
    </w:p>
    <w:p w14:paraId="100DFB13" w14:textId="77777777" w:rsidR="00AB7684" w:rsidRPr="006D184B" w:rsidRDefault="00AB7684" w:rsidP="004B66B0">
      <w:pPr>
        <w:shd w:val="clear" w:color="auto" w:fill="FFFFFF"/>
        <w:spacing w:before="120"/>
        <w:ind w:left="24"/>
        <w:jc w:val="both"/>
        <w:rPr>
          <w:sz w:val="22"/>
        </w:rPr>
      </w:pPr>
      <w:r w:rsidRPr="006D184B">
        <w:rPr>
          <w:b/>
          <w:bCs/>
          <w:sz w:val="22"/>
          <w:szCs w:val="24"/>
        </w:rPr>
        <w:t>Exclusion of certain persons from Australia</w:t>
      </w:r>
    </w:p>
    <w:p w14:paraId="0365BADC" w14:textId="77777777" w:rsidR="00AB7684" w:rsidRPr="006D184B" w:rsidRDefault="00AB7684" w:rsidP="004B66B0">
      <w:pPr>
        <w:shd w:val="clear" w:color="auto" w:fill="FFFFFF"/>
        <w:spacing w:before="120"/>
        <w:ind w:left="34" w:firstLine="331"/>
        <w:jc w:val="both"/>
        <w:rPr>
          <w:sz w:val="22"/>
        </w:rPr>
      </w:pPr>
      <w:r w:rsidRPr="006D184B">
        <w:rPr>
          <w:sz w:val="22"/>
          <w:szCs w:val="24"/>
        </w:rPr>
        <w:t>“180C.(1) A person in relation to whom a decision under section 55 or 180A has been made is not entitled to enter Australia or to be in Australia at any time during the period determined under the regulations.</w:t>
      </w:r>
    </w:p>
    <w:p w14:paraId="70BE2AD0" w14:textId="77777777" w:rsidR="00AB7684" w:rsidRPr="006D184B" w:rsidRDefault="00AB7684" w:rsidP="004B66B0">
      <w:pPr>
        <w:shd w:val="clear" w:color="auto" w:fill="FFFFFF"/>
        <w:spacing w:before="120"/>
        <w:ind w:left="24" w:firstLine="346"/>
        <w:jc w:val="both"/>
        <w:rPr>
          <w:sz w:val="22"/>
        </w:rPr>
      </w:pPr>
      <w:r w:rsidRPr="006D184B">
        <w:rPr>
          <w:sz w:val="22"/>
          <w:szCs w:val="24"/>
        </w:rPr>
        <w:t>“(2) The period referred to in subsection (1) commences, in the case of a person who has been deported or removed from Australia, when the person is so deported or removed.</w:t>
      </w:r>
    </w:p>
    <w:p w14:paraId="4A7D63CD" w14:textId="77777777" w:rsidR="00AB7684" w:rsidRPr="006D184B" w:rsidRDefault="00AB7684" w:rsidP="004B66B0">
      <w:pPr>
        <w:shd w:val="clear" w:color="auto" w:fill="FFFFFF"/>
        <w:spacing w:before="120"/>
        <w:ind w:left="34" w:firstLine="341"/>
        <w:jc w:val="both"/>
        <w:rPr>
          <w:sz w:val="22"/>
        </w:rPr>
      </w:pPr>
      <w:r w:rsidRPr="006D184B">
        <w:rPr>
          <w:sz w:val="22"/>
          <w:szCs w:val="24"/>
        </w:rPr>
        <w:t>“(3) Different periods may be prescribed under subsection (1) in relation to different situations.”.</w:t>
      </w:r>
    </w:p>
    <w:p w14:paraId="476A7B3A" w14:textId="77777777" w:rsidR="00AB7684" w:rsidRPr="006D184B" w:rsidRDefault="00AB7684" w:rsidP="004B66B0">
      <w:pPr>
        <w:shd w:val="clear" w:color="auto" w:fill="FFFFFF"/>
        <w:spacing w:before="120"/>
        <w:ind w:left="34"/>
        <w:jc w:val="both"/>
        <w:rPr>
          <w:sz w:val="22"/>
        </w:rPr>
      </w:pPr>
      <w:r w:rsidRPr="006D184B">
        <w:rPr>
          <w:b/>
          <w:bCs/>
          <w:sz w:val="22"/>
          <w:szCs w:val="24"/>
        </w:rPr>
        <w:t>Minister may decide in the national interest that certain persons are to be excluded persons</w:t>
      </w:r>
    </w:p>
    <w:p w14:paraId="5B062C0C" w14:textId="77777777" w:rsidR="00AB7684" w:rsidRPr="006D184B" w:rsidRDefault="00AB7684" w:rsidP="004B66B0">
      <w:pPr>
        <w:shd w:val="clear" w:color="auto" w:fill="FFFFFF"/>
        <w:spacing w:before="120"/>
        <w:ind w:left="34" w:firstLine="331"/>
        <w:jc w:val="both"/>
        <w:rPr>
          <w:sz w:val="22"/>
        </w:rPr>
      </w:pPr>
      <w:r w:rsidRPr="006D184B">
        <w:rPr>
          <w:b/>
          <w:bCs/>
          <w:sz w:val="22"/>
          <w:szCs w:val="24"/>
        </w:rPr>
        <w:t xml:space="preserve">6. </w:t>
      </w:r>
      <w:r w:rsidRPr="006D184B">
        <w:rPr>
          <w:sz w:val="22"/>
          <w:szCs w:val="24"/>
        </w:rPr>
        <w:t>Section 180B of the Principal Act is amended by omitting paragraph (1)(a) and substituting the following paragraph:</w:t>
      </w:r>
    </w:p>
    <w:p w14:paraId="16D4A93F" w14:textId="77777777" w:rsidR="00AB7684" w:rsidRPr="006D184B" w:rsidRDefault="00AB7684" w:rsidP="004B66B0">
      <w:pPr>
        <w:shd w:val="clear" w:color="auto" w:fill="FFFFFF"/>
        <w:spacing w:before="120"/>
        <w:ind w:left="437"/>
        <w:jc w:val="both"/>
        <w:rPr>
          <w:sz w:val="22"/>
        </w:rPr>
      </w:pPr>
      <w:r w:rsidRPr="006D184B">
        <w:rPr>
          <w:sz w:val="22"/>
          <w:szCs w:val="24"/>
        </w:rPr>
        <w:t>“(a) the Minister, acting personally, intends to make a decision:</w:t>
      </w:r>
    </w:p>
    <w:p w14:paraId="776D840A" w14:textId="77777777" w:rsidR="00AB7684" w:rsidRPr="006D184B" w:rsidRDefault="00AB7684" w:rsidP="004B66B0">
      <w:pPr>
        <w:shd w:val="clear" w:color="auto" w:fill="FFFFFF"/>
        <w:spacing w:before="120"/>
        <w:ind w:left="1565" w:hanging="317"/>
        <w:jc w:val="both"/>
        <w:rPr>
          <w:sz w:val="22"/>
        </w:rPr>
      </w:pPr>
      <w:r w:rsidRPr="006D184B">
        <w:rPr>
          <w:sz w:val="22"/>
          <w:szCs w:val="24"/>
        </w:rPr>
        <w:t>(</w:t>
      </w:r>
      <w:proofErr w:type="spellStart"/>
      <w:r w:rsidRPr="006D184B">
        <w:rPr>
          <w:sz w:val="22"/>
          <w:szCs w:val="24"/>
        </w:rPr>
        <w:t>i</w:t>
      </w:r>
      <w:proofErr w:type="spellEnd"/>
      <w:r w:rsidRPr="006D184B">
        <w:rPr>
          <w:sz w:val="22"/>
          <w:szCs w:val="24"/>
        </w:rPr>
        <w:t>) under section 55A because of circumstances specified in section 55; or</w:t>
      </w:r>
    </w:p>
    <w:p w14:paraId="3F6F6FA4" w14:textId="77777777" w:rsidR="00AB7684" w:rsidRPr="006D184B" w:rsidRDefault="00AB7684" w:rsidP="004B66B0">
      <w:pPr>
        <w:shd w:val="clear" w:color="auto" w:fill="FFFFFF"/>
        <w:spacing w:before="120"/>
        <w:ind w:left="1181"/>
        <w:jc w:val="both"/>
        <w:rPr>
          <w:sz w:val="22"/>
        </w:rPr>
      </w:pPr>
      <w:r w:rsidRPr="006D184B">
        <w:rPr>
          <w:sz w:val="22"/>
          <w:szCs w:val="24"/>
        </w:rPr>
        <w:t>(ii) under section 180A; or</w:t>
      </w:r>
    </w:p>
    <w:p w14:paraId="311AB1BC" w14:textId="77777777" w:rsidR="00AB7684" w:rsidRPr="006D184B" w:rsidRDefault="00AB7684" w:rsidP="004B66B0">
      <w:pPr>
        <w:shd w:val="clear" w:color="auto" w:fill="FFFFFF"/>
        <w:spacing w:before="120"/>
        <w:ind w:left="1181"/>
        <w:jc w:val="both"/>
        <w:rPr>
          <w:sz w:val="22"/>
        </w:rPr>
        <w:sectPr w:rsidR="00AB7684" w:rsidRPr="006D184B" w:rsidSect="008C7C76">
          <w:pgSz w:w="12240" w:h="15840" w:code="1"/>
          <w:pgMar w:top="1440" w:right="1440" w:bottom="1440" w:left="1440" w:header="720" w:footer="720" w:gutter="0"/>
          <w:cols w:space="60"/>
          <w:noEndnote/>
        </w:sectPr>
      </w:pPr>
    </w:p>
    <w:p w14:paraId="682133E4" w14:textId="77777777" w:rsidR="00AB7684" w:rsidRPr="006D184B" w:rsidRDefault="00AB7684" w:rsidP="004B66B0">
      <w:pPr>
        <w:shd w:val="clear" w:color="auto" w:fill="FFFFFF"/>
        <w:spacing w:before="120"/>
        <w:ind w:left="1560" w:hanging="451"/>
        <w:jc w:val="both"/>
        <w:rPr>
          <w:sz w:val="22"/>
        </w:rPr>
      </w:pPr>
      <w:r w:rsidRPr="006D184B">
        <w:rPr>
          <w:sz w:val="22"/>
          <w:szCs w:val="24"/>
        </w:rPr>
        <w:lastRenderedPageBreak/>
        <w:t>(iii)</w:t>
      </w:r>
      <w:r w:rsidR="000B1BBB">
        <w:rPr>
          <w:sz w:val="22"/>
          <w:szCs w:val="24"/>
        </w:rPr>
        <w:tab/>
      </w:r>
      <w:r w:rsidRPr="006D184B">
        <w:rPr>
          <w:sz w:val="22"/>
          <w:szCs w:val="24"/>
        </w:rPr>
        <w:t>to refuse an application for a protection visa, or to cancel a protection visa, relying on one or more of the following Articles of the Refugees Convention, namely, Article 1F, 32 or 33(2);</w:t>
      </w:r>
    </w:p>
    <w:p w14:paraId="5CD08D50" w14:textId="77777777" w:rsidR="00AB7684" w:rsidRPr="006D184B" w:rsidRDefault="00AB7684" w:rsidP="004B66B0">
      <w:pPr>
        <w:shd w:val="clear" w:color="auto" w:fill="FFFFFF"/>
        <w:spacing w:before="120"/>
        <w:ind w:left="917"/>
        <w:jc w:val="both"/>
        <w:rPr>
          <w:sz w:val="22"/>
        </w:rPr>
      </w:pPr>
      <w:r w:rsidRPr="006D184B">
        <w:rPr>
          <w:sz w:val="22"/>
          <w:szCs w:val="24"/>
        </w:rPr>
        <w:t>in relation to a person; and”.</w:t>
      </w:r>
    </w:p>
    <w:p w14:paraId="47CA2DF3" w14:textId="77777777" w:rsidR="00AB7684" w:rsidRPr="006D184B" w:rsidRDefault="00AB7684" w:rsidP="004B66B0">
      <w:pPr>
        <w:shd w:val="clear" w:color="auto" w:fill="FFFFFF"/>
        <w:spacing w:before="120"/>
        <w:jc w:val="both"/>
        <w:rPr>
          <w:sz w:val="22"/>
        </w:rPr>
      </w:pPr>
      <w:r w:rsidRPr="006D184B">
        <w:rPr>
          <w:b/>
          <w:bCs/>
          <w:sz w:val="22"/>
          <w:szCs w:val="24"/>
        </w:rPr>
        <w:t>Exclusion of certain persons from Australia</w:t>
      </w:r>
    </w:p>
    <w:p w14:paraId="32518EBB" w14:textId="77777777" w:rsidR="00AB7684" w:rsidRPr="006D184B" w:rsidRDefault="00AB7684" w:rsidP="004B66B0">
      <w:pPr>
        <w:shd w:val="clear" w:color="auto" w:fill="FFFFFF"/>
        <w:spacing w:before="120"/>
        <w:ind w:firstLine="341"/>
        <w:jc w:val="both"/>
        <w:rPr>
          <w:sz w:val="22"/>
        </w:rPr>
      </w:pPr>
      <w:r w:rsidRPr="006D184B">
        <w:rPr>
          <w:b/>
          <w:bCs/>
          <w:sz w:val="22"/>
          <w:szCs w:val="24"/>
        </w:rPr>
        <w:t xml:space="preserve">7. </w:t>
      </w:r>
      <w:r w:rsidRPr="006D184B">
        <w:rPr>
          <w:sz w:val="22"/>
          <w:szCs w:val="24"/>
        </w:rPr>
        <w:t>Section 180C of the Principal Act is amended by omitting subsection (1) and substituting the following subsection:</w:t>
      </w:r>
    </w:p>
    <w:p w14:paraId="7DDD7266" w14:textId="77777777" w:rsidR="00AB7684" w:rsidRPr="006D184B" w:rsidRDefault="00AB7684" w:rsidP="004B66B0">
      <w:pPr>
        <w:shd w:val="clear" w:color="auto" w:fill="FFFFFF"/>
        <w:spacing w:before="120"/>
        <w:ind w:left="346"/>
        <w:jc w:val="both"/>
        <w:rPr>
          <w:sz w:val="22"/>
        </w:rPr>
      </w:pPr>
      <w:r w:rsidRPr="006D184B">
        <w:rPr>
          <w:sz w:val="22"/>
          <w:szCs w:val="24"/>
        </w:rPr>
        <w:t>“(1) A person in relation to whom a decision has been made:</w:t>
      </w:r>
    </w:p>
    <w:p w14:paraId="337AA46C" w14:textId="77777777" w:rsidR="00AB7684" w:rsidRPr="006D184B" w:rsidRDefault="00AB7684" w:rsidP="004B66B0">
      <w:pPr>
        <w:numPr>
          <w:ilvl w:val="0"/>
          <w:numId w:val="6"/>
        </w:numPr>
        <w:shd w:val="clear" w:color="auto" w:fill="FFFFFF"/>
        <w:tabs>
          <w:tab w:val="left" w:pos="782"/>
        </w:tabs>
        <w:spacing w:before="120"/>
        <w:ind w:left="782" w:hanging="394"/>
        <w:jc w:val="both"/>
        <w:rPr>
          <w:sz w:val="22"/>
          <w:szCs w:val="24"/>
        </w:rPr>
      </w:pPr>
      <w:r w:rsidRPr="006D184B">
        <w:rPr>
          <w:sz w:val="22"/>
          <w:szCs w:val="24"/>
        </w:rPr>
        <w:t>under section 55A because of circumstances specified in section 55; or</w:t>
      </w:r>
    </w:p>
    <w:p w14:paraId="03029655" w14:textId="77777777" w:rsidR="00AB7684" w:rsidRPr="006D184B" w:rsidRDefault="00AB7684" w:rsidP="004B66B0">
      <w:pPr>
        <w:numPr>
          <w:ilvl w:val="0"/>
          <w:numId w:val="7"/>
        </w:numPr>
        <w:shd w:val="clear" w:color="auto" w:fill="FFFFFF"/>
        <w:tabs>
          <w:tab w:val="left" w:pos="782"/>
        </w:tabs>
        <w:spacing w:before="120"/>
        <w:ind w:left="389"/>
        <w:jc w:val="both"/>
        <w:rPr>
          <w:sz w:val="22"/>
          <w:szCs w:val="24"/>
        </w:rPr>
      </w:pPr>
      <w:r w:rsidRPr="006D184B">
        <w:rPr>
          <w:sz w:val="22"/>
          <w:szCs w:val="24"/>
        </w:rPr>
        <w:t>under section 180A; or</w:t>
      </w:r>
    </w:p>
    <w:p w14:paraId="154DFF37" w14:textId="77777777" w:rsidR="00AB7684" w:rsidRPr="006D184B" w:rsidRDefault="00AB7684" w:rsidP="004B66B0">
      <w:pPr>
        <w:numPr>
          <w:ilvl w:val="0"/>
          <w:numId w:val="6"/>
        </w:numPr>
        <w:shd w:val="clear" w:color="auto" w:fill="FFFFFF"/>
        <w:tabs>
          <w:tab w:val="left" w:pos="782"/>
        </w:tabs>
        <w:spacing w:before="120"/>
        <w:ind w:left="782" w:hanging="394"/>
        <w:jc w:val="both"/>
        <w:rPr>
          <w:sz w:val="22"/>
          <w:szCs w:val="24"/>
        </w:rPr>
      </w:pPr>
      <w:r w:rsidRPr="006D184B">
        <w:rPr>
          <w:sz w:val="22"/>
          <w:szCs w:val="24"/>
        </w:rPr>
        <w:t>to refuse an application for a protection visa, or to cancel a protection visa, relying on one or more of the following Articles of the Refugees Convention, namely, Article 1F, 32 or 33(2);</w:t>
      </w:r>
    </w:p>
    <w:p w14:paraId="6C44ADA2" w14:textId="77777777" w:rsidR="00AB7684" w:rsidRPr="006D184B" w:rsidRDefault="00AB7684" w:rsidP="004B66B0">
      <w:pPr>
        <w:shd w:val="clear" w:color="auto" w:fill="FFFFFF"/>
        <w:spacing w:before="120"/>
        <w:jc w:val="both"/>
        <w:rPr>
          <w:sz w:val="22"/>
        </w:rPr>
      </w:pPr>
      <w:r w:rsidRPr="006D184B">
        <w:rPr>
          <w:sz w:val="22"/>
          <w:szCs w:val="24"/>
        </w:rPr>
        <w:t>is not entitled to enter Australia or to be in Australia at any time during the period determined under the regulations.”.</w:t>
      </w:r>
    </w:p>
    <w:p w14:paraId="21C609BA" w14:textId="77777777" w:rsidR="00AB7684" w:rsidRPr="006D184B" w:rsidRDefault="0085563F" w:rsidP="0085563F">
      <w:pPr>
        <w:shd w:val="clear" w:color="auto" w:fill="FFFFFF"/>
        <w:spacing w:before="720"/>
        <w:jc w:val="center"/>
        <w:rPr>
          <w:sz w:val="22"/>
        </w:rPr>
      </w:pPr>
      <w:r>
        <w:rPr>
          <w:b/>
          <w:bCs/>
          <w:noProof/>
          <w:sz w:val="22"/>
          <w:szCs w:val="22"/>
          <w:lang w:val="en-AU" w:eastAsia="en-AU"/>
        </w:rPr>
        <mc:AlternateContent>
          <mc:Choice Requires="wps">
            <w:drawing>
              <wp:anchor distT="0" distB="0" distL="114300" distR="114300" simplePos="0" relativeHeight="251660288" behindDoc="0" locked="0" layoutInCell="1" allowOverlap="1" wp14:anchorId="018645EB" wp14:editId="1734EE4A">
                <wp:simplePos x="0" y="0"/>
                <wp:positionH relativeFrom="column">
                  <wp:posOffset>-16510</wp:posOffset>
                </wp:positionH>
                <wp:positionV relativeFrom="paragraph">
                  <wp:posOffset>213783</wp:posOffset>
                </wp:positionV>
                <wp:extent cx="59690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3B0F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pt,16.85pt" to="468.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r3tgEAALcDAAAOAAAAZHJzL2Uyb0RvYy54bWysU8GOEzEMvSPxD1HudKa7YsWO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" strokecolor="black [3040]"/>
            </w:pict>
          </mc:Fallback>
        </mc:AlternateContent>
      </w:r>
      <w:r w:rsidR="00AB7684" w:rsidRPr="006D184B">
        <w:rPr>
          <w:b/>
          <w:bCs/>
          <w:sz w:val="22"/>
          <w:szCs w:val="22"/>
        </w:rPr>
        <w:t>NOTE</w:t>
      </w:r>
    </w:p>
    <w:p w14:paraId="456FF15F" w14:textId="4063AEAE" w:rsidR="00AB7684" w:rsidRPr="005F346C" w:rsidRDefault="00AB7684" w:rsidP="004B66B0">
      <w:pPr>
        <w:shd w:val="clear" w:color="auto" w:fill="FFFFFF"/>
        <w:spacing w:before="120"/>
        <w:ind w:left="302" w:hanging="298"/>
        <w:jc w:val="both"/>
      </w:pPr>
      <w:r w:rsidRPr="005F346C">
        <w:rPr>
          <w:szCs w:val="22"/>
        </w:rPr>
        <w:t>1.</w:t>
      </w:r>
      <w:r w:rsidR="0085563F" w:rsidRPr="005F346C">
        <w:rPr>
          <w:szCs w:val="22"/>
        </w:rPr>
        <w:tab/>
      </w:r>
      <w:r w:rsidRPr="005F346C">
        <w:rPr>
          <w:szCs w:val="22"/>
        </w:rPr>
        <w:t xml:space="preserve">No. 62, 1958, as amended. For previous amendments, see No. 87, 1964; No. 10, 1966; </w:t>
      </w:r>
      <w:r w:rsidRPr="00161AA7">
        <w:rPr>
          <w:szCs w:val="22"/>
        </w:rPr>
        <w:t xml:space="preserve">Nos. </w:t>
      </w:r>
      <w:r w:rsidRPr="005F346C">
        <w:rPr>
          <w:szCs w:val="22"/>
        </w:rPr>
        <w:t xml:space="preserve">16 and 216, 1973; </w:t>
      </w:r>
      <w:r w:rsidRPr="00161AA7">
        <w:rPr>
          <w:szCs w:val="22"/>
        </w:rPr>
        <w:t xml:space="preserve">Nos. </w:t>
      </w:r>
      <w:r w:rsidRPr="005F346C">
        <w:rPr>
          <w:szCs w:val="22"/>
        </w:rPr>
        <w:t xml:space="preserve">37 and 91, 1976; </w:t>
      </w:r>
      <w:r w:rsidRPr="00161AA7">
        <w:rPr>
          <w:szCs w:val="22"/>
        </w:rPr>
        <w:t xml:space="preserve">Nos. </w:t>
      </w:r>
      <w:r w:rsidRPr="005F346C">
        <w:rPr>
          <w:szCs w:val="22"/>
        </w:rPr>
        <w:t xml:space="preserve">117 and 118, 1979; </w:t>
      </w:r>
      <w:r w:rsidRPr="00161AA7">
        <w:rPr>
          <w:szCs w:val="22"/>
        </w:rPr>
        <w:t xml:space="preserve">Nos. </w:t>
      </w:r>
      <w:r w:rsidRPr="005F346C">
        <w:rPr>
          <w:szCs w:val="22"/>
        </w:rPr>
        <w:t xml:space="preserve">89 and 175, 1980; No. 61, 1981; No. 51, 1982; </w:t>
      </w:r>
      <w:r w:rsidRPr="00161AA7">
        <w:rPr>
          <w:szCs w:val="22"/>
        </w:rPr>
        <w:t xml:space="preserve">Nos. </w:t>
      </w:r>
      <w:r w:rsidRPr="005F346C">
        <w:rPr>
          <w:szCs w:val="22"/>
        </w:rPr>
        <w:t xml:space="preserve">73 and 112, 1983; </w:t>
      </w:r>
      <w:r w:rsidRPr="00161AA7">
        <w:rPr>
          <w:szCs w:val="22"/>
        </w:rPr>
        <w:t xml:space="preserve">Nos. </w:t>
      </w:r>
      <w:r w:rsidRPr="005F346C">
        <w:rPr>
          <w:szCs w:val="22"/>
        </w:rPr>
        <w:t xml:space="preserve">22, 72 and 123, 1984; </w:t>
      </w:r>
      <w:r w:rsidRPr="00161AA7">
        <w:rPr>
          <w:szCs w:val="22"/>
        </w:rPr>
        <w:t xml:space="preserve">Nos. </w:t>
      </w:r>
      <w:r w:rsidRPr="005F346C">
        <w:rPr>
          <w:szCs w:val="22"/>
        </w:rPr>
        <w:t xml:space="preserve">71, 102 and 168, 1986; </w:t>
      </w:r>
      <w:r w:rsidRPr="00161AA7">
        <w:rPr>
          <w:szCs w:val="22"/>
        </w:rPr>
        <w:t xml:space="preserve">Nos. </w:t>
      </w:r>
      <w:r w:rsidRPr="005F346C">
        <w:rPr>
          <w:szCs w:val="22"/>
        </w:rPr>
        <w:t xml:space="preserve">86, 104, 133 and 141, 1987; </w:t>
      </w:r>
      <w:r w:rsidRPr="00161AA7">
        <w:rPr>
          <w:szCs w:val="22"/>
        </w:rPr>
        <w:t xml:space="preserve">Nos. </w:t>
      </w:r>
      <w:r w:rsidRPr="005F346C">
        <w:rPr>
          <w:szCs w:val="22"/>
        </w:rPr>
        <w:t xml:space="preserve">5, 38, 49 and 151, 1988; </w:t>
      </w:r>
      <w:r w:rsidRPr="00161AA7">
        <w:rPr>
          <w:szCs w:val="22"/>
        </w:rPr>
        <w:t xml:space="preserve">Nos. </w:t>
      </w:r>
      <w:r w:rsidRPr="005F346C">
        <w:rPr>
          <w:szCs w:val="22"/>
        </w:rPr>
        <w:t xml:space="preserve">59 and 61, 1989; No. 37, 1990; </w:t>
      </w:r>
      <w:r w:rsidRPr="00161AA7">
        <w:rPr>
          <w:szCs w:val="22"/>
        </w:rPr>
        <w:t xml:space="preserve">Nos. </w:t>
      </w:r>
      <w:r w:rsidRPr="005F346C">
        <w:rPr>
          <w:szCs w:val="22"/>
        </w:rPr>
        <w:t xml:space="preserve">70, 86, 196 and 198, 1991; and </w:t>
      </w:r>
      <w:r w:rsidRPr="00161AA7">
        <w:rPr>
          <w:szCs w:val="22"/>
        </w:rPr>
        <w:t xml:space="preserve">Nos. </w:t>
      </w:r>
      <w:r w:rsidRPr="005F346C">
        <w:rPr>
          <w:szCs w:val="22"/>
        </w:rPr>
        <w:t>1992</w:t>
      </w:r>
      <w:bookmarkStart w:id="0" w:name="_GoBack"/>
      <w:bookmarkEnd w:id="0"/>
      <w:r w:rsidRPr="005F346C">
        <w:rPr>
          <w:szCs w:val="22"/>
        </w:rPr>
        <w:t>.</w:t>
      </w:r>
    </w:p>
    <w:p w14:paraId="728BAA51" w14:textId="77777777" w:rsidR="00553A8A" w:rsidRPr="005F346C" w:rsidRDefault="00AB7684" w:rsidP="004B66B0">
      <w:pPr>
        <w:shd w:val="clear" w:color="auto" w:fill="FFFFFF"/>
        <w:spacing w:before="120"/>
        <w:ind w:left="758" w:hanging="754"/>
        <w:jc w:val="both"/>
        <w:rPr>
          <w:rFonts w:eastAsia="Times New Roman"/>
          <w:szCs w:val="22"/>
        </w:rPr>
      </w:pPr>
      <w:r w:rsidRPr="005F346C">
        <w:rPr>
          <w:szCs w:val="22"/>
        </w:rPr>
        <w:t>[</w:t>
      </w:r>
      <w:r w:rsidRPr="005F346C">
        <w:rPr>
          <w:i/>
          <w:iCs/>
          <w:szCs w:val="22"/>
        </w:rPr>
        <w:t>Minister’s second reading speech made in</w:t>
      </w:r>
      <w:r w:rsidRPr="005F346C">
        <w:rPr>
          <w:rFonts w:eastAsia="Times New Roman"/>
          <w:szCs w:val="22"/>
        </w:rPr>
        <w:t>—</w:t>
      </w:r>
    </w:p>
    <w:p w14:paraId="7311D956" w14:textId="77777777" w:rsidR="00553A8A" w:rsidRPr="005F346C" w:rsidRDefault="00AB7684" w:rsidP="00553A8A">
      <w:pPr>
        <w:shd w:val="clear" w:color="auto" w:fill="FFFFFF"/>
        <w:ind w:left="1618" w:hanging="754"/>
        <w:jc w:val="both"/>
        <w:rPr>
          <w:rFonts w:eastAsia="Times New Roman"/>
          <w:i/>
          <w:iCs/>
          <w:szCs w:val="22"/>
        </w:rPr>
      </w:pPr>
      <w:r w:rsidRPr="005F346C">
        <w:rPr>
          <w:rFonts w:eastAsia="Times New Roman"/>
          <w:i/>
          <w:iCs/>
          <w:szCs w:val="22"/>
        </w:rPr>
        <w:t>Senate on 12 November 1992</w:t>
      </w:r>
    </w:p>
    <w:p w14:paraId="0ECBB873" w14:textId="77777777" w:rsidR="00AB7684" w:rsidRPr="005F346C" w:rsidRDefault="00AB7684" w:rsidP="00553A8A">
      <w:pPr>
        <w:shd w:val="clear" w:color="auto" w:fill="FFFFFF"/>
        <w:ind w:left="1618" w:hanging="754"/>
        <w:jc w:val="both"/>
      </w:pPr>
      <w:r w:rsidRPr="005F346C">
        <w:rPr>
          <w:rFonts w:eastAsia="Times New Roman"/>
          <w:i/>
          <w:iCs/>
          <w:szCs w:val="22"/>
        </w:rPr>
        <w:t>House of Representatives on 17 December 1992</w:t>
      </w:r>
      <w:r w:rsidRPr="005F346C">
        <w:rPr>
          <w:rFonts w:eastAsia="Times New Roman"/>
          <w:szCs w:val="22"/>
        </w:rPr>
        <w:t>]</w:t>
      </w:r>
    </w:p>
    <w:sectPr w:rsidR="00AB7684" w:rsidRPr="005F346C" w:rsidSect="008C7C76">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5FEB6" w15:done="0"/>
  <w15:commentEx w15:paraId="78680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5FEB6" w16cid:durableId="20E98460"/>
  <w16cid:commentId w16cid:paraId="78680E5A" w16cid:durableId="20E985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D93E" w14:textId="77777777" w:rsidR="00C91C69" w:rsidRDefault="00C91C69" w:rsidP="007105F1">
      <w:r>
        <w:separator/>
      </w:r>
    </w:p>
  </w:endnote>
  <w:endnote w:type="continuationSeparator" w:id="0">
    <w:p w14:paraId="73977285" w14:textId="77777777" w:rsidR="00C91C69" w:rsidRDefault="00C91C69" w:rsidP="007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74A88" w14:textId="77777777" w:rsidR="00C91C69" w:rsidRDefault="00C91C69" w:rsidP="007105F1">
      <w:r>
        <w:separator/>
      </w:r>
    </w:p>
  </w:footnote>
  <w:footnote w:type="continuationSeparator" w:id="0">
    <w:p w14:paraId="2D507DCC" w14:textId="77777777" w:rsidR="00C91C69" w:rsidRDefault="00C91C69" w:rsidP="0071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22F2" w14:textId="77777777" w:rsidR="007105F1" w:rsidRPr="007105F1" w:rsidRDefault="007105F1" w:rsidP="007105F1">
    <w:pPr>
      <w:pStyle w:val="Header"/>
      <w:tabs>
        <w:tab w:val="clear" w:pos="4513"/>
        <w:tab w:val="left" w:pos="3600"/>
        <w:tab w:val="center" w:pos="4050"/>
        <w:tab w:val="left" w:pos="4770"/>
        <w:tab w:val="left" w:pos="5580"/>
      </w:tabs>
      <w:jc w:val="center"/>
      <w:rPr>
        <w:sz w:val="22"/>
      </w:rPr>
    </w:pPr>
    <w:r w:rsidRPr="007105F1">
      <w:rPr>
        <w:i/>
        <w:iCs/>
        <w:sz w:val="22"/>
        <w:szCs w:val="24"/>
        <w:lang w:val="en-IN" w:eastAsia="en-IN"/>
      </w:rPr>
      <w:t>Migration (Offences and Undesirable Persons)</w:t>
    </w:r>
  </w:p>
  <w:p w14:paraId="2FB06B2B" w14:textId="77777777" w:rsidR="007105F1" w:rsidRPr="007105F1" w:rsidRDefault="007105F1" w:rsidP="007105F1">
    <w:pPr>
      <w:pStyle w:val="Header"/>
      <w:tabs>
        <w:tab w:val="clear" w:pos="4513"/>
        <w:tab w:val="center" w:pos="2250"/>
      </w:tabs>
      <w:jc w:val="center"/>
      <w:rPr>
        <w:sz w:val="22"/>
      </w:rPr>
    </w:pPr>
    <w:r w:rsidRPr="007105F1">
      <w:rPr>
        <w:i/>
        <w:iCs/>
        <w:sz w:val="22"/>
        <w:szCs w:val="24"/>
        <w:lang w:val="en-IN" w:eastAsia="en-IN"/>
      </w:rPr>
      <w:t>Amendment</w:t>
    </w:r>
    <w:r w:rsidRPr="007105F1">
      <w:rPr>
        <w:i/>
        <w:iCs/>
        <w:sz w:val="22"/>
        <w:szCs w:val="24"/>
        <w:lang w:val="en-IN" w:eastAsia="en-IN"/>
      </w:rPr>
      <w:tab/>
      <w:t>No. 213,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B35"/>
    <w:multiLevelType w:val="singleLevel"/>
    <w:tmpl w:val="CB5E9118"/>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2A5236AA"/>
    <w:multiLevelType w:val="singleLevel"/>
    <w:tmpl w:val="CEB234D0"/>
    <w:lvl w:ilvl="0">
      <w:start w:val="2"/>
      <w:numFmt w:val="lowerLetter"/>
      <w:lvlText w:val="(%1)"/>
      <w:legacy w:legacy="1" w:legacySpace="0" w:legacyIndent="389"/>
      <w:lvlJc w:val="left"/>
      <w:rPr>
        <w:rFonts w:ascii="Times New Roman" w:hAnsi="Times New Roman" w:cs="Times New Roman" w:hint="default"/>
      </w:rPr>
    </w:lvl>
  </w:abstractNum>
  <w:abstractNum w:abstractNumId="2">
    <w:nsid w:val="3D1E7109"/>
    <w:multiLevelType w:val="singleLevel"/>
    <w:tmpl w:val="7AD80C3E"/>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72FE3D90"/>
    <w:multiLevelType w:val="singleLevel"/>
    <w:tmpl w:val="1E9EDFA2"/>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77BA65F1"/>
    <w:multiLevelType w:val="singleLevel"/>
    <w:tmpl w:val="1E9EDFA2"/>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78D132AC"/>
    <w:multiLevelType w:val="singleLevel"/>
    <w:tmpl w:val="5CF22712"/>
    <w:lvl w:ilvl="0">
      <w:start w:val="1"/>
      <w:numFmt w:val="lowerLetter"/>
      <w:lvlText w:val="(%1)"/>
      <w:legacy w:legacy="1" w:legacySpace="0" w:legacyIndent="393"/>
      <w:lvlJc w:val="left"/>
      <w:rPr>
        <w:rFonts w:ascii="Times New Roman" w:hAnsi="Times New Roman" w:cs="Times New Roman"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4"/>
    <w:lvlOverride w:ilvl="0">
      <w:lvl w:ilvl="0">
        <w:start w:val="1"/>
        <w:numFmt w:val="lowerLetter"/>
        <w:lvlText w:val="(%1)"/>
        <w:legacy w:legacy="1" w:legacySpace="0" w:legacyIndent="393"/>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FE"/>
    <w:rsid w:val="00032F64"/>
    <w:rsid w:val="000B1BBB"/>
    <w:rsid w:val="000E796E"/>
    <w:rsid w:val="00161AA7"/>
    <w:rsid w:val="00173DE6"/>
    <w:rsid w:val="002111FE"/>
    <w:rsid w:val="0039330A"/>
    <w:rsid w:val="003C6A93"/>
    <w:rsid w:val="004B66B0"/>
    <w:rsid w:val="00553A8A"/>
    <w:rsid w:val="005C6D65"/>
    <w:rsid w:val="005F346C"/>
    <w:rsid w:val="006043F5"/>
    <w:rsid w:val="006D184B"/>
    <w:rsid w:val="006F34AA"/>
    <w:rsid w:val="007105F1"/>
    <w:rsid w:val="0085563F"/>
    <w:rsid w:val="008C7C76"/>
    <w:rsid w:val="00A044FA"/>
    <w:rsid w:val="00A841E7"/>
    <w:rsid w:val="00AB7684"/>
    <w:rsid w:val="00C91C69"/>
    <w:rsid w:val="00D1538B"/>
    <w:rsid w:val="00D92414"/>
    <w:rsid w:val="00E8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764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BBB"/>
    <w:pPr>
      <w:ind w:left="720"/>
      <w:contextualSpacing/>
    </w:pPr>
  </w:style>
  <w:style w:type="paragraph" w:styleId="Header">
    <w:name w:val="header"/>
    <w:basedOn w:val="Normal"/>
    <w:link w:val="HeaderChar"/>
    <w:uiPriority w:val="99"/>
    <w:rsid w:val="007105F1"/>
    <w:pPr>
      <w:tabs>
        <w:tab w:val="center" w:pos="4513"/>
        <w:tab w:val="right" w:pos="9026"/>
      </w:tabs>
    </w:pPr>
  </w:style>
  <w:style w:type="character" w:customStyle="1" w:styleId="HeaderChar">
    <w:name w:val="Header Char"/>
    <w:basedOn w:val="DefaultParagraphFont"/>
    <w:link w:val="Header"/>
    <w:uiPriority w:val="99"/>
    <w:rsid w:val="007105F1"/>
    <w:rPr>
      <w:rFonts w:ascii="Times New Roman" w:hAnsi="Times New Roman"/>
      <w:sz w:val="20"/>
      <w:szCs w:val="20"/>
      <w:lang w:val="en-US" w:eastAsia="en-US"/>
    </w:rPr>
  </w:style>
  <w:style w:type="paragraph" w:styleId="Footer">
    <w:name w:val="footer"/>
    <w:basedOn w:val="Normal"/>
    <w:link w:val="FooterChar"/>
    <w:uiPriority w:val="99"/>
    <w:rsid w:val="007105F1"/>
    <w:pPr>
      <w:tabs>
        <w:tab w:val="center" w:pos="4513"/>
        <w:tab w:val="right" w:pos="9026"/>
      </w:tabs>
    </w:pPr>
  </w:style>
  <w:style w:type="character" w:customStyle="1" w:styleId="FooterChar">
    <w:name w:val="Footer Char"/>
    <w:basedOn w:val="DefaultParagraphFont"/>
    <w:link w:val="Footer"/>
    <w:uiPriority w:val="99"/>
    <w:rsid w:val="007105F1"/>
    <w:rPr>
      <w:rFonts w:ascii="Times New Roman" w:hAnsi="Times New Roman"/>
      <w:sz w:val="20"/>
      <w:szCs w:val="20"/>
      <w:lang w:val="en-US" w:eastAsia="en-US"/>
    </w:rPr>
  </w:style>
  <w:style w:type="character" w:styleId="CommentReference">
    <w:name w:val="annotation reference"/>
    <w:basedOn w:val="DefaultParagraphFont"/>
    <w:uiPriority w:val="99"/>
    <w:rsid w:val="00E85951"/>
    <w:rPr>
      <w:sz w:val="16"/>
      <w:szCs w:val="16"/>
    </w:rPr>
  </w:style>
  <w:style w:type="paragraph" w:styleId="CommentText">
    <w:name w:val="annotation text"/>
    <w:basedOn w:val="Normal"/>
    <w:link w:val="CommentTextChar"/>
    <w:uiPriority w:val="99"/>
    <w:rsid w:val="00E85951"/>
  </w:style>
  <w:style w:type="character" w:customStyle="1" w:styleId="CommentTextChar">
    <w:name w:val="Comment Text Char"/>
    <w:basedOn w:val="DefaultParagraphFont"/>
    <w:link w:val="CommentText"/>
    <w:uiPriority w:val="99"/>
    <w:rsid w:val="00E85951"/>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E85951"/>
    <w:rPr>
      <w:b/>
      <w:bCs/>
    </w:rPr>
  </w:style>
  <w:style w:type="character" w:customStyle="1" w:styleId="CommentSubjectChar">
    <w:name w:val="Comment Subject Char"/>
    <w:basedOn w:val="CommentTextChar"/>
    <w:link w:val="CommentSubject"/>
    <w:uiPriority w:val="99"/>
    <w:rsid w:val="00E85951"/>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E85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51"/>
    <w:rPr>
      <w:rFonts w:ascii="Segoe UI" w:hAnsi="Segoe UI" w:cs="Segoe UI"/>
      <w:sz w:val="18"/>
      <w:szCs w:val="18"/>
      <w:lang w:val="en-US" w:eastAsia="en-US"/>
    </w:rPr>
  </w:style>
  <w:style w:type="paragraph" w:styleId="Revision">
    <w:name w:val="Revision"/>
    <w:hidden/>
    <w:uiPriority w:val="99"/>
    <w:semiHidden/>
    <w:rsid w:val="00173DE6"/>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BBB"/>
    <w:pPr>
      <w:ind w:left="720"/>
      <w:contextualSpacing/>
    </w:pPr>
  </w:style>
  <w:style w:type="paragraph" w:styleId="Header">
    <w:name w:val="header"/>
    <w:basedOn w:val="Normal"/>
    <w:link w:val="HeaderChar"/>
    <w:uiPriority w:val="99"/>
    <w:rsid w:val="007105F1"/>
    <w:pPr>
      <w:tabs>
        <w:tab w:val="center" w:pos="4513"/>
        <w:tab w:val="right" w:pos="9026"/>
      </w:tabs>
    </w:pPr>
  </w:style>
  <w:style w:type="character" w:customStyle="1" w:styleId="HeaderChar">
    <w:name w:val="Header Char"/>
    <w:basedOn w:val="DefaultParagraphFont"/>
    <w:link w:val="Header"/>
    <w:uiPriority w:val="99"/>
    <w:rsid w:val="007105F1"/>
    <w:rPr>
      <w:rFonts w:ascii="Times New Roman" w:hAnsi="Times New Roman"/>
      <w:sz w:val="20"/>
      <w:szCs w:val="20"/>
      <w:lang w:val="en-US" w:eastAsia="en-US"/>
    </w:rPr>
  </w:style>
  <w:style w:type="paragraph" w:styleId="Footer">
    <w:name w:val="footer"/>
    <w:basedOn w:val="Normal"/>
    <w:link w:val="FooterChar"/>
    <w:uiPriority w:val="99"/>
    <w:rsid w:val="007105F1"/>
    <w:pPr>
      <w:tabs>
        <w:tab w:val="center" w:pos="4513"/>
        <w:tab w:val="right" w:pos="9026"/>
      </w:tabs>
    </w:pPr>
  </w:style>
  <w:style w:type="character" w:customStyle="1" w:styleId="FooterChar">
    <w:name w:val="Footer Char"/>
    <w:basedOn w:val="DefaultParagraphFont"/>
    <w:link w:val="Footer"/>
    <w:uiPriority w:val="99"/>
    <w:rsid w:val="007105F1"/>
    <w:rPr>
      <w:rFonts w:ascii="Times New Roman" w:hAnsi="Times New Roman"/>
      <w:sz w:val="20"/>
      <w:szCs w:val="20"/>
      <w:lang w:val="en-US" w:eastAsia="en-US"/>
    </w:rPr>
  </w:style>
  <w:style w:type="character" w:styleId="CommentReference">
    <w:name w:val="annotation reference"/>
    <w:basedOn w:val="DefaultParagraphFont"/>
    <w:uiPriority w:val="99"/>
    <w:rsid w:val="00E85951"/>
    <w:rPr>
      <w:sz w:val="16"/>
      <w:szCs w:val="16"/>
    </w:rPr>
  </w:style>
  <w:style w:type="paragraph" w:styleId="CommentText">
    <w:name w:val="annotation text"/>
    <w:basedOn w:val="Normal"/>
    <w:link w:val="CommentTextChar"/>
    <w:uiPriority w:val="99"/>
    <w:rsid w:val="00E85951"/>
  </w:style>
  <w:style w:type="character" w:customStyle="1" w:styleId="CommentTextChar">
    <w:name w:val="Comment Text Char"/>
    <w:basedOn w:val="DefaultParagraphFont"/>
    <w:link w:val="CommentText"/>
    <w:uiPriority w:val="99"/>
    <w:rsid w:val="00E85951"/>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sid w:val="00E85951"/>
    <w:rPr>
      <w:b/>
      <w:bCs/>
    </w:rPr>
  </w:style>
  <w:style w:type="character" w:customStyle="1" w:styleId="CommentSubjectChar">
    <w:name w:val="Comment Subject Char"/>
    <w:basedOn w:val="CommentTextChar"/>
    <w:link w:val="CommentSubject"/>
    <w:uiPriority w:val="99"/>
    <w:rsid w:val="00E85951"/>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E85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51"/>
    <w:rPr>
      <w:rFonts w:ascii="Segoe UI" w:hAnsi="Segoe UI" w:cs="Segoe UI"/>
      <w:sz w:val="18"/>
      <w:szCs w:val="18"/>
      <w:lang w:val="en-US" w:eastAsia="en-US"/>
    </w:rPr>
  </w:style>
  <w:style w:type="paragraph" w:styleId="Revision">
    <w:name w:val="Revision"/>
    <w:hidden/>
    <w:uiPriority w:val="99"/>
    <w:semiHidden/>
    <w:rsid w:val="00173DE6"/>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6621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TTS0018</dc:creator>
  <cp:keywords/>
  <dc:description/>
  <cp:lastModifiedBy>Ziegler, Liesl</cp:lastModifiedBy>
  <cp:revision>3</cp:revision>
  <dcterms:created xsi:type="dcterms:W3CDTF">2019-07-29T04:46:00Z</dcterms:created>
  <dcterms:modified xsi:type="dcterms:W3CDTF">2019-10-25T03:38:00Z</dcterms:modified>
</cp:coreProperties>
</file>