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D5A21" w14:textId="77777777" w:rsidR="00C943ED" w:rsidRPr="00A81515" w:rsidRDefault="00DF3C76" w:rsidP="00A81515">
      <w:pPr>
        <w:jc w:val="center"/>
        <w:rPr>
          <w:sz w:val="22"/>
          <w:szCs w:val="24"/>
        </w:rPr>
      </w:pPr>
      <w:r w:rsidRPr="00A81515">
        <w:rPr>
          <w:noProof/>
          <w:sz w:val="22"/>
          <w:szCs w:val="24"/>
          <w:lang w:val="en-AU" w:eastAsia="en-AU"/>
        </w:rPr>
        <w:drawing>
          <wp:inline distT="0" distB="0" distL="0" distR="0" wp14:anchorId="2092D1A9" wp14:editId="3B820C5F">
            <wp:extent cx="163830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603C" w14:textId="77777777" w:rsidR="00C943ED" w:rsidRPr="00A81515" w:rsidRDefault="00C943ED" w:rsidP="00A81515">
      <w:pPr>
        <w:shd w:val="clear" w:color="auto" w:fill="FFFFFF"/>
        <w:spacing w:before="1037"/>
        <w:ind w:left="1440" w:right="1440"/>
        <w:jc w:val="center"/>
        <w:rPr>
          <w:sz w:val="36"/>
        </w:rPr>
      </w:pPr>
      <w:r w:rsidRPr="00A81515">
        <w:rPr>
          <w:b/>
          <w:bCs/>
          <w:sz w:val="36"/>
          <w:szCs w:val="42"/>
          <w:lang w:val="en-US"/>
        </w:rPr>
        <w:t>Aboriginal Land Rights (Northern Ter</w:t>
      </w:r>
      <w:bookmarkStart w:id="0" w:name="_GoBack"/>
      <w:bookmarkEnd w:id="0"/>
      <w:r w:rsidRPr="00A81515">
        <w:rPr>
          <w:b/>
          <w:bCs/>
          <w:sz w:val="36"/>
          <w:szCs w:val="42"/>
          <w:lang w:val="en-US"/>
        </w:rPr>
        <w:t>ritory) Amendment Act 1993</w:t>
      </w:r>
    </w:p>
    <w:p w14:paraId="350392C6" w14:textId="77777777" w:rsidR="00C943ED" w:rsidRPr="008F578D" w:rsidRDefault="00C943ED" w:rsidP="00A81515">
      <w:pPr>
        <w:shd w:val="clear" w:color="auto" w:fill="FFFFFF"/>
        <w:spacing w:before="1142"/>
        <w:ind w:left="29"/>
        <w:jc w:val="center"/>
        <w:rPr>
          <w:sz w:val="28"/>
          <w:szCs w:val="28"/>
        </w:rPr>
      </w:pPr>
      <w:r w:rsidRPr="008F578D">
        <w:rPr>
          <w:b/>
          <w:bCs/>
          <w:sz w:val="28"/>
          <w:szCs w:val="28"/>
          <w:lang w:val="en-US"/>
        </w:rPr>
        <w:t>No. 6 of 1993</w:t>
      </w:r>
    </w:p>
    <w:p w14:paraId="65227983" w14:textId="77777777" w:rsidR="00C943ED" w:rsidRPr="008F578D" w:rsidRDefault="00A81515" w:rsidP="00A81515">
      <w:pPr>
        <w:shd w:val="clear" w:color="auto" w:fill="FFFFFF"/>
        <w:spacing w:before="2645"/>
        <w:jc w:val="center"/>
        <w:rPr>
          <w:sz w:val="28"/>
          <w:szCs w:val="28"/>
        </w:rPr>
      </w:pPr>
      <w:r w:rsidRPr="008F578D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17966" wp14:editId="2A3AEC36">
                <wp:simplePos x="0" y="0"/>
                <wp:positionH relativeFrom="column">
                  <wp:posOffset>-33020</wp:posOffset>
                </wp:positionH>
                <wp:positionV relativeFrom="paragraph">
                  <wp:posOffset>557200</wp:posOffset>
                </wp:positionV>
                <wp:extent cx="6144768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EB62F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3.85pt" to="481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uFwAEAAMgDAAAOAAAAZHJzL2Uyb0RvYy54bWysU02P0zAQvSPxHyzfaZKq6qKo6R66gguC&#10;ioUf4HXGjYW/NDZN+u8Zu2222kUIIS6O7XnvzbzxZHM/WcOOgFF71/FmUXMGTvpeu0PHv3/78O49&#10;ZzEJ1wvjHXT8BJHfb9++2YyhhaUfvOkBGYm42I6h40NKoa2qKAewIi58AEdB5dGKREc8VD2KkdSt&#10;qZZ1va5Gj31ALyFGun04B/m26CsFMn1RKkJipuNUWyorlvUpr9V2I9oDijBoeSlD/EMVVmhHSWep&#10;B5EE+4n6lZTVEn30Ki2kt5VXSksoHshNU79w8ziIAMULNSeGuU3x/8nKz8c9Mt13fMWZE5ae6DGh&#10;0IchsZ13jhroka1yn8YQW4Lv3B4vpxj2mE1PCm3+kh02ld6e5t7ClJiky3WzWt2taRrkNVY9EwPG&#10;9BG8ZXnTcaNdti1acfwUEyUj6BWSr41jIw3b8q4uD1jlys61lF06GTjDvoIib5S9KXJlqmBnkB0F&#10;zUP/o8m+SNw4QmaK0sbMpPrPpAs206BM2t8SZ3TJ6F2aiVY7j7/LmqZrqeqMp7JvvObtk+9P5WVK&#10;gMalOLuMdp7H23OhP/+A218AAAD//wMAUEsDBBQABgAIAAAAIQCaplXI3wAAAAgBAAAPAAAAZHJz&#10;L2Rvd25yZXYueG1sTI/NTsMwEITvSLyDtUjcWoeovyFOVVEqgdQLDYce3XibhMbrKHbT8PYs6gGO&#10;szOa+TZdDbYRPXa+dqTgaRyBQCqcqalU8JlvRwsQPmgyunGECr7Rwyq7v0t1YtyVPrDfh1JwCflE&#10;K6hCaBMpfVGh1X7sWiT2Tq6zOrDsSmk6feVy28g4imbS6pp4odItvlRYnPcXq6D/mmys253et/nu&#10;kK83b2eKJ69KPT4M62cQAYfwF4ZffEaHjJmO7kLGi0bBaBpzUsFiPgfB/nIWT0EcbweZpfL/A9kP&#10;AAAA//8DAFBLAQItABQABgAIAAAAIQC2gziS/gAAAOEBAAATAAAAAAAAAAAAAAAAAAAAAABbQ29u&#10;dGVudF9UeXBlc10ueG1sUEsBAi0AFAAGAAgAAAAhADj9If/WAAAAlAEAAAsAAAAAAAAAAAAAAAAA&#10;LwEAAF9yZWxzLy5yZWxzUEsBAi0AFAAGAAgAAAAhAARhu4XAAQAAyAMAAA4AAAAAAAAAAAAAAAAA&#10;LgIAAGRycy9lMm9Eb2MueG1sUEsBAi0AFAAGAAgAAAAhAJqmVcjfAAAACAEAAA8AAAAAAAAAAAAA&#10;AAAAGgQAAGRycy9kb3ducmV2LnhtbFBLBQYAAAAABAAEAPMAAAAmBQAAAAA=&#10;" strokecolor="black [3040]" strokeweight="1pt"/>
            </w:pict>
          </mc:Fallback>
        </mc:AlternateContent>
      </w:r>
      <w:r w:rsidRPr="008F578D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4A943" wp14:editId="495E3A6B">
                <wp:simplePos x="0" y="0"/>
                <wp:positionH relativeFrom="column">
                  <wp:posOffset>-43891</wp:posOffset>
                </wp:positionH>
                <wp:positionV relativeFrom="paragraph">
                  <wp:posOffset>534137</wp:posOffset>
                </wp:positionV>
                <wp:extent cx="6144768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702B9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2.05pt" to="480.4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X/wAEAAMcDAAAOAAAAZHJzL2Uyb0RvYy54bWysU8Fu2zAMvQ/oPwi6L7abLhuMOD2k6C7D&#10;FqzbB6iyFAuTRIHSYufvRymJW7TDMAy7yJL43iMfRa9vJ2fZQWE04DveLGrOlJfQG7/v+Pdv928/&#10;cBaT8L2w4FXHjyry283Vm/UYWnUNA9heISMRH9sxdHxIKbRVFeWgnIgLCMpTUAM6keiI+6pHMZK6&#10;s9V1Xa+qEbAPCFLFSLd3pyDfFH2tlUxftI4qMdtxqi2VFcv6mNdqsxbtHkUYjDyXIf6hCieMp6Sz&#10;1J1Igv1E80rKGYkQQaeFBFeB1kaq4oHcNPULNw+DCKp4oebEMLcp/j9Z+fmwQ2b6ji8588LREz0k&#10;FGY/JLYF76mBgGyZ+zSG2BJ863d4PsWww2x60ujyl+ywqfT2OPdWTYlJulw1NzfvVzQN8hKrnogB&#10;Y/qowLG86bg1PtsWrTh8iomSEfQCydfWs5EUl+/K+1W5sFMpZZeOVp1QX5Uma5S8KWplqNTWIjsI&#10;Gof+R5Ntkbb1hMwUbaydSfWfSWdspqkyaH9LnNElI/g0E53xgL/LmqZLqfqEp7Kfec3bR+iP5WFK&#10;gKalODtPdh7H5+dCf/r/Nr8AAAD//wMAUEsDBBQABgAIAAAAIQAJ5FaI3QAAAAgBAAAPAAAAZHJz&#10;L2Rvd25yZXYueG1sTI/NTsMwEITvSLyDtZW4tU4RCm2IUxEQJySkFNTzNnZ+1HgdYrc1PD2LOJTj&#10;zoxmv8k30Q7iZCbfO1KwXCQgDNVO99Qq+Hh/ma9A+ICkcXBkFHwZD5vi+irHTLszVea0Da3gEvIZ&#10;KuhCGDMpfd0Zi37hRkPsNW6yGPicWqknPHO5HeRtkqTSYk/8ocPRPHWmPmyPVkFZVbu3uvzE7934&#10;Wsr72MRn1yh1M4uPDyCCieEShl98RoeCmfbuSNqLQcE8XXNSwepuCYL9dZrwlP2fIItc/h9Q/AAA&#10;AP//AwBQSwECLQAUAAYACAAAACEAtoM4kv4AAADhAQAAEwAAAAAAAAAAAAAAAAAAAAAAW0NvbnRl&#10;bnRfVHlwZXNdLnhtbFBLAQItABQABgAIAAAAIQA4/SH/1gAAAJQBAAALAAAAAAAAAAAAAAAAAC8B&#10;AABfcmVscy8ucmVsc1BLAQItABQABgAIAAAAIQCKBPX/wAEAAMcDAAAOAAAAAAAAAAAAAAAAAC4C&#10;AABkcnMvZTJvRG9jLnhtbFBLAQItABQABgAIAAAAIQAJ5FaI3QAAAAgBAAAPAAAAAAAAAAAAAAAA&#10;ABoEAABkcnMvZG93bnJldi54bWxQSwUGAAAAAAQABADzAAAAJAUAAAAA&#10;" strokecolor="black [3040]" strokeweight=".5pt"/>
            </w:pict>
          </mc:Fallback>
        </mc:AlternateContent>
      </w:r>
      <w:r w:rsidR="00C943ED" w:rsidRPr="008F578D">
        <w:rPr>
          <w:b/>
          <w:bCs/>
          <w:sz w:val="28"/>
          <w:szCs w:val="28"/>
          <w:lang w:val="en-US"/>
        </w:rPr>
        <w:t xml:space="preserve">An Act to amend the </w:t>
      </w:r>
      <w:r w:rsidR="00C943ED" w:rsidRPr="008F578D">
        <w:rPr>
          <w:b/>
          <w:bCs/>
          <w:i/>
          <w:iCs/>
          <w:sz w:val="28"/>
          <w:szCs w:val="28"/>
          <w:lang w:val="en-US"/>
        </w:rPr>
        <w:t>Aboriginal Land Rights (Northern Territory) Act 1976</w:t>
      </w:r>
    </w:p>
    <w:p w14:paraId="769C90A5" w14:textId="77777777" w:rsidR="00C943ED" w:rsidRPr="00A81515" w:rsidRDefault="00C943ED" w:rsidP="00A81515">
      <w:pPr>
        <w:shd w:val="clear" w:color="auto" w:fill="FFFFFF"/>
        <w:spacing w:before="240" w:after="240"/>
        <w:jc w:val="right"/>
        <w:rPr>
          <w:sz w:val="22"/>
        </w:rPr>
      </w:pPr>
      <w:r w:rsidRPr="00A81515">
        <w:rPr>
          <w:sz w:val="22"/>
          <w:szCs w:val="24"/>
          <w:lang w:val="en-US"/>
        </w:rPr>
        <w:t>[</w:t>
      </w:r>
      <w:r w:rsidRPr="00A81515">
        <w:rPr>
          <w:i/>
          <w:iCs/>
          <w:sz w:val="22"/>
          <w:szCs w:val="24"/>
          <w:lang w:val="en-US"/>
        </w:rPr>
        <w:t>Assented to 27 May 1993</w:t>
      </w:r>
      <w:r w:rsidRPr="00A81515">
        <w:rPr>
          <w:sz w:val="22"/>
          <w:szCs w:val="24"/>
          <w:lang w:val="en-US"/>
        </w:rPr>
        <w:t>]</w:t>
      </w:r>
    </w:p>
    <w:p w14:paraId="6F660605" w14:textId="77777777" w:rsidR="00C943ED" w:rsidRPr="00A81515" w:rsidRDefault="00C943ED" w:rsidP="00A81515">
      <w:pPr>
        <w:shd w:val="clear" w:color="auto" w:fill="FFFFFF"/>
        <w:spacing w:before="120"/>
        <w:ind w:left="346"/>
        <w:rPr>
          <w:sz w:val="22"/>
        </w:rPr>
      </w:pPr>
      <w:r w:rsidRPr="00A81515">
        <w:rPr>
          <w:sz w:val="22"/>
          <w:szCs w:val="24"/>
          <w:lang w:val="en-US"/>
        </w:rPr>
        <w:t>The Parliament of Australia enacts:</w:t>
      </w:r>
    </w:p>
    <w:p w14:paraId="3801E63A" w14:textId="77777777" w:rsidR="00C943ED" w:rsidRPr="00A81515" w:rsidRDefault="00C943ED" w:rsidP="00A81515">
      <w:pPr>
        <w:shd w:val="clear" w:color="auto" w:fill="FFFFFF"/>
        <w:spacing w:before="120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Short title etc.</w:t>
      </w:r>
    </w:p>
    <w:p w14:paraId="3BEA1503" w14:textId="77777777" w:rsidR="00C943ED" w:rsidRPr="00A81515" w:rsidRDefault="00C943ED" w:rsidP="00A81515">
      <w:pPr>
        <w:shd w:val="clear" w:color="auto" w:fill="FFFFFF"/>
        <w:spacing w:before="120"/>
        <w:ind w:firstLine="322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1.(1)</w:t>
      </w:r>
      <w:r w:rsidRPr="00A81515">
        <w:rPr>
          <w:sz w:val="22"/>
          <w:szCs w:val="24"/>
          <w:lang w:val="en-US"/>
        </w:rPr>
        <w:t xml:space="preserve"> This Act may be cited as the </w:t>
      </w:r>
      <w:r w:rsidRPr="00A81515">
        <w:rPr>
          <w:i/>
          <w:iCs/>
          <w:sz w:val="22"/>
          <w:szCs w:val="24"/>
          <w:lang w:val="en-US"/>
        </w:rPr>
        <w:t>Aboriginal Land Rights (Northern Territory) Amendment Act 1993.</w:t>
      </w:r>
    </w:p>
    <w:p w14:paraId="1E34FB0B" w14:textId="149A890D" w:rsidR="00C943ED" w:rsidRPr="00A81515" w:rsidRDefault="00C943ED" w:rsidP="00A81515">
      <w:pPr>
        <w:shd w:val="clear" w:color="auto" w:fill="FFFFFF"/>
        <w:spacing w:before="120"/>
        <w:ind w:left="5" w:firstLine="317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 xml:space="preserve">(2) </w:t>
      </w:r>
      <w:r w:rsidRPr="00A81515">
        <w:rPr>
          <w:sz w:val="22"/>
          <w:szCs w:val="24"/>
          <w:lang w:val="en-US"/>
        </w:rPr>
        <w:t xml:space="preserve">In this Act, </w:t>
      </w:r>
      <w:r w:rsidRPr="00A81515">
        <w:rPr>
          <w:b/>
          <w:bCs/>
          <w:sz w:val="22"/>
          <w:szCs w:val="24"/>
          <w:lang w:val="en-US"/>
        </w:rPr>
        <w:t xml:space="preserve">“Principal Act” </w:t>
      </w:r>
      <w:r w:rsidRPr="00A81515">
        <w:rPr>
          <w:sz w:val="22"/>
          <w:szCs w:val="24"/>
          <w:lang w:val="en-US"/>
        </w:rPr>
        <w:t xml:space="preserve">means the </w:t>
      </w:r>
      <w:r w:rsidRPr="00A81515">
        <w:rPr>
          <w:i/>
          <w:iCs/>
          <w:sz w:val="22"/>
          <w:szCs w:val="24"/>
          <w:lang w:val="en-US"/>
        </w:rPr>
        <w:t>Aboriginal Land Rights (Northern Territory) Act 1976</w:t>
      </w:r>
      <w:r w:rsidRPr="009D05A0">
        <w:rPr>
          <w:iCs/>
          <w:sz w:val="22"/>
          <w:szCs w:val="24"/>
          <w:vertAlign w:val="superscript"/>
          <w:lang w:val="en-US"/>
        </w:rPr>
        <w:t>1</w:t>
      </w:r>
      <w:r w:rsidRPr="009D05A0">
        <w:rPr>
          <w:iCs/>
          <w:sz w:val="22"/>
          <w:szCs w:val="24"/>
          <w:lang w:val="en-US"/>
        </w:rPr>
        <w:t>.</w:t>
      </w:r>
    </w:p>
    <w:p w14:paraId="718F9E80" w14:textId="77777777" w:rsidR="00C943ED" w:rsidRPr="00A81515" w:rsidRDefault="00C943ED" w:rsidP="00A81515">
      <w:pPr>
        <w:shd w:val="clear" w:color="auto" w:fill="FFFFFF"/>
        <w:spacing w:before="120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Commencement</w:t>
      </w:r>
    </w:p>
    <w:p w14:paraId="2DC0759C" w14:textId="77777777" w:rsidR="00C943ED" w:rsidRPr="00A81515" w:rsidRDefault="00C943ED" w:rsidP="00A81515">
      <w:pPr>
        <w:shd w:val="clear" w:color="auto" w:fill="FFFFFF"/>
        <w:spacing w:before="120"/>
        <w:ind w:left="317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2.</w:t>
      </w:r>
      <w:r w:rsidRPr="00A81515">
        <w:rPr>
          <w:sz w:val="22"/>
          <w:szCs w:val="24"/>
          <w:lang w:val="en-US"/>
        </w:rPr>
        <w:t xml:space="preserve"> This Act commences on the day on which it receives the Royal Assent.</w:t>
      </w:r>
    </w:p>
    <w:p w14:paraId="4B6CA4BB" w14:textId="77777777" w:rsidR="00C943ED" w:rsidRPr="00A81515" w:rsidRDefault="00C943ED" w:rsidP="00A81515">
      <w:pPr>
        <w:shd w:val="clear" w:color="auto" w:fill="FFFFFF"/>
        <w:spacing w:before="120"/>
        <w:ind w:left="317"/>
        <w:rPr>
          <w:sz w:val="22"/>
        </w:rPr>
        <w:sectPr w:rsidR="00C943ED" w:rsidRPr="00A81515" w:rsidSect="009D70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21F88994" w14:textId="77777777" w:rsidR="00C943ED" w:rsidRPr="00A81515" w:rsidRDefault="00C943ED" w:rsidP="00A81515">
      <w:pPr>
        <w:shd w:val="clear" w:color="auto" w:fill="FFFFFF"/>
        <w:spacing w:before="120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lastRenderedPageBreak/>
        <w:t xml:space="preserve">Amendment </w:t>
      </w:r>
      <w:r w:rsidRPr="00A81515">
        <w:rPr>
          <w:sz w:val="22"/>
          <w:szCs w:val="24"/>
          <w:lang w:val="en-US"/>
        </w:rPr>
        <w:t xml:space="preserve">of </w:t>
      </w:r>
      <w:r w:rsidRPr="00A81515">
        <w:rPr>
          <w:b/>
          <w:bCs/>
          <w:sz w:val="22"/>
          <w:szCs w:val="24"/>
          <w:lang w:val="en-US"/>
        </w:rPr>
        <w:t xml:space="preserve">Schedule </w:t>
      </w:r>
      <w:r w:rsidRPr="00A81515">
        <w:rPr>
          <w:sz w:val="22"/>
          <w:szCs w:val="24"/>
          <w:lang w:val="en-US"/>
        </w:rPr>
        <w:t>1</w:t>
      </w:r>
    </w:p>
    <w:p w14:paraId="56C2BEF7" w14:textId="77777777" w:rsidR="00C943ED" w:rsidRPr="00A81515" w:rsidRDefault="00C943ED" w:rsidP="00A81515">
      <w:pPr>
        <w:shd w:val="clear" w:color="auto" w:fill="FFFFFF"/>
        <w:tabs>
          <w:tab w:val="left" w:pos="634"/>
        </w:tabs>
        <w:spacing w:before="120"/>
        <w:ind w:left="5" w:firstLine="317"/>
        <w:jc w:val="both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3.</w:t>
      </w:r>
      <w:r w:rsidRPr="00A81515">
        <w:rPr>
          <w:sz w:val="22"/>
          <w:szCs w:val="24"/>
          <w:lang w:val="en-US"/>
        </w:rPr>
        <w:tab/>
        <w:t>Section 77C of the Principal Act is amended by omitting from</w:t>
      </w:r>
      <w:r w:rsidR="00A81515">
        <w:rPr>
          <w:sz w:val="22"/>
          <w:szCs w:val="24"/>
          <w:lang w:val="en-US"/>
        </w:rPr>
        <w:t xml:space="preserve"> </w:t>
      </w:r>
      <w:r w:rsidRPr="00A81515">
        <w:rPr>
          <w:sz w:val="22"/>
          <w:szCs w:val="24"/>
          <w:lang w:val="en-US"/>
        </w:rPr>
        <w:t>subsection (1) “or 3” and substituting “, 3 or 4”.</w:t>
      </w:r>
    </w:p>
    <w:p w14:paraId="0824FF85" w14:textId="77777777" w:rsidR="00C943ED" w:rsidRPr="00A81515" w:rsidRDefault="00C943ED" w:rsidP="00A81515">
      <w:pPr>
        <w:shd w:val="clear" w:color="auto" w:fill="FFFFFF"/>
        <w:spacing w:before="120"/>
        <w:ind w:left="14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Schedule 1</w:t>
      </w:r>
    </w:p>
    <w:p w14:paraId="0E6B597A" w14:textId="77777777" w:rsidR="00C943ED" w:rsidRPr="00A81515" w:rsidRDefault="00C943ED" w:rsidP="00A81515">
      <w:pPr>
        <w:shd w:val="clear" w:color="auto" w:fill="FFFFFF"/>
        <w:tabs>
          <w:tab w:val="left" w:pos="634"/>
        </w:tabs>
        <w:spacing w:before="120"/>
        <w:ind w:left="5" w:firstLine="317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4.</w:t>
      </w:r>
      <w:r w:rsidRPr="00A81515">
        <w:rPr>
          <w:sz w:val="22"/>
          <w:szCs w:val="24"/>
          <w:lang w:val="en-US"/>
        </w:rPr>
        <w:tab/>
        <w:t>Schedule 1 of the Principal Act is amended by adding at the end the</w:t>
      </w:r>
      <w:r w:rsidR="00A81515">
        <w:rPr>
          <w:sz w:val="22"/>
          <w:szCs w:val="24"/>
          <w:lang w:val="en-US"/>
        </w:rPr>
        <w:t xml:space="preserve"> </w:t>
      </w:r>
      <w:r w:rsidRPr="00A81515">
        <w:rPr>
          <w:sz w:val="22"/>
          <w:szCs w:val="24"/>
          <w:lang w:val="en-US"/>
        </w:rPr>
        <w:t>following Part:</w:t>
      </w:r>
    </w:p>
    <w:p w14:paraId="47544DB9" w14:textId="77777777" w:rsidR="00C943ED" w:rsidRPr="00A81515" w:rsidRDefault="00C943ED" w:rsidP="00A81515">
      <w:pPr>
        <w:shd w:val="clear" w:color="auto" w:fill="FFFFFF"/>
        <w:spacing w:before="120" w:after="120"/>
        <w:jc w:val="center"/>
        <w:rPr>
          <w:sz w:val="22"/>
        </w:rPr>
      </w:pPr>
      <w:r w:rsidRPr="00A81515">
        <w:rPr>
          <w:b/>
          <w:bCs/>
          <w:sz w:val="22"/>
          <w:szCs w:val="24"/>
          <w:lang w:val="en-US"/>
        </w:rPr>
        <w:t>“PART 4</w:t>
      </w:r>
    </w:p>
    <w:p w14:paraId="08369916" w14:textId="77777777" w:rsidR="00C943ED" w:rsidRPr="00A81515" w:rsidRDefault="00C943ED" w:rsidP="00A81515">
      <w:pPr>
        <w:shd w:val="clear" w:color="auto" w:fill="FFFFFF"/>
        <w:spacing w:before="120" w:after="120"/>
        <w:jc w:val="center"/>
        <w:rPr>
          <w:sz w:val="22"/>
        </w:rPr>
      </w:pPr>
      <w:r w:rsidRPr="00A81515">
        <w:rPr>
          <w:sz w:val="22"/>
          <w:szCs w:val="24"/>
          <w:lang w:val="en-US"/>
        </w:rPr>
        <w:t>“CATFISH DREAMING</w:t>
      </w:r>
    </w:p>
    <w:p w14:paraId="319BA388" w14:textId="77777777" w:rsidR="00C943ED" w:rsidRPr="00A81515" w:rsidRDefault="00C943ED" w:rsidP="00A81515">
      <w:pPr>
        <w:shd w:val="clear" w:color="auto" w:fill="FFFFFF"/>
        <w:spacing w:before="120"/>
        <w:jc w:val="both"/>
        <w:rPr>
          <w:sz w:val="22"/>
        </w:rPr>
      </w:pPr>
      <w:r w:rsidRPr="00A81515">
        <w:rPr>
          <w:sz w:val="22"/>
          <w:szCs w:val="24"/>
          <w:lang w:val="en-US"/>
        </w:rPr>
        <w:t>“All that parcel of land being Northern Territory Portion 4324 containing an area of 42.41 hectares more or less and being more particularly delineated on Survey Plan S93/160 lodged with the Northern Territory Surveyor-General, Darwin.</w:t>
      </w:r>
    </w:p>
    <w:p w14:paraId="3ADD5746" w14:textId="77777777" w:rsidR="00C943ED" w:rsidRPr="00A81515" w:rsidRDefault="00C943ED" w:rsidP="00A81515">
      <w:pPr>
        <w:shd w:val="clear" w:color="auto" w:fill="FFFFFF"/>
        <w:spacing w:before="120" w:after="120"/>
        <w:jc w:val="center"/>
        <w:rPr>
          <w:sz w:val="22"/>
        </w:rPr>
      </w:pPr>
      <w:r w:rsidRPr="00A81515">
        <w:rPr>
          <w:sz w:val="22"/>
          <w:szCs w:val="24"/>
          <w:lang w:val="en-US"/>
        </w:rPr>
        <w:t>“EVA VALLEY</w:t>
      </w:r>
    </w:p>
    <w:p w14:paraId="5869DB1D" w14:textId="77777777" w:rsidR="00C943ED" w:rsidRPr="00A81515" w:rsidRDefault="00C943ED" w:rsidP="00A81515">
      <w:pPr>
        <w:shd w:val="clear" w:color="auto" w:fill="FFFFFF"/>
        <w:spacing w:before="120"/>
        <w:jc w:val="both"/>
        <w:rPr>
          <w:sz w:val="22"/>
        </w:rPr>
      </w:pPr>
      <w:r w:rsidRPr="00A81515">
        <w:rPr>
          <w:sz w:val="22"/>
          <w:szCs w:val="24"/>
          <w:lang w:val="en-US"/>
        </w:rPr>
        <w:t>“Pastoral lease number 705</w:t>
      </w:r>
      <w:r w:rsidRPr="00A81515">
        <w:rPr>
          <w:rFonts w:eastAsia="Times New Roman"/>
          <w:sz w:val="22"/>
          <w:szCs w:val="24"/>
          <w:lang w:val="en-US"/>
        </w:rPr>
        <w:t xml:space="preserve">—known as Eva Valley Station containing approximately 2926 square </w:t>
      </w:r>
      <w:proofErr w:type="spellStart"/>
      <w:r w:rsidRPr="00A81515">
        <w:rPr>
          <w:rFonts w:eastAsia="Times New Roman"/>
          <w:sz w:val="22"/>
          <w:szCs w:val="24"/>
          <w:lang w:val="en-US"/>
        </w:rPr>
        <w:t>kilometres</w:t>
      </w:r>
      <w:proofErr w:type="spellEnd"/>
      <w:r w:rsidRPr="00A81515">
        <w:rPr>
          <w:rFonts w:eastAsia="Times New Roman"/>
          <w:sz w:val="22"/>
          <w:szCs w:val="24"/>
          <w:lang w:val="en-US"/>
        </w:rPr>
        <w:t>, 68 hectares, 6564 square metres more particularly described as Northern Territory portion 860 in the Northern Territory Crown Lands Lease Register Book—Volume 055 Folio 051.</w:t>
      </w:r>
    </w:p>
    <w:p w14:paraId="7007DAB3" w14:textId="77777777" w:rsidR="00C943ED" w:rsidRPr="00A81515" w:rsidRDefault="00C943ED" w:rsidP="00A81515">
      <w:pPr>
        <w:shd w:val="clear" w:color="auto" w:fill="FFFFFF"/>
        <w:spacing w:before="120" w:after="120"/>
        <w:jc w:val="center"/>
        <w:rPr>
          <w:sz w:val="22"/>
        </w:rPr>
      </w:pPr>
      <w:r w:rsidRPr="00A81515">
        <w:rPr>
          <w:sz w:val="22"/>
          <w:szCs w:val="24"/>
          <w:lang w:val="en-US"/>
        </w:rPr>
        <w:t>“KANTURRPA</w:t>
      </w:r>
      <w:r w:rsidRPr="00A81515">
        <w:rPr>
          <w:rFonts w:eastAsia="Times New Roman"/>
          <w:sz w:val="22"/>
          <w:szCs w:val="24"/>
          <w:lang w:val="en-US"/>
        </w:rPr>
        <w:t>—KANTTAJI</w:t>
      </w:r>
    </w:p>
    <w:p w14:paraId="785DE5D5" w14:textId="77777777" w:rsidR="00C943ED" w:rsidRPr="00A81515" w:rsidRDefault="00C943ED" w:rsidP="00A81515">
      <w:pPr>
        <w:shd w:val="clear" w:color="auto" w:fill="FFFFFF"/>
        <w:spacing w:before="120"/>
        <w:rPr>
          <w:sz w:val="22"/>
        </w:rPr>
      </w:pPr>
      <w:r w:rsidRPr="00A81515">
        <w:rPr>
          <w:sz w:val="22"/>
          <w:szCs w:val="24"/>
          <w:lang w:val="en-US"/>
        </w:rPr>
        <w:t>“All that parcel of land being Northern Territory Portion 4236 containing an area of 15,180 hectares more or less and being more particularly delineated on Survey Plan S92/95A lodged with the Northern Territory Surveyor-General, Darwin.”.</w:t>
      </w:r>
    </w:p>
    <w:p w14:paraId="4547104B" w14:textId="77777777" w:rsidR="00C943ED" w:rsidRPr="00A81515" w:rsidRDefault="00A81515" w:rsidP="00A81515">
      <w:pPr>
        <w:shd w:val="clear" w:color="auto" w:fill="FFFFFF"/>
        <w:spacing w:before="480" w:after="120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F4DC" wp14:editId="30057B88">
                <wp:simplePos x="0" y="0"/>
                <wp:positionH relativeFrom="column">
                  <wp:posOffset>-43892</wp:posOffset>
                </wp:positionH>
                <wp:positionV relativeFrom="paragraph">
                  <wp:posOffset>183642</wp:posOffset>
                </wp:positionV>
                <wp:extent cx="5991149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85E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4.45pt" to="468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cUtQEAALcDAAAOAAAAZHJzL2Uyb0RvYy54bWysU8GO0zAQvSPxD5bvNE0FiEZN99AVXBBU&#10;LHyA1xk3FrbHGpum/XvGbptFgBBCXByP/d6beePJ5u7knTgCJYuhl+1iKQUEjYMNh15++fz2xRsp&#10;UlZhUA4D9PIMSd5tnz/bTLGDFY7oBiDBIiF1U+zlmHPsmibpEbxKC4wQ+NIgeZU5pEMzkJpY3btm&#10;tVy+biakIRJqSIlP7y+Xclv1jQGdPxqTIAvXS64t15Xq+ljWZrtR3YFUHK2+lqH+oQqvbOCks9S9&#10;ykp8I/uLlLeaMKHJC42+QWOshuqB3bTLn9w8jCpC9cLNSXFuU/p/svrDcU/CDr1cSRGU5yd6yKTs&#10;YcxihyFwA5HEqvRpiqlj+C7s6RqluKdi+mTIly/bEafa2/PcWzhlofnw1Xrdti/XUujbXfNEjJTy&#10;O0AvyqaXzoZiW3Xq+D5lTsbQG4SDUsgldd3ls4MCduETGLbCydrKrkMEO0fiqPj5h69tscFaFVko&#10;xjo3k5Z/Jl2xhQZ1sP6WOKNrRgx5JnobkH6XNZ9upZoL/ub64rXYfsThXB+itoOnozq7TnIZvx/j&#10;Sn/637bfAQAA//8DAFBLAwQUAAYACAAAACEAwNnqBN4AAAAIAQAADwAAAGRycy9kb3ducmV2Lnht&#10;bEyPT0+DQBDF7yb9Dptp0lu72CaUIktj/HPSA6IHj1t2BFJ2lrBbQD+9YzzoaTLzXt78XnacbSdG&#10;HHzrSMH1JgKBVDnTUq3g7fVxnYDwQZPRnSNU8IkejvniKtOpcRO94FiGWnAI+VQraELoUyl91aDV&#10;fuN6JNY+3GB14HWopRn0xOG2k9soiqXVLfGHRvd412B1Li9Wwf7hqSz66f75q5B7WRSjC8n5XanV&#10;cr69ARFwDn9m+MFndMiZ6eQuZLzoFKzjAzsVbBOerB92cQzi9HuQeSb/F8i/AQAA//8DAFBLAQIt&#10;ABQABgAIAAAAIQC2gziS/gAAAOEBAAATAAAAAAAAAAAAAAAAAAAAAABbQ29udGVudF9UeXBlc10u&#10;eG1sUEsBAi0AFAAGAAgAAAAhADj9If/WAAAAlAEAAAsAAAAAAAAAAAAAAAAALwEAAF9yZWxzLy5y&#10;ZWxzUEsBAi0AFAAGAAgAAAAhAN8o1xS1AQAAtwMAAA4AAAAAAAAAAAAAAAAALgIAAGRycy9lMm9E&#10;b2MueG1sUEsBAi0AFAAGAAgAAAAhAMDZ6gTeAAAACAEAAA8AAAAAAAAAAAAAAAAADwQAAGRycy9k&#10;b3ducmV2LnhtbFBLBQYAAAAABAAEAPMAAAAaBQAAAAA=&#10;" strokecolor="black [3040]"/>
            </w:pict>
          </mc:Fallback>
        </mc:AlternateContent>
      </w:r>
      <w:r w:rsidR="00C943ED" w:rsidRPr="00A81515">
        <w:rPr>
          <w:b/>
          <w:bCs/>
          <w:sz w:val="22"/>
          <w:szCs w:val="24"/>
          <w:lang w:val="en-US"/>
        </w:rPr>
        <w:t>NOTE</w:t>
      </w:r>
    </w:p>
    <w:p w14:paraId="5248E716" w14:textId="77777777" w:rsidR="00C943ED" w:rsidRPr="00A81515" w:rsidRDefault="00C943ED" w:rsidP="00A81515">
      <w:pPr>
        <w:shd w:val="clear" w:color="auto" w:fill="FFFFFF"/>
        <w:spacing w:before="120"/>
        <w:ind w:left="365" w:hanging="350"/>
        <w:jc w:val="both"/>
      </w:pPr>
      <w:r w:rsidRPr="00A81515">
        <w:rPr>
          <w:szCs w:val="22"/>
          <w:lang w:val="en-US"/>
        </w:rPr>
        <w:t xml:space="preserve">1. No. 191, 1976, as amended. For previous amendments, see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 xml:space="preserve">21, 83 and 70, 1978; No. 189, 1979; No. 72, 1980; No. 92, 1981;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 xml:space="preserve">16 and 80, 1982;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 xml:space="preserve">63 and 72, 1984;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 xml:space="preserve">65, 93 and 166, 1985;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 xml:space="preserve">18, 40, 75 and 141, 1987; No. 38, 1988; No. 21, 1989; No. 2, 1990; No. 199, 1991; and Statutory Rules </w:t>
      </w:r>
      <w:r w:rsidRPr="00A81515">
        <w:rPr>
          <w:szCs w:val="22"/>
          <w:lang w:val="fr-FR"/>
        </w:rPr>
        <w:t xml:space="preserve">Nos. </w:t>
      </w:r>
      <w:r w:rsidRPr="00A81515">
        <w:rPr>
          <w:szCs w:val="22"/>
          <w:lang w:val="en-US"/>
        </w:rPr>
        <w:t>133 and 369, 1992.</w:t>
      </w:r>
    </w:p>
    <w:p w14:paraId="51D608AA" w14:textId="77777777" w:rsidR="00C943ED" w:rsidRPr="00A81515" w:rsidRDefault="00C943ED" w:rsidP="00A81515">
      <w:pPr>
        <w:shd w:val="clear" w:color="auto" w:fill="FFFFFF"/>
        <w:spacing w:before="240"/>
        <w:ind w:left="67"/>
      </w:pPr>
      <w:r w:rsidRPr="00A81515">
        <w:rPr>
          <w:szCs w:val="22"/>
          <w:lang w:val="en-US"/>
        </w:rPr>
        <w:t>[</w:t>
      </w:r>
      <w:r w:rsidRPr="00A81515">
        <w:rPr>
          <w:i/>
          <w:iCs/>
          <w:szCs w:val="22"/>
          <w:lang w:val="en-US"/>
        </w:rPr>
        <w:t>Minister’s second reading speech made in</w:t>
      </w:r>
      <w:r w:rsidRPr="00A81515">
        <w:rPr>
          <w:rFonts w:eastAsia="Times New Roman"/>
          <w:szCs w:val="22"/>
          <w:lang w:val="en-US"/>
        </w:rPr>
        <w:t>—</w:t>
      </w:r>
    </w:p>
    <w:p w14:paraId="1B173B26" w14:textId="77777777" w:rsidR="00C943ED" w:rsidRPr="00A81515" w:rsidRDefault="00C943ED" w:rsidP="00A81515">
      <w:pPr>
        <w:shd w:val="clear" w:color="auto" w:fill="FFFFFF"/>
        <w:ind w:left="773"/>
      </w:pPr>
      <w:r w:rsidRPr="00A81515">
        <w:rPr>
          <w:i/>
          <w:iCs/>
          <w:szCs w:val="22"/>
          <w:lang w:val="en-US"/>
        </w:rPr>
        <w:t>House of Representatives on 5 May 1993</w:t>
      </w:r>
    </w:p>
    <w:p w14:paraId="6544EF07" w14:textId="77777777" w:rsidR="00C943ED" w:rsidRPr="00A81515" w:rsidRDefault="00C943ED" w:rsidP="00A81515">
      <w:pPr>
        <w:shd w:val="clear" w:color="auto" w:fill="FFFFFF"/>
        <w:ind w:left="773"/>
      </w:pPr>
      <w:r w:rsidRPr="00A81515">
        <w:rPr>
          <w:i/>
          <w:iCs/>
          <w:szCs w:val="22"/>
          <w:lang w:val="en-US"/>
        </w:rPr>
        <w:t>Senate on 18 May 1993</w:t>
      </w:r>
      <w:r w:rsidRPr="00A81515">
        <w:rPr>
          <w:szCs w:val="22"/>
          <w:lang w:val="en-US"/>
        </w:rPr>
        <w:t>]</w:t>
      </w:r>
    </w:p>
    <w:sectPr w:rsidR="00C943ED" w:rsidRPr="00A81515" w:rsidSect="00A81515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A7FB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7FBEA" w16cid:durableId="20EFE3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17A9E" w14:textId="77777777" w:rsidR="00EE4FE8" w:rsidRDefault="00EE4FE8" w:rsidP="009D70D8">
      <w:r>
        <w:separator/>
      </w:r>
    </w:p>
  </w:endnote>
  <w:endnote w:type="continuationSeparator" w:id="0">
    <w:p w14:paraId="3C3D9900" w14:textId="77777777" w:rsidR="00EE4FE8" w:rsidRDefault="00EE4FE8" w:rsidP="009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FFAEC" w14:textId="77777777" w:rsidR="009D70D8" w:rsidRDefault="009D7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02F9" w14:textId="77777777" w:rsidR="009D70D8" w:rsidRDefault="009D7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E9CA" w14:textId="77777777" w:rsidR="009D70D8" w:rsidRDefault="009D7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A5B5" w14:textId="77777777" w:rsidR="00EE4FE8" w:rsidRDefault="00EE4FE8" w:rsidP="009D70D8">
      <w:r>
        <w:separator/>
      </w:r>
    </w:p>
  </w:footnote>
  <w:footnote w:type="continuationSeparator" w:id="0">
    <w:p w14:paraId="0FC5E783" w14:textId="77777777" w:rsidR="00EE4FE8" w:rsidRDefault="00EE4FE8" w:rsidP="009D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1D7F" w14:textId="77777777" w:rsidR="009D70D8" w:rsidRDefault="009D7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0D71E" w14:textId="77777777" w:rsidR="009D70D8" w:rsidRPr="009D70D8" w:rsidRDefault="009D70D8" w:rsidP="009D70D8">
    <w:pPr>
      <w:widowControl/>
      <w:jc w:val="center"/>
      <w:rPr>
        <w:i/>
        <w:iCs/>
        <w:sz w:val="22"/>
        <w:szCs w:val="24"/>
        <w:lang w:val="en-US" w:eastAsia="en-US"/>
      </w:rPr>
    </w:pPr>
    <w:r w:rsidRPr="009D70D8">
      <w:rPr>
        <w:i/>
        <w:iCs/>
        <w:sz w:val="22"/>
        <w:szCs w:val="24"/>
        <w:lang w:val="en-US" w:eastAsia="en-US"/>
      </w:rPr>
      <w:t>Aboriginal Land Rights (Northern Territory)</w:t>
    </w:r>
  </w:p>
  <w:p w14:paraId="06A95266" w14:textId="77777777" w:rsidR="009D70D8" w:rsidRPr="009D70D8" w:rsidRDefault="009D70D8" w:rsidP="009D70D8">
    <w:pPr>
      <w:pStyle w:val="Header"/>
      <w:tabs>
        <w:tab w:val="clear" w:pos="4680"/>
        <w:tab w:val="center" w:pos="1980"/>
      </w:tabs>
      <w:jc w:val="center"/>
      <w:rPr>
        <w:sz w:val="22"/>
      </w:rPr>
    </w:pPr>
    <w:r w:rsidRPr="009D70D8">
      <w:rPr>
        <w:i/>
        <w:iCs/>
        <w:sz w:val="22"/>
        <w:szCs w:val="24"/>
        <w:lang w:val="en-US" w:eastAsia="en-US"/>
      </w:rPr>
      <w:t>Amendment</w:t>
    </w:r>
    <w:r>
      <w:rPr>
        <w:i/>
        <w:iCs/>
        <w:sz w:val="22"/>
        <w:szCs w:val="24"/>
        <w:lang w:val="en-US" w:eastAsia="en-US"/>
      </w:rPr>
      <w:tab/>
    </w:r>
    <w:r w:rsidRPr="009D70D8">
      <w:rPr>
        <w:i/>
        <w:iCs/>
        <w:sz w:val="22"/>
        <w:szCs w:val="24"/>
        <w:lang w:val="en-US" w:eastAsia="en-US"/>
      </w:rPr>
      <w:t>No. 6, 1993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266C" w14:textId="77777777" w:rsidR="009D70D8" w:rsidRPr="009D70D8" w:rsidRDefault="009D70D8" w:rsidP="009D70D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F"/>
    <w:rsid w:val="00156028"/>
    <w:rsid w:val="004643EC"/>
    <w:rsid w:val="00615FDF"/>
    <w:rsid w:val="008F578D"/>
    <w:rsid w:val="009D05A0"/>
    <w:rsid w:val="009D70D8"/>
    <w:rsid w:val="00A81515"/>
    <w:rsid w:val="00C943ED"/>
    <w:rsid w:val="00DC6B9E"/>
    <w:rsid w:val="00DF3C76"/>
    <w:rsid w:val="00E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9D7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D8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9D7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D8"/>
    <w:rPr>
      <w:rFonts w:ascii="Times New Roman" w:hAnsi="Times New Roman"/>
      <w:sz w:val="20"/>
      <w:szCs w:val="20"/>
      <w:lang w:val="en-IN" w:eastAsia="en-IN"/>
    </w:rPr>
  </w:style>
  <w:style w:type="character" w:styleId="CommentReference">
    <w:name w:val="annotation reference"/>
    <w:basedOn w:val="DefaultParagraphFont"/>
    <w:uiPriority w:val="99"/>
    <w:rsid w:val="0015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028"/>
  </w:style>
  <w:style w:type="character" w:customStyle="1" w:styleId="CommentTextChar">
    <w:name w:val="Comment Text Char"/>
    <w:basedOn w:val="DefaultParagraphFont"/>
    <w:link w:val="CommentText"/>
    <w:uiPriority w:val="99"/>
    <w:rsid w:val="00156028"/>
    <w:rPr>
      <w:rFonts w:ascii="Times New Roman" w:hAnsi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5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6028"/>
    <w:rPr>
      <w:rFonts w:ascii="Times New Roman" w:hAnsi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8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9D05A0"/>
    <w:pPr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D8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9D7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D8"/>
    <w:rPr>
      <w:rFonts w:ascii="Times New Roman" w:hAnsi="Times New Roman"/>
      <w:sz w:val="20"/>
      <w:szCs w:val="20"/>
      <w:lang w:val="en-IN" w:eastAsia="en-IN"/>
    </w:rPr>
  </w:style>
  <w:style w:type="character" w:styleId="CommentReference">
    <w:name w:val="annotation reference"/>
    <w:basedOn w:val="DefaultParagraphFont"/>
    <w:uiPriority w:val="99"/>
    <w:rsid w:val="0015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028"/>
  </w:style>
  <w:style w:type="character" w:customStyle="1" w:styleId="CommentTextChar">
    <w:name w:val="Comment Text Char"/>
    <w:basedOn w:val="DefaultParagraphFont"/>
    <w:link w:val="CommentText"/>
    <w:uiPriority w:val="99"/>
    <w:rsid w:val="00156028"/>
    <w:rPr>
      <w:rFonts w:ascii="Times New Roman" w:hAnsi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5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6028"/>
    <w:rPr>
      <w:rFonts w:ascii="Times New Roman" w:hAnsi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8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9D05A0"/>
    <w:pPr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1672</Characters>
  <Application>Microsoft Office Word</Application>
  <DocSecurity>0</DocSecurity>
  <Lines>185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Pettingill, Tia</cp:lastModifiedBy>
  <cp:revision>3</cp:revision>
  <dcterms:created xsi:type="dcterms:W3CDTF">2019-08-03T00:43:00Z</dcterms:created>
  <dcterms:modified xsi:type="dcterms:W3CDTF">2019-10-27T23:29:00Z</dcterms:modified>
</cp:coreProperties>
</file>