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5697C" w14:textId="77777777" w:rsidR="00FE2F39" w:rsidRPr="00D1565F" w:rsidRDefault="007F6274" w:rsidP="00B476ED">
      <w:pPr>
        <w:autoSpaceDE w:val="0"/>
        <w:autoSpaceDN w:val="0"/>
        <w:adjustRightInd w:val="0"/>
        <w:spacing w:before="120"/>
        <w:jc w:val="center"/>
        <w:rPr>
          <w:sz w:val="22"/>
          <w:szCs w:val="22"/>
        </w:rPr>
      </w:pPr>
      <w:r>
        <w:rPr>
          <w:noProof/>
          <w:sz w:val="22"/>
          <w:szCs w:val="22"/>
          <w:lang w:val="en-AU" w:eastAsia="en-AU"/>
        </w:rPr>
        <w:drawing>
          <wp:inline distT="0" distB="0" distL="0" distR="0" wp14:anchorId="40F78118" wp14:editId="72205074">
            <wp:extent cx="1348740" cy="9829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982980"/>
                    </a:xfrm>
                    <a:prstGeom prst="rect">
                      <a:avLst/>
                    </a:prstGeom>
                    <a:noFill/>
                    <a:ln>
                      <a:noFill/>
                    </a:ln>
                  </pic:spPr>
                </pic:pic>
              </a:graphicData>
            </a:graphic>
          </wp:inline>
        </w:drawing>
      </w:r>
    </w:p>
    <w:p w14:paraId="0ECC92EA" w14:textId="77777777" w:rsidR="00FE2F39" w:rsidRPr="00B476ED" w:rsidRDefault="00FE2F39" w:rsidP="00B476ED">
      <w:pPr>
        <w:autoSpaceDE w:val="0"/>
        <w:autoSpaceDN w:val="0"/>
        <w:adjustRightInd w:val="0"/>
        <w:spacing w:before="720"/>
        <w:jc w:val="center"/>
        <w:rPr>
          <w:sz w:val="36"/>
          <w:szCs w:val="22"/>
        </w:rPr>
      </w:pPr>
      <w:r w:rsidRPr="00B476ED">
        <w:rPr>
          <w:b/>
          <w:bCs/>
          <w:sz w:val="36"/>
          <w:szCs w:val="22"/>
        </w:rPr>
        <w:t>Charter of the United Nations Amendment Act 1993</w:t>
      </w:r>
    </w:p>
    <w:p w14:paraId="592CDED1" w14:textId="45DD4CF5" w:rsidR="00FE2F39" w:rsidRPr="007A6FBD" w:rsidRDefault="00FE2F39" w:rsidP="002C63F3">
      <w:pPr>
        <w:autoSpaceDE w:val="0"/>
        <w:autoSpaceDN w:val="0"/>
        <w:adjustRightInd w:val="0"/>
        <w:spacing w:before="720"/>
        <w:jc w:val="center"/>
        <w:rPr>
          <w:szCs w:val="22"/>
        </w:rPr>
      </w:pPr>
      <w:r w:rsidRPr="007A6FBD">
        <w:rPr>
          <w:b/>
          <w:bCs/>
          <w:szCs w:val="22"/>
        </w:rPr>
        <w:t>No. 30 of 1993</w:t>
      </w:r>
    </w:p>
    <w:p w14:paraId="296CE087" w14:textId="77777777" w:rsidR="00FE2F39" w:rsidRPr="00B476ED" w:rsidRDefault="00FE2F39" w:rsidP="00B476ED">
      <w:pPr>
        <w:autoSpaceDE w:val="0"/>
        <w:autoSpaceDN w:val="0"/>
        <w:adjustRightInd w:val="0"/>
        <w:spacing w:before="720"/>
        <w:jc w:val="center"/>
        <w:rPr>
          <w:sz w:val="22"/>
          <w:szCs w:val="22"/>
        </w:rPr>
      </w:pPr>
      <w:r w:rsidRPr="00B476ED">
        <w:rPr>
          <w:b/>
          <w:bCs/>
          <w:sz w:val="22"/>
          <w:szCs w:val="22"/>
        </w:rPr>
        <w:t>TABLE OF PROVISIONS</w:t>
      </w:r>
    </w:p>
    <w:p w14:paraId="50EE6466" w14:textId="77777777" w:rsidR="00FE2F39" w:rsidRPr="00D1565F" w:rsidRDefault="00FE2F39" w:rsidP="00FE2F39">
      <w:pPr>
        <w:autoSpaceDE w:val="0"/>
        <w:autoSpaceDN w:val="0"/>
        <w:adjustRightInd w:val="0"/>
        <w:spacing w:before="120"/>
        <w:jc w:val="both"/>
        <w:rPr>
          <w:sz w:val="22"/>
          <w:szCs w:val="22"/>
        </w:rPr>
      </w:pPr>
      <w:r w:rsidRPr="00D1565F">
        <w:rPr>
          <w:sz w:val="22"/>
          <w:szCs w:val="22"/>
        </w:rPr>
        <w:t>Section</w:t>
      </w:r>
    </w:p>
    <w:p w14:paraId="648E7039" w14:textId="77777777" w:rsidR="00FE2F39" w:rsidRPr="00D1565F" w:rsidRDefault="00FE2F39" w:rsidP="00FE2F39">
      <w:pPr>
        <w:tabs>
          <w:tab w:val="left" w:pos="883"/>
        </w:tabs>
        <w:autoSpaceDE w:val="0"/>
        <w:autoSpaceDN w:val="0"/>
        <w:adjustRightInd w:val="0"/>
        <w:spacing w:before="120"/>
        <w:ind w:left="269"/>
        <w:jc w:val="both"/>
        <w:rPr>
          <w:sz w:val="22"/>
          <w:szCs w:val="22"/>
        </w:rPr>
      </w:pPr>
      <w:r w:rsidRPr="00D1565F">
        <w:rPr>
          <w:sz w:val="22"/>
          <w:szCs w:val="22"/>
        </w:rPr>
        <w:t>1.</w:t>
      </w:r>
      <w:r>
        <w:rPr>
          <w:sz w:val="22"/>
          <w:szCs w:val="22"/>
        </w:rPr>
        <w:tab/>
      </w:r>
      <w:r w:rsidRPr="00D1565F">
        <w:rPr>
          <w:sz w:val="22"/>
          <w:szCs w:val="22"/>
        </w:rPr>
        <w:t>Short title etc.</w:t>
      </w:r>
    </w:p>
    <w:p w14:paraId="47742C60" w14:textId="77777777" w:rsidR="00FE2F39" w:rsidRPr="00D1565F" w:rsidRDefault="00FE2F39" w:rsidP="007A6FBD">
      <w:pPr>
        <w:tabs>
          <w:tab w:val="left" w:pos="883"/>
        </w:tabs>
        <w:autoSpaceDE w:val="0"/>
        <w:autoSpaceDN w:val="0"/>
        <w:adjustRightInd w:val="0"/>
        <w:ind w:left="269"/>
        <w:jc w:val="both"/>
        <w:rPr>
          <w:sz w:val="22"/>
          <w:szCs w:val="22"/>
        </w:rPr>
      </w:pPr>
      <w:r w:rsidRPr="00D1565F">
        <w:rPr>
          <w:sz w:val="22"/>
          <w:szCs w:val="22"/>
        </w:rPr>
        <w:t>2.</w:t>
      </w:r>
      <w:r>
        <w:rPr>
          <w:sz w:val="22"/>
          <w:szCs w:val="22"/>
        </w:rPr>
        <w:tab/>
      </w:r>
      <w:r w:rsidRPr="00D1565F">
        <w:rPr>
          <w:sz w:val="22"/>
          <w:szCs w:val="22"/>
        </w:rPr>
        <w:t>Commencement</w:t>
      </w:r>
    </w:p>
    <w:p w14:paraId="4ED72768" w14:textId="77777777" w:rsidR="00FE2F39" w:rsidRPr="00D1565F" w:rsidRDefault="00FE2F39" w:rsidP="007A6FBD">
      <w:pPr>
        <w:tabs>
          <w:tab w:val="left" w:pos="883"/>
        </w:tabs>
        <w:autoSpaceDE w:val="0"/>
        <w:autoSpaceDN w:val="0"/>
        <w:adjustRightInd w:val="0"/>
        <w:ind w:left="269"/>
        <w:jc w:val="both"/>
        <w:rPr>
          <w:sz w:val="22"/>
          <w:szCs w:val="22"/>
        </w:rPr>
      </w:pPr>
      <w:r w:rsidRPr="00D1565F">
        <w:rPr>
          <w:sz w:val="22"/>
          <w:szCs w:val="22"/>
        </w:rPr>
        <w:t>3.</w:t>
      </w:r>
      <w:r>
        <w:rPr>
          <w:sz w:val="22"/>
          <w:szCs w:val="22"/>
        </w:rPr>
        <w:tab/>
      </w:r>
      <w:r w:rsidRPr="00D1565F">
        <w:rPr>
          <w:sz w:val="22"/>
          <w:szCs w:val="22"/>
        </w:rPr>
        <w:t>Title</w:t>
      </w:r>
    </w:p>
    <w:p w14:paraId="2F0F9407" w14:textId="77777777" w:rsidR="00FE2F39" w:rsidRPr="00D1565F" w:rsidRDefault="00FE2F39" w:rsidP="007A6FBD">
      <w:pPr>
        <w:tabs>
          <w:tab w:val="left" w:pos="883"/>
        </w:tabs>
        <w:autoSpaceDE w:val="0"/>
        <w:autoSpaceDN w:val="0"/>
        <w:adjustRightInd w:val="0"/>
        <w:ind w:left="269"/>
        <w:jc w:val="both"/>
        <w:rPr>
          <w:sz w:val="22"/>
          <w:szCs w:val="22"/>
        </w:rPr>
      </w:pPr>
      <w:r w:rsidRPr="00D1565F">
        <w:rPr>
          <w:sz w:val="22"/>
          <w:szCs w:val="22"/>
        </w:rPr>
        <w:t>4.</w:t>
      </w:r>
      <w:r>
        <w:rPr>
          <w:sz w:val="22"/>
          <w:szCs w:val="22"/>
        </w:rPr>
        <w:tab/>
      </w:r>
      <w:r w:rsidRPr="00D1565F">
        <w:rPr>
          <w:sz w:val="22"/>
          <w:szCs w:val="22"/>
        </w:rPr>
        <w:t>Repeal of preamble</w:t>
      </w:r>
    </w:p>
    <w:p w14:paraId="03AEA2D1" w14:textId="77777777" w:rsidR="00FE2F39" w:rsidRPr="00D1565F" w:rsidRDefault="00FE2F39" w:rsidP="007A6FBD">
      <w:pPr>
        <w:tabs>
          <w:tab w:val="left" w:pos="883"/>
        </w:tabs>
        <w:autoSpaceDE w:val="0"/>
        <w:autoSpaceDN w:val="0"/>
        <w:adjustRightInd w:val="0"/>
        <w:ind w:left="269"/>
        <w:jc w:val="both"/>
        <w:rPr>
          <w:sz w:val="22"/>
          <w:szCs w:val="22"/>
        </w:rPr>
      </w:pPr>
      <w:r w:rsidRPr="00D1565F">
        <w:rPr>
          <w:sz w:val="22"/>
          <w:szCs w:val="22"/>
        </w:rPr>
        <w:t>5.</w:t>
      </w:r>
      <w:r>
        <w:rPr>
          <w:sz w:val="22"/>
          <w:szCs w:val="22"/>
        </w:rPr>
        <w:tab/>
      </w:r>
      <w:r w:rsidRPr="00D1565F">
        <w:rPr>
          <w:sz w:val="22"/>
          <w:szCs w:val="22"/>
        </w:rPr>
        <w:t>Insertion of heading</w:t>
      </w:r>
    </w:p>
    <w:p w14:paraId="5DA8F055" w14:textId="77777777" w:rsidR="00FE2F39" w:rsidRPr="00D1565F" w:rsidRDefault="00FE2F39" w:rsidP="007A6FBD">
      <w:pPr>
        <w:tabs>
          <w:tab w:val="left" w:pos="883"/>
        </w:tabs>
        <w:autoSpaceDE w:val="0"/>
        <w:autoSpaceDN w:val="0"/>
        <w:adjustRightInd w:val="0"/>
        <w:ind w:left="269"/>
        <w:jc w:val="both"/>
        <w:rPr>
          <w:sz w:val="22"/>
          <w:szCs w:val="22"/>
        </w:rPr>
      </w:pPr>
      <w:r w:rsidRPr="00D1565F">
        <w:rPr>
          <w:sz w:val="22"/>
          <w:szCs w:val="22"/>
        </w:rPr>
        <w:t>6.</w:t>
      </w:r>
      <w:r>
        <w:rPr>
          <w:sz w:val="22"/>
          <w:szCs w:val="22"/>
        </w:rPr>
        <w:tab/>
      </w:r>
      <w:r w:rsidRPr="00D1565F">
        <w:rPr>
          <w:sz w:val="22"/>
          <w:szCs w:val="22"/>
        </w:rPr>
        <w:t>Repeal of section 3 and substitution of new sections and Parts:</w:t>
      </w:r>
    </w:p>
    <w:p w14:paraId="3518E6DD" w14:textId="77777777" w:rsidR="00FE2F39" w:rsidRPr="00D1565F" w:rsidRDefault="00FE2F39" w:rsidP="007A6FBD">
      <w:pPr>
        <w:tabs>
          <w:tab w:val="left" w:pos="1824"/>
        </w:tabs>
        <w:autoSpaceDE w:val="0"/>
        <w:autoSpaceDN w:val="0"/>
        <w:adjustRightInd w:val="0"/>
        <w:ind w:left="1123"/>
        <w:jc w:val="both"/>
        <w:rPr>
          <w:sz w:val="22"/>
          <w:szCs w:val="22"/>
        </w:rPr>
      </w:pPr>
      <w:r w:rsidRPr="00D1565F">
        <w:rPr>
          <w:sz w:val="22"/>
          <w:szCs w:val="22"/>
        </w:rPr>
        <w:t>3.</w:t>
      </w:r>
      <w:r>
        <w:rPr>
          <w:sz w:val="22"/>
          <w:szCs w:val="22"/>
        </w:rPr>
        <w:tab/>
      </w:r>
      <w:r w:rsidRPr="00D1565F">
        <w:rPr>
          <w:sz w:val="22"/>
          <w:szCs w:val="22"/>
        </w:rPr>
        <w:t>Extension to external Territories</w:t>
      </w:r>
    </w:p>
    <w:p w14:paraId="175D7B0A" w14:textId="211B6A68" w:rsidR="00FE2F39" w:rsidRPr="00D1565F" w:rsidRDefault="00FE2F39" w:rsidP="007A6FBD">
      <w:pPr>
        <w:tabs>
          <w:tab w:val="left" w:pos="1824"/>
        </w:tabs>
        <w:autoSpaceDE w:val="0"/>
        <w:autoSpaceDN w:val="0"/>
        <w:adjustRightInd w:val="0"/>
        <w:ind w:left="1123"/>
        <w:jc w:val="both"/>
        <w:rPr>
          <w:sz w:val="22"/>
          <w:szCs w:val="22"/>
        </w:rPr>
      </w:pPr>
      <w:r w:rsidRPr="00D1565F">
        <w:rPr>
          <w:sz w:val="22"/>
          <w:szCs w:val="22"/>
        </w:rPr>
        <w:t>4.</w:t>
      </w:r>
      <w:r>
        <w:rPr>
          <w:sz w:val="22"/>
          <w:szCs w:val="22"/>
        </w:rPr>
        <w:tab/>
      </w:r>
      <w:r w:rsidRPr="00D1565F">
        <w:rPr>
          <w:sz w:val="22"/>
          <w:szCs w:val="22"/>
        </w:rPr>
        <w:t>Act binds the Crown</w:t>
      </w:r>
    </w:p>
    <w:p w14:paraId="7845DE6F" w14:textId="77777777" w:rsidR="00FE2F39" w:rsidRPr="00D1565F" w:rsidRDefault="00FE2F39" w:rsidP="00B476ED">
      <w:pPr>
        <w:autoSpaceDE w:val="0"/>
        <w:autoSpaceDN w:val="0"/>
        <w:adjustRightInd w:val="0"/>
        <w:spacing w:before="120"/>
        <w:jc w:val="center"/>
        <w:rPr>
          <w:sz w:val="22"/>
          <w:szCs w:val="22"/>
        </w:rPr>
      </w:pPr>
      <w:r w:rsidRPr="00D1565F">
        <w:rPr>
          <w:sz w:val="22"/>
          <w:szCs w:val="22"/>
        </w:rPr>
        <w:t>PART 2—APPROVAL OF CHARTER</w:t>
      </w:r>
    </w:p>
    <w:p w14:paraId="2B73442F" w14:textId="77777777" w:rsidR="00FE2F39" w:rsidRPr="00D1565F" w:rsidRDefault="00FE2F39" w:rsidP="00FE2F39">
      <w:pPr>
        <w:tabs>
          <w:tab w:val="left" w:pos="1824"/>
        </w:tabs>
        <w:autoSpaceDE w:val="0"/>
        <w:autoSpaceDN w:val="0"/>
        <w:adjustRightInd w:val="0"/>
        <w:spacing w:before="120"/>
        <w:ind w:left="1123"/>
        <w:jc w:val="both"/>
        <w:rPr>
          <w:sz w:val="22"/>
          <w:szCs w:val="22"/>
        </w:rPr>
      </w:pPr>
      <w:r w:rsidRPr="00D1565F">
        <w:rPr>
          <w:sz w:val="22"/>
          <w:szCs w:val="22"/>
        </w:rPr>
        <w:t>5.</w:t>
      </w:r>
      <w:r>
        <w:rPr>
          <w:sz w:val="22"/>
          <w:szCs w:val="22"/>
        </w:rPr>
        <w:tab/>
      </w:r>
      <w:r w:rsidRPr="00D1565F">
        <w:rPr>
          <w:sz w:val="22"/>
          <w:szCs w:val="22"/>
        </w:rPr>
        <w:t>Approval</w:t>
      </w:r>
    </w:p>
    <w:p w14:paraId="000B7C4B" w14:textId="77777777" w:rsidR="00FE2F39" w:rsidRPr="00D1565F" w:rsidRDefault="00FE2F39" w:rsidP="00B476ED">
      <w:pPr>
        <w:autoSpaceDE w:val="0"/>
        <w:autoSpaceDN w:val="0"/>
        <w:adjustRightInd w:val="0"/>
        <w:spacing w:before="120"/>
        <w:jc w:val="center"/>
        <w:rPr>
          <w:sz w:val="22"/>
          <w:szCs w:val="22"/>
        </w:rPr>
      </w:pPr>
      <w:r w:rsidRPr="00D1565F">
        <w:rPr>
          <w:sz w:val="22"/>
          <w:szCs w:val="22"/>
        </w:rPr>
        <w:t>PART 3—REGULATIONS TO APPLY SECURITY COUNCIL SANCTIONS</w:t>
      </w:r>
    </w:p>
    <w:p w14:paraId="53AC0C15" w14:textId="77777777" w:rsidR="00FE2F39" w:rsidRPr="00D1565F" w:rsidRDefault="00FE2F39" w:rsidP="00B476ED">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Making and effect of regulations</w:t>
      </w:r>
    </w:p>
    <w:p w14:paraId="0A585C5F" w14:textId="77777777" w:rsidR="00FE2F39" w:rsidRPr="00D1565F" w:rsidRDefault="00FE2F39" w:rsidP="00FE2F39">
      <w:pPr>
        <w:tabs>
          <w:tab w:val="left" w:pos="1824"/>
        </w:tabs>
        <w:autoSpaceDE w:val="0"/>
        <w:autoSpaceDN w:val="0"/>
        <w:adjustRightInd w:val="0"/>
        <w:spacing w:before="120"/>
        <w:ind w:left="1123"/>
        <w:jc w:val="both"/>
        <w:rPr>
          <w:sz w:val="22"/>
          <w:szCs w:val="22"/>
        </w:rPr>
      </w:pPr>
      <w:r w:rsidRPr="00D1565F">
        <w:rPr>
          <w:sz w:val="22"/>
          <w:szCs w:val="22"/>
        </w:rPr>
        <w:t>6.</w:t>
      </w:r>
      <w:r>
        <w:rPr>
          <w:sz w:val="22"/>
          <w:szCs w:val="22"/>
        </w:rPr>
        <w:tab/>
      </w:r>
      <w:r w:rsidRPr="00D1565F">
        <w:rPr>
          <w:sz w:val="22"/>
          <w:szCs w:val="22"/>
        </w:rPr>
        <w:t>Regulations may apply sanctions</w:t>
      </w:r>
    </w:p>
    <w:p w14:paraId="7ADC6859" w14:textId="77777777" w:rsidR="00FE2F39" w:rsidRPr="00D1565F" w:rsidRDefault="00FE2F39" w:rsidP="007A6FBD">
      <w:pPr>
        <w:tabs>
          <w:tab w:val="left" w:pos="1824"/>
        </w:tabs>
        <w:autoSpaceDE w:val="0"/>
        <w:autoSpaceDN w:val="0"/>
        <w:adjustRightInd w:val="0"/>
        <w:ind w:left="1123"/>
        <w:jc w:val="both"/>
        <w:rPr>
          <w:sz w:val="22"/>
          <w:szCs w:val="22"/>
        </w:rPr>
      </w:pPr>
      <w:r w:rsidRPr="00D1565F">
        <w:rPr>
          <w:sz w:val="22"/>
          <w:szCs w:val="22"/>
        </w:rPr>
        <w:t>7.</w:t>
      </w:r>
      <w:r>
        <w:rPr>
          <w:sz w:val="22"/>
          <w:szCs w:val="22"/>
        </w:rPr>
        <w:tab/>
      </w:r>
      <w:r w:rsidRPr="00D1565F">
        <w:rPr>
          <w:sz w:val="22"/>
          <w:szCs w:val="22"/>
        </w:rPr>
        <w:t>Regulations may have extra-territorial effect</w:t>
      </w:r>
    </w:p>
    <w:p w14:paraId="749C153E" w14:textId="77777777" w:rsidR="00FE2F39" w:rsidRPr="00D1565F" w:rsidRDefault="00FE2F39" w:rsidP="007A6FBD">
      <w:pPr>
        <w:tabs>
          <w:tab w:val="left" w:pos="1824"/>
        </w:tabs>
        <w:autoSpaceDE w:val="0"/>
        <w:autoSpaceDN w:val="0"/>
        <w:adjustRightInd w:val="0"/>
        <w:ind w:left="1123"/>
        <w:jc w:val="both"/>
        <w:rPr>
          <w:sz w:val="22"/>
          <w:szCs w:val="22"/>
        </w:rPr>
      </w:pPr>
      <w:r w:rsidRPr="00D1565F">
        <w:rPr>
          <w:sz w:val="22"/>
          <w:szCs w:val="22"/>
        </w:rPr>
        <w:t>8.</w:t>
      </w:r>
      <w:r>
        <w:rPr>
          <w:sz w:val="22"/>
          <w:szCs w:val="22"/>
        </w:rPr>
        <w:tab/>
      </w:r>
      <w:r w:rsidRPr="00D1565F">
        <w:rPr>
          <w:sz w:val="22"/>
          <w:szCs w:val="22"/>
        </w:rPr>
        <w:t>Regulations expire when sanctions resolution ceases to bind Australia</w:t>
      </w:r>
    </w:p>
    <w:p w14:paraId="22E7CF8E" w14:textId="77777777" w:rsidR="00FE2F39" w:rsidRPr="00D1565F" w:rsidRDefault="00FE2F39" w:rsidP="007A6FBD">
      <w:pPr>
        <w:tabs>
          <w:tab w:val="left" w:pos="1824"/>
        </w:tabs>
        <w:autoSpaceDE w:val="0"/>
        <w:autoSpaceDN w:val="0"/>
        <w:adjustRightInd w:val="0"/>
        <w:ind w:left="1123"/>
        <w:jc w:val="both"/>
        <w:rPr>
          <w:sz w:val="22"/>
          <w:szCs w:val="22"/>
        </w:rPr>
      </w:pPr>
      <w:r w:rsidRPr="00D1565F">
        <w:rPr>
          <w:sz w:val="22"/>
          <w:szCs w:val="22"/>
        </w:rPr>
        <w:t>9.</w:t>
      </w:r>
      <w:r>
        <w:rPr>
          <w:sz w:val="22"/>
          <w:szCs w:val="22"/>
        </w:rPr>
        <w:tab/>
      </w:r>
      <w:r w:rsidRPr="00D1565F">
        <w:rPr>
          <w:sz w:val="22"/>
          <w:szCs w:val="22"/>
        </w:rPr>
        <w:t>Effect of regulations on earlier Commonwealth Acts and on State and Territory laws</w:t>
      </w:r>
    </w:p>
    <w:p w14:paraId="321240F2" w14:textId="77777777" w:rsidR="00FE2F39" w:rsidRPr="00D1565F" w:rsidRDefault="00FE2F39" w:rsidP="007A6FBD">
      <w:pPr>
        <w:tabs>
          <w:tab w:val="left" w:pos="1824"/>
        </w:tabs>
        <w:autoSpaceDE w:val="0"/>
        <w:autoSpaceDN w:val="0"/>
        <w:adjustRightInd w:val="0"/>
        <w:ind w:left="1133"/>
        <w:jc w:val="both"/>
        <w:rPr>
          <w:sz w:val="22"/>
          <w:szCs w:val="22"/>
        </w:rPr>
      </w:pPr>
      <w:r w:rsidRPr="00D1565F">
        <w:rPr>
          <w:sz w:val="22"/>
          <w:szCs w:val="22"/>
        </w:rPr>
        <w:t>10.</w:t>
      </w:r>
      <w:r>
        <w:rPr>
          <w:sz w:val="22"/>
          <w:szCs w:val="22"/>
        </w:rPr>
        <w:tab/>
      </w:r>
      <w:r w:rsidRPr="00D1565F">
        <w:rPr>
          <w:sz w:val="22"/>
          <w:szCs w:val="22"/>
        </w:rPr>
        <w:t>Later Acts not to be interpreted as overriding this Part or the regulations</w:t>
      </w:r>
    </w:p>
    <w:p w14:paraId="01524CE6" w14:textId="3563B769" w:rsidR="00FE2F39" w:rsidRPr="00D1565F" w:rsidRDefault="00FE2F39" w:rsidP="007A6FBD">
      <w:pPr>
        <w:tabs>
          <w:tab w:val="left" w:pos="1824"/>
        </w:tabs>
        <w:autoSpaceDE w:val="0"/>
        <w:autoSpaceDN w:val="0"/>
        <w:adjustRightInd w:val="0"/>
        <w:ind w:left="1123"/>
        <w:jc w:val="both"/>
        <w:rPr>
          <w:sz w:val="22"/>
          <w:szCs w:val="22"/>
        </w:rPr>
      </w:pPr>
      <w:r w:rsidRPr="00D1565F">
        <w:rPr>
          <w:sz w:val="22"/>
          <w:szCs w:val="22"/>
        </w:rPr>
        <w:t>11.</w:t>
      </w:r>
      <w:r>
        <w:rPr>
          <w:sz w:val="22"/>
          <w:szCs w:val="22"/>
        </w:rPr>
        <w:tab/>
      </w:r>
      <w:r w:rsidRPr="00D1565F">
        <w:rPr>
          <w:sz w:val="22"/>
          <w:szCs w:val="22"/>
        </w:rPr>
        <w:t>Other instruments giving effect to Security Council decisions</w:t>
      </w:r>
    </w:p>
    <w:p w14:paraId="4D5CC3E2" w14:textId="77777777" w:rsidR="0029081A" w:rsidRDefault="0029081A" w:rsidP="00B476ED">
      <w:pPr>
        <w:autoSpaceDE w:val="0"/>
        <w:autoSpaceDN w:val="0"/>
        <w:adjustRightInd w:val="0"/>
        <w:spacing w:before="120"/>
        <w:jc w:val="center"/>
        <w:rPr>
          <w:sz w:val="22"/>
          <w:szCs w:val="22"/>
        </w:rPr>
        <w:sectPr w:rsidR="0029081A" w:rsidSect="0029081A">
          <w:headerReference w:type="default" r:id="rId8"/>
          <w:pgSz w:w="12240" w:h="15840" w:code="1"/>
          <w:pgMar w:top="1440" w:right="1440" w:bottom="1440" w:left="1440" w:header="720" w:footer="720" w:gutter="0"/>
          <w:cols w:space="720"/>
          <w:titlePg/>
          <w:docGrid w:linePitch="360"/>
        </w:sectPr>
      </w:pPr>
    </w:p>
    <w:p w14:paraId="7AD39502" w14:textId="77777777" w:rsidR="00FE2F39" w:rsidRPr="00D1565F" w:rsidRDefault="00FE2F39" w:rsidP="00B476ED">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22086637" w14:textId="77777777" w:rsidR="00FE2F39" w:rsidRPr="00D1565F" w:rsidRDefault="00FE2F39" w:rsidP="00FE2F39">
      <w:pPr>
        <w:autoSpaceDE w:val="0"/>
        <w:autoSpaceDN w:val="0"/>
        <w:adjustRightInd w:val="0"/>
        <w:spacing w:before="120"/>
        <w:jc w:val="both"/>
        <w:rPr>
          <w:sz w:val="22"/>
          <w:szCs w:val="22"/>
        </w:rPr>
      </w:pPr>
      <w:r w:rsidRPr="00D1565F">
        <w:rPr>
          <w:sz w:val="22"/>
          <w:szCs w:val="22"/>
        </w:rPr>
        <w:t>Section</w:t>
      </w:r>
    </w:p>
    <w:p w14:paraId="37460274" w14:textId="77777777" w:rsidR="00FE2F39" w:rsidRPr="00D1565F" w:rsidRDefault="00FE2F39" w:rsidP="00B476ED">
      <w:pPr>
        <w:autoSpaceDE w:val="0"/>
        <w:autoSpaceDN w:val="0"/>
        <w:adjustRightInd w:val="0"/>
        <w:spacing w:before="120"/>
        <w:jc w:val="center"/>
        <w:rPr>
          <w:sz w:val="22"/>
          <w:szCs w:val="22"/>
        </w:rPr>
      </w:pPr>
      <w:r w:rsidRPr="00D1565F">
        <w:rPr>
          <w:i/>
          <w:iCs/>
          <w:sz w:val="22"/>
          <w:szCs w:val="22"/>
        </w:rPr>
        <w:t xml:space="preserve">Division 2 </w:t>
      </w:r>
      <w:r w:rsidRPr="00D1565F">
        <w:rPr>
          <w:sz w:val="22"/>
          <w:szCs w:val="22"/>
        </w:rPr>
        <w:t>—</w:t>
      </w:r>
      <w:r w:rsidRPr="00D1565F">
        <w:rPr>
          <w:i/>
          <w:iCs/>
          <w:sz w:val="22"/>
          <w:szCs w:val="22"/>
        </w:rPr>
        <w:t>Enforcing the regulations</w:t>
      </w:r>
    </w:p>
    <w:p w14:paraId="13D8F801" w14:textId="77777777" w:rsidR="00FE2F39" w:rsidRPr="00D1565F" w:rsidRDefault="00FE2F39" w:rsidP="00FE2F39">
      <w:pPr>
        <w:tabs>
          <w:tab w:val="left" w:pos="1891"/>
        </w:tabs>
        <w:autoSpaceDE w:val="0"/>
        <w:autoSpaceDN w:val="0"/>
        <w:adjustRightInd w:val="0"/>
        <w:spacing w:before="120"/>
        <w:ind w:left="1181"/>
        <w:jc w:val="both"/>
        <w:rPr>
          <w:sz w:val="22"/>
          <w:szCs w:val="22"/>
        </w:rPr>
      </w:pPr>
      <w:r w:rsidRPr="00D1565F">
        <w:rPr>
          <w:sz w:val="22"/>
          <w:szCs w:val="22"/>
        </w:rPr>
        <w:t>12.</w:t>
      </w:r>
      <w:r>
        <w:rPr>
          <w:sz w:val="22"/>
          <w:szCs w:val="22"/>
        </w:rPr>
        <w:tab/>
      </w:r>
      <w:r w:rsidRPr="00D1565F">
        <w:rPr>
          <w:sz w:val="22"/>
          <w:szCs w:val="22"/>
        </w:rPr>
        <w:t>Offences</w:t>
      </w:r>
    </w:p>
    <w:p w14:paraId="05AF0C5E" w14:textId="1B80A52D" w:rsidR="00FE2F39" w:rsidRPr="00D1565F" w:rsidRDefault="00FE2F39" w:rsidP="007A6FBD">
      <w:pPr>
        <w:tabs>
          <w:tab w:val="left" w:pos="1891"/>
        </w:tabs>
        <w:autoSpaceDE w:val="0"/>
        <w:autoSpaceDN w:val="0"/>
        <w:adjustRightInd w:val="0"/>
        <w:ind w:left="1181"/>
        <w:jc w:val="both"/>
        <w:rPr>
          <w:sz w:val="22"/>
          <w:szCs w:val="22"/>
        </w:rPr>
      </w:pPr>
      <w:r w:rsidRPr="00D1565F">
        <w:rPr>
          <w:sz w:val="22"/>
          <w:szCs w:val="22"/>
        </w:rPr>
        <w:t>13.</w:t>
      </w:r>
      <w:r>
        <w:rPr>
          <w:sz w:val="22"/>
          <w:szCs w:val="22"/>
        </w:rPr>
        <w:tab/>
      </w:r>
      <w:r w:rsidRPr="00D1565F">
        <w:rPr>
          <w:sz w:val="22"/>
          <w:szCs w:val="22"/>
        </w:rPr>
        <w:t>Injunctions</w:t>
      </w:r>
    </w:p>
    <w:p w14:paraId="277A28FF" w14:textId="77777777" w:rsidR="0029081A" w:rsidRDefault="0029081A" w:rsidP="00B476ED">
      <w:pPr>
        <w:autoSpaceDE w:val="0"/>
        <w:autoSpaceDN w:val="0"/>
        <w:adjustRightInd w:val="0"/>
        <w:spacing w:before="120"/>
        <w:jc w:val="center"/>
        <w:rPr>
          <w:sz w:val="22"/>
          <w:szCs w:val="22"/>
        </w:rPr>
        <w:sectPr w:rsidR="0029081A" w:rsidSect="0029081A">
          <w:pgSz w:w="12240" w:h="15840" w:code="1"/>
          <w:pgMar w:top="1440" w:right="1440" w:bottom="1440" w:left="1440" w:header="720" w:footer="720" w:gutter="0"/>
          <w:cols w:space="720"/>
          <w:titlePg/>
          <w:docGrid w:linePitch="360"/>
        </w:sectPr>
      </w:pPr>
    </w:p>
    <w:p w14:paraId="148396FB" w14:textId="77777777" w:rsidR="00FE2F39" w:rsidRPr="00D1565F" w:rsidRDefault="007F6274" w:rsidP="00B476ED">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CBB7111" wp14:editId="1DED8DFE">
            <wp:extent cx="1348740" cy="9829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982980"/>
                    </a:xfrm>
                    <a:prstGeom prst="rect">
                      <a:avLst/>
                    </a:prstGeom>
                    <a:noFill/>
                    <a:ln>
                      <a:noFill/>
                    </a:ln>
                  </pic:spPr>
                </pic:pic>
              </a:graphicData>
            </a:graphic>
          </wp:inline>
        </w:drawing>
      </w:r>
    </w:p>
    <w:p w14:paraId="1743D495" w14:textId="77777777" w:rsidR="00FE2F39" w:rsidRPr="00B476ED" w:rsidRDefault="00FE2F39" w:rsidP="00B476ED">
      <w:pPr>
        <w:autoSpaceDE w:val="0"/>
        <w:autoSpaceDN w:val="0"/>
        <w:adjustRightInd w:val="0"/>
        <w:spacing w:before="720"/>
        <w:jc w:val="center"/>
        <w:rPr>
          <w:sz w:val="36"/>
          <w:szCs w:val="22"/>
        </w:rPr>
      </w:pPr>
      <w:r w:rsidRPr="00B476ED">
        <w:rPr>
          <w:b/>
          <w:bCs/>
          <w:sz w:val="36"/>
          <w:szCs w:val="22"/>
        </w:rPr>
        <w:t>Charter of the United Nations Amendment Act 1993</w:t>
      </w:r>
    </w:p>
    <w:p w14:paraId="203F10DA" w14:textId="77777777" w:rsidR="00FE2F39" w:rsidRPr="00AA721A" w:rsidRDefault="00FE2F39" w:rsidP="002C63F3">
      <w:pPr>
        <w:autoSpaceDE w:val="0"/>
        <w:autoSpaceDN w:val="0"/>
        <w:adjustRightInd w:val="0"/>
        <w:spacing w:before="720"/>
        <w:jc w:val="center"/>
        <w:rPr>
          <w:szCs w:val="22"/>
        </w:rPr>
      </w:pPr>
      <w:r w:rsidRPr="00AA721A">
        <w:rPr>
          <w:b/>
          <w:bCs/>
          <w:szCs w:val="22"/>
        </w:rPr>
        <w:t>No. 30 of 1993</w:t>
      </w:r>
    </w:p>
    <w:p w14:paraId="2E7641EE" w14:textId="203223CC" w:rsidR="00B476ED" w:rsidRPr="00B476ED" w:rsidRDefault="00B476ED" w:rsidP="00B476ED">
      <w:pPr>
        <w:pBdr>
          <w:bottom w:val="double" w:sz="4" w:space="1" w:color="auto"/>
        </w:pBdr>
        <w:autoSpaceDE w:val="0"/>
        <w:autoSpaceDN w:val="0"/>
        <w:adjustRightInd w:val="0"/>
        <w:spacing w:before="720"/>
        <w:jc w:val="center"/>
        <w:rPr>
          <w:bCs/>
          <w:sz w:val="22"/>
          <w:szCs w:val="22"/>
        </w:rPr>
      </w:pPr>
    </w:p>
    <w:p w14:paraId="09CC0CEC" w14:textId="77777777" w:rsidR="00FE2F39" w:rsidRPr="00B476ED" w:rsidRDefault="00FE2F39" w:rsidP="00B476ED">
      <w:pPr>
        <w:autoSpaceDE w:val="0"/>
        <w:autoSpaceDN w:val="0"/>
        <w:adjustRightInd w:val="0"/>
        <w:spacing w:before="720"/>
        <w:jc w:val="center"/>
        <w:rPr>
          <w:sz w:val="26"/>
          <w:szCs w:val="22"/>
        </w:rPr>
      </w:pPr>
      <w:r w:rsidRPr="00B476ED">
        <w:rPr>
          <w:b/>
          <w:bCs/>
          <w:sz w:val="26"/>
          <w:szCs w:val="22"/>
        </w:rPr>
        <w:t xml:space="preserve">An Act to amend the </w:t>
      </w:r>
      <w:r w:rsidRPr="00B476ED">
        <w:rPr>
          <w:b/>
          <w:bCs/>
          <w:i/>
          <w:iCs/>
          <w:sz w:val="26"/>
          <w:szCs w:val="22"/>
        </w:rPr>
        <w:t>Charter of the United Nations Act 1945</w:t>
      </w:r>
    </w:p>
    <w:p w14:paraId="74187BD1" w14:textId="77777777" w:rsidR="00FE2F39" w:rsidRPr="00D1565F" w:rsidRDefault="00FE2F39" w:rsidP="00B476ED">
      <w:pPr>
        <w:autoSpaceDE w:val="0"/>
        <w:autoSpaceDN w:val="0"/>
        <w:adjustRightInd w:val="0"/>
        <w:spacing w:before="120"/>
        <w:jc w:val="right"/>
        <w:rPr>
          <w:sz w:val="22"/>
          <w:szCs w:val="22"/>
        </w:rPr>
      </w:pPr>
      <w:r w:rsidRPr="00D1565F">
        <w:rPr>
          <w:sz w:val="22"/>
          <w:szCs w:val="22"/>
        </w:rPr>
        <w:t>[</w:t>
      </w:r>
      <w:r w:rsidRPr="00D1565F">
        <w:rPr>
          <w:i/>
          <w:iCs/>
          <w:sz w:val="22"/>
          <w:szCs w:val="22"/>
        </w:rPr>
        <w:t>Assented to 9 June 1993</w:t>
      </w:r>
      <w:r w:rsidRPr="00D1565F">
        <w:rPr>
          <w:sz w:val="22"/>
          <w:szCs w:val="22"/>
        </w:rPr>
        <w:t>]</w:t>
      </w:r>
    </w:p>
    <w:p w14:paraId="6A530911" w14:textId="77777777" w:rsidR="00FE2F39" w:rsidRPr="00D1565F" w:rsidRDefault="00FE2F39" w:rsidP="00FE2F39">
      <w:pPr>
        <w:autoSpaceDE w:val="0"/>
        <w:autoSpaceDN w:val="0"/>
        <w:adjustRightInd w:val="0"/>
        <w:spacing w:before="120"/>
        <w:ind w:left="384"/>
        <w:jc w:val="both"/>
        <w:rPr>
          <w:sz w:val="22"/>
          <w:szCs w:val="22"/>
        </w:rPr>
      </w:pPr>
      <w:r w:rsidRPr="00D1565F">
        <w:rPr>
          <w:sz w:val="22"/>
          <w:szCs w:val="22"/>
        </w:rPr>
        <w:t>The Parliament of Australia enacts:</w:t>
      </w:r>
    </w:p>
    <w:p w14:paraId="0E8FD308"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Short title etc.</w:t>
      </w:r>
    </w:p>
    <w:p w14:paraId="3E9F8511" w14:textId="75AD0E0B" w:rsidR="00FE2F39" w:rsidRPr="00D1565F" w:rsidRDefault="00FE2F39" w:rsidP="00FE2F39">
      <w:pPr>
        <w:autoSpaceDE w:val="0"/>
        <w:autoSpaceDN w:val="0"/>
        <w:adjustRightInd w:val="0"/>
        <w:spacing w:before="120"/>
        <w:ind w:firstLine="355"/>
        <w:jc w:val="both"/>
        <w:rPr>
          <w:sz w:val="22"/>
          <w:szCs w:val="22"/>
        </w:rPr>
      </w:pPr>
      <w:r w:rsidRPr="00D1565F">
        <w:rPr>
          <w:b/>
          <w:bCs/>
          <w:sz w:val="22"/>
          <w:szCs w:val="22"/>
        </w:rPr>
        <w:t>1</w:t>
      </w:r>
      <w:r w:rsidRPr="00D1565F">
        <w:rPr>
          <w:sz w:val="22"/>
          <w:szCs w:val="22"/>
        </w:rPr>
        <w:t>.</w:t>
      </w:r>
      <w:r w:rsidR="00B476ED">
        <w:rPr>
          <w:sz w:val="22"/>
          <w:szCs w:val="22"/>
        </w:rPr>
        <w:tab/>
      </w:r>
      <w:r w:rsidRPr="00AA721A">
        <w:rPr>
          <w:b/>
          <w:sz w:val="22"/>
          <w:szCs w:val="22"/>
        </w:rPr>
        <w:t>(</w:t>
      </w:r>
      <w:r w:rsidRPr="00AA721A">
        <w:rPr>
          <w:b/>
          <w:bCs/>
          <w:sz w:val="22"/>
          <w:szCs w:val="22"/>
        </w:rPr>
        <w:t>1</w:t>
      </w:r>
      <w:r w:rsidRPr="00AA721A">
        <w:rPr>
          <w:b/>
          <w:sz w:val="22"/>
          <w:szCs w:val="22"/>
        </w:rPr>
        <w:t>)</w:t>
      </w:r>
      <w:r w:rsidR="00B476ED">
        <w:rPr>
          <w:sz w:val="22"/>
          <w:szCs w:val="22"/>
        </w:rPr>
        <w:t xml:space="preserve"> </w:t>
      </w:r>
      <w:r w:rsidRPr="00D1565F">
        <w:rPr>
          <w:sz w:val="22"/>
          <w:szCs w:val="22"/>
        </w:rPr>
        <w:t xml:space="preserve">This Act may be cited as the </w:t>
      </w:r>
      <w:r w:rsidRPr="00D1565F">
        <w:rPr>
          <w:i/>
          <w:iCs/>
          <w:sz w:val="22"/>
          <w:szCs w:val="22"/>
        </w:rPr>
        <w:t>Charter of the United Nations Amendment Act 1993.</w:t>
      </w:r>
    </w:p>
    <w:p w14:paraId="08C0A8A2" w14:textId="08D51578" w:rsidR="00FE2F39" w:rsidRPr="00D1565F" w:rsidRDefault="00FE2F39" w:rsidP="00FE2F39">
      <w:pPr>
        <w:tabs>
          <w:tab w:val="left" w:pos="350"/>
        </w:tabs>
        <w:autoSpaceDE w:val="0"/>
        <w:autoSpaceDN w:val="0"/>
        <w:adjustRightInd w:val="0"/>
        <w:spacing w:before="120"/>
        <w:ind w:firstLine="350"/>
        <w:jc w:val="both"/>
        <w:rPr>
          <w:sz w:val="22"/>
          <w:szCs w:val="22"/>
        </w:rPr>
      </w:pPr>
      <w:r w:rsidRPr="00AA721A">
        <w:rPr>
          <w:b/>
          <w:sz w:val="22"/>
          <w:szCs w:val="22"/>
        </w:rPr>
        <w:t>(</w:t>
      </w:r>
      <w:r w:rsidRPr="00AA721A">
        <w:rPr>
          <w:b/>
          <w:bCs/>
          <w:sz w:val="22"/>
          <w:szCs w:val="22"/>
        </w:rPr>
        <w:t>2</w:t>
      </w:r>
      <w:r w:rsidRPr="00AA721A">
        <w:rPr>
          <w:b/>
          <w:sz w:val="22"/>
          <w:szCs w:val="22"/>
        </w:rPr>
        <w:t>)</w:t>
      </w:r>
      <w:r>
        <w:rPr>
          <w:sz w:val="22"/>
          <w:szCs w:val="22"/>
        </w:rPr>
        <w:tab/>
      </w:r>
      <w:r w:rsidRPr="00D1565F">
        <w:rPr>
          <w:sz w:val="22"/>
          <w:szCs w:val="22"/>
        </w:rPr>
        <w:t xml:space="preserve">In this Act, </w:t>
      </w:r>
      <w:r w:rsidRPr="00D1565F">
        <w:rPr>
          <w:b/>
          <w:bCs/>
          <w:sz w:val="22"/>
          <w:szCs w:val="22"/>
        </w:rPr>
        <w:t xml:space="preserve">“Principal Act” </w:t>
      </w:r>
      <w:r w:rsidRPr="00D1565F">
        <w:rPr>
          <w:sz w:val="22"/>
          <w:szCs w:val="22"/>
        </w:rPr>
        <w:t xml:space="preserve">means the </w:t>
      </w:r>
      <w:r w:rsidRPr="00D1565F">
        <w:rPr>
          <w:i/>
          <w:iCs/>
          <w:sz w:val="22"/>
          <w:szCs w:val="22"/>
        </w:rPr>
        <w:t>Charter of the United Nations Act 1945</w:t>
      </w:r>
      <w:r w:rsidRPr="00D1565F">
        <w:rPr>
          <w:sz w:val="22"/>
          <w:szCs w:val="22"/>
          <w:vertAlign w:val="superscript"/>
        </w:rPr>
        <w:t>1</w:t>
      </w:r>
      <w:r w:rsidRPr="00D1565F">
        <w:rPr>
          <w:sz w:val="22"/>
          <w:szCs w:val="22"/>
        </w:rPr>
        <w:t>.</w:t>
      </w:r>
    </w:p>
    <w:p w14:paraId="6211FEF4"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Commencement</w:t>
      </w:r>
    </w:p>
    <w:p w14:paraId="676EC801" w14:textId="77777777" w:rsidR="00FE2F39" w:rsidRPr="00D1565F" w:rsidRDefault="00FE2F39" w:rsidP="00FE2F39">
      <w:pPr>
        <w:autoSpaceDE w:val="0"/>
        <w:autoSpaceDN w:val="0"/>
        <w:adjustRightInd w:val="0"/>
        <w:spacing w:before="120"/>
        <w:ind w:left="341"/>
        <w:jc w:val="both"/>
        <w:rPr>
          <w:sz w:val="22"/>
          <w:szCs w:val="22"/>
        </w:rPr>
      </w:pPr>
      <w:r w:rsidRPr="00D1565F">
        <w:rPr>
          <w:b/>
          <w:bCs/>
          <w:sz w:val="22"/>
          <w:szCs w:val="22"/>
        </w:rPr>
        <w:t>2</w:t>
      </w:r>
      <w:r w:rsidRPr="00D1565F">
        <w:rPr>
          <w:sz w:val="22"/>
          <w:szCs w:val="22"/>
        </w:rPr>
        <w:t>.</w:t>
      </w:r>
      <w:r>
        <w:rPr>
          <w:sz w:val="22"/>
          <w:szCs w:val="22"/>
        </w:rPr>
        <w:tab/>
      </w:r>
      <w:r w:rsidRPr="00D1565F">
        <w:rPr>
          <w:sz w:val="22"/>
          <w:szCs w:val="22"/>
        </w:rPr>
        <w:t>This Act commences on the day on which it receives the Royal Assent.</w:t>
      </w:r>
    </w:p>
    <w:p w14:paraId="1FFBC7C0"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Title</w:t>
      </w:r>
    </w:p>
    <w:p w14:paraId="192ACE1E" w14:textId="77777777" w:rsidR="00FE2F39" w:rsidRPr="00D1565F" w:rsidRDefault="00FE2F39" w:rsidP="00FE2F39">
      <w:pPr>
        <w:tabs>
          <w:tab w:val="left" w:pos="336"/>
        </w:tabs>
        <w:autoSpaceDE w:val="0"/>
        <w:autoSpaceDN w:val="0"/>
        <w:adjustRightInd w:val="0"/>
        <w:spacing w:before="120"/>
        <w:ind w:left="336"/>
        <w:jc w:val="both"/>
        <w:rPr>
          <w:sz w:val="22"/>
          <w:szCs w:val="22"/>
        </w:rPr>
      </w:pPr>
      <w:r w:rsidRPr="00D1565F">
        <w:rPr>
          <w:b/>
          <w:bCs/>
          <w:sz w:val="22"/>
          <w:szCs w:val="22"/>
        </w:rPr>
        <w:t>3</w:t>
      </w:r>
      <w:r w:rsidRPr="00D1565F">
        <w:rPr>
          <w:sz w:val="22"/>
          <w:szCs w:val="22"/>
        </w:rPr>
        <w:t>.</w:t>
      </w:r>
      <w:r>
        <w:rPr>
          <w:sz w:val="22"/>
          <w:szCs w:val="22"/>
        </w:rPr>
        <w:tab/>
      </w:r>
      <w:r w:rsidRPr="00D1565F">
        <w:rPr>
          <w:sz w:val="22"/>
          <w:szCs w:val="22"/>
        </w:rPr>
        <w:t>The title of the Principal Act is repealed and the following title is substituted:</w:t>
      </w:r>
    </w:p>
    <w:p w14:paraId="10DC09FC" w14:textId="47B3635A" w:rsidR="00FE2F39" w:rsidRPr="00D1565F" w:rsidRDefault="00FE2F39" w:rsidP="00AA721A">
      <w:pPr>
        <w:autoSpaceDE w:val="0"/>
        <w:autoSpaceDN w:val="0"/>
        <w:adjustRightInd w:val="0"/>
        <w:spacing w:before="120"/>
        <w:ind w:left="72" w:hanging="72"/>
        <w:jc w:val="center"/>
        <w:rPr>
          <w:sz w:val="22"/>
          <w:szCs w:val="22"/>
        </w:rPr>
      </w:pPr>
      <w:r w:rsidRPr="00D1565F">
        <w:rPr>
          <w:sz w:val="22"/>
          <w:szCs w:val="22"/>
        </w:rPr>
        <w:br w:type="page"/>
      </w:r>
      <w:r w:rsidRPr="00AA721A">
        <w:rPr>
          <w:bCs/>
          <w:sz w:val="22"/>
          <w:szCs w:val="22"/>
        </w:rPr>
        <w:lastRenderedPageBreak/>
        <w:t>“</w:t>
      </w:r>
      <w:r w:rsidRPr="00D1565F">
        <w:rPr>
          <w:b/>
          <w:bCs/>
          <w:sz w:val="22"/>
          <w:szCs w:val="22"/>
        </w:rPr>
        <w:t>An Act to approve the Charter of the United Nations, and to enable Australia to apply sanctions giving effect to certain decisions of the</w:t>
      </w:r>
      <w:r w:rsidR="00AA721A">
        <w:rPr>
          <w:sz w:val="22"/>
          <w:szCs w:val="22"/>
        </w:rPr>
        <w:t xml:space="preserve"> </w:t>
      </w:r>
      <w:r w:rsidRPr="00D1565F">
        <w:rPr>
          <w:b/>
          <w:bCs/>
          <w:sz w:val="22"/>
          <w:szCs w:val="22"/>
        </w:rPr>
        <w:t>Security Council</w:t>
      </w:r>
      <w:r w:rsidRPr="00AA721A">
        <w:rPr>
          <w:bCs/>
          <w:sz w:val="22"/>
          <w:szCs w:val="22"/>
        </w:rPr>
        <w:t>”.</w:t>
      </w:r>
    </w:p>
    <w:p w14:paraId="6477BB7F"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Repeal of preamble</w:t>
      </w:r>
    </w:p>
    <w:p w14:paraId="6060E4C1" w14:textId="77777777" w:rsidR="00FE2F39" w:rsidRPr="00D1565F" w:rsidRDefault="00FE2F39" w:rsidP="00FE2F39">
      <w:pPr>
        <w:tabs>
          <w:tab w:val="left" w:pos="653"/>
        </w:tabs>
        <w:autoSpaceDE w:val="0"/>
        <w:autoSpaceDN w:val="0"/>
        <w:adjustRightInd w:val="0"/>
        <w:spacing w:before="120"/>
        <w:ind w:left="350"/>
        <w:jc w:val="both"/>
        <w:rPr>
          <w:sz w:val="22"/>
          <w:szCs w:val="22"/>
        </w:rPr>
      </w:pPr>
      <w:r w:rsidRPr="00D1565F">
        <w:rPr>
          <w:b/>
          <w:bCs/>
          <w:sz w:val="22"/>
          <w:szCs w:val="22"/>
        </w:rPr>
        <w:t>4.</w:t>
      </w:r>
      <w:r>
        <w:rPr>
          <w:b/>
          <w:bCs/>
          <w:sz w:val="22"/>
          <w:szCs w:val="22"/>
        </w:rPr>
        <w:tab/>
      </w:r>
      <w:r w:rsidRPr="00D1565F">
        <w:rPr>
          <w:sz w:val="22"/>
          <w:szCs w:val="22"/>
        </w:rPr>
        <w:t>The preamble to the Principal Act is repealed.</w:t>
      </w:r>
    </w:p>
    <w:p w14:paraId="0034B65B"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Insertion of heading</w:t>
      </w:r>
    </w:p>
    <w:p w14:paraId="0144664D" w14:textId="77777777" w:rsidR="00FE2F39" w:rsidRPr="00D1565F" w:rsidRDefault="00FE2F39" w:rsidP="00FE2F39">
      <w:pPr>
        <w:tabs>
          <w:tab w:val="left" w:pos="653"/>
        </w:tabs>
        <w:autoSpaceDE w:val="0"/>
        <w:autoSpaceDN w:val="0"/>
        <w:adjustRightInd w:val="0"/>
        <w:spacing w:before="120"/>
        <w:ind w:left="350"/>
        <w:jc w:val="both"/>
        <w:rPr>
          <w:sz w:val="22"/>
          <w:szCs w:val="22"/>
        </w:rPr>
      </w:pPr>
      <w:r w:rsidRPr="00D1565F">
        <w:rPr>
          <w:b/>
          <w:bCs/>
          <w:sz w:val="22"/>
          <w:szCs w:val="22"/>
        </w:rPr>
        <w:t>5.</w:t>
      </w:r>
      <w:r>
        <w:rPr>
          <w:b/>
          <w:bCs/>
          <w:sz w:val="22"/>
          <w:szCs w:val="22"/>
        </w:rPr>
        <w:tab/>
      </w:r>
      <w:r w:rsidRPr="00D1565F">
        <w:rPr>
          <w:sz w:val="22"/>
          <w:szCs w:val="22"/>
        </w:rPr>
        <w:t>Before section 1 of the Principal Act the following heading is inserted:</w:t>
      </w:r>
    </w:p>
    <w:p w14:paraId="38155604" w14:textId="423BA22E" w:rsidR="00FE2F39" w:rsidRPr="00D1565F" w:rsidRDefault="00FE2F39" w:rsidP="00AA721A">
      <w:pPr>
        <w:autoSpaceDE w:val="0"/>
        <w:autoSpaceDN w:val="0"/>
        <w:adjustRightInd w:val="0"/>
        <w:spacing w:before="240"/>
        <w:jc w:val="center"/>
        <w:rPr>
          <w:sz w:val="22"/>
          <w:szCs w:val="22"/>
        </w:rPr>
      </w:pPr>
      <w:r w:rsidRPr="00AA721A">
        <w:rPr>
          <w:bCs/>
          <w:sz w:val="22"/>
          <w:szCs w:val="22"/>
        </w:rPr>
        <w:t>“</w:t>
      </w:r>
      <w:r w:rsidRPr="00D1565F">
        <w:rPr>
          <w:b/>
          <w:bCs/>
          <w:sz w:val="22"/>
          <w:szCs w:val="22"/>
        </w:rPr>
        <w:t>PART 1—PRELIMINARY</w:t>
      </w:r>
      <w:r w:rsidRPr="00AA721A">
        <w:rPr>
          <w:bCs/>
          <w:sz w:val="22"/>
          <w:szCs w:val="22"/>
        </w:rPr>
        <w:t>”.</w:t>
      </w:r>
    </w:p>
    <w:p w14:paraId="2591A897" w14:textId="77777777" w:rsidR="00FE2F39" w:rsidRPr="00D1565F" w:rsidRDefault="00FE2F39" w:rsidP="00FE2F39">
      <w:pPr>
        <w:tabs>
          <w:tab w:val="left" w:pos="624"/>
        </w:tabs>
        <w:autoSpaceDE w:val="0"/>
        <w:autoSpaceDN w:val="0"/>
        <w:adjustRightInd w:val="0"/>
        <w:spacing w:before="120"/>
        <w:ind w:firstLine="322"/>
        <w:jc w:val="both"/>
        <w:rPr>
          <w:sz w:val="22"/>
          <w:szCs w:val="22"/>
        </w:rPr>
      </w:pPr>
      <w:r w:rsidRPr="00D1565F">
        <w:rPr>
          <w:b/>
          <w:bCs/>
          <w:sz w:val="22"/>
          <w:szCs w:val="22"/>
        </w:rPr>
        <w:t>6.</w:t>
      </w:r>
      <w:r>
        <w:rPr>
          <w:b/>
          <w:bCs/>
          <w:sz w:val="22"/>
          <w:szCs w:val="22"/>
        </w:rPr>
        <w:tab/>
      </w:r>
      <w:r w:rsidRPr="00D1565F">
        <w:rPr>
          <w:sz w:val="22"/>
          <w:szCs w:val="22"/>
        </w:rPr>
        <w:t>Section 3 of the Principal Act is repealed and the following sections and Parts are substituted:</w:t>
      </w:r>
    </w:p>
    <w:p w14:paraId="5FFD6C70"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Extension to external Territories</w:t>
      </w:r>
    </w:p>
    <w:p w14:paraId="1835FEC0" w14:textId="77777777" w:rsidR="00FE2F39" w:rsidRPr="00D1565F" w:rsidRDefault="00FE2F39" w:rsidP="00FE2F39">
      <w:pPr>
        <w:autoSpaceDE w:val="0"/>
        <w:autoSpaceDN w:val="0"/>
        <w:adjustRightInd w:val="0"/>
        <w:spacing w:before="120"/>
        <w:ind w:left="355"/>
        <w:jc w:val="both"/>
        <w:rPr>
          <w:sz w:val="22"/>
          <w:szCs w:val="22"/>
        </w:rPr>
      </w:pPr>
      <w:r w:rsidRPr="00D1565F">
        <w:rPr>
          <w:sz w:val="22"/>
          <w:szCs w:val="22"/>
        </w:rPr>
        <w:t>“3. This Act extends to every external Territory.</w:t>
      </w:r>
    </w:p>
    <w:p w14:paraId="6A7ABB1A"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Act binds the Crown</w:t>
      </w:r>
    </w:p>
    <w:p w14:paraId="0168CCDC"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“4.(1) This Act binds the Crown in right of the Commonwealth, of each of the States, of the Australian Capital Territory, of the Northern Territory and of Norfolk Island.</w:t>
      </w:r>
    </w:p>
    <w:p w14:paraId="2C87C36E"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Nothing in this Act renders the Crown in any right liable to be prosecuted for an offence.</w:t>
      </w:r>
    </w:p>
    <w:p w14:paraId="6F610C94" w14:textId="7102439F" w:rsidR="00FE2F39" w:rsidRPr="00D1565F" w:rsidRDefault="00FE2F39" w:rsidP="00AA721A">
      <w:pPr>
        <w:autoSpaceDE w:val="0"/>
        <w:autoSpaceDN w:val="0"/>
        <w:adjustRightInd w:val="0"/>
        <w:spacing w:before="240"/>
        <w:jc w:val="center"/>
        <w:rPr>
          <w:sz w:val="22"/>
          <w:szCs w:val="22"/>
        </w:rPr>
      </w:pPr>
      <w:r w:rsidRPr="00AA721A">
        <w:rPr>
          <w:bCs/>
          <w:sz w:val="22"/>
          <w:szCs w:val="22"/>
        </w:rPr>
        <w:t>“</w:t>
      </w:r>
      <w:r w:rsidRPr="00D1565F">
        <w:rPr>
          <w:b/>
          <w:bCs/>
          <w:sz w:val="22"/>
          <w:szCs w:val="22"/>
        </w:rPr>
        <w:t>PART 2—APPROVAL OF CHARTER</w:t>
      </w:r>
    </w:p>
    <w:p w14:paraId="792C8941"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Approval</w:t>
      </w:r>
    </w:p>
    <w:p w14:paraId="3C9A7208"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t>“5. The Charter of the United Nations (a copy of which is set out in the Schedule) is approved.</w:t>
      </w:r>
    </w:p>
    <w:p w14:paraId="0C157AA5" w14:textId="352CE6B3" w:rsidR="00FE2F39" w:rsidRPr="00D1565F" w:rsidRDefault="00FE2F39" w:rsidP="00AA721A">
      <w:pPr>
        <w:autoSpaceDE w:val="0"/>
        <w:autoSpaceDN w:val="0"/>
        <w:adjustRightInd w:val="0"/>
        <w:spacing w:before="240"/>
        <w:jc w:val="center"/>
        <w:rPr>
          <w:sz w:val="22"/>
          <w:szCs w:val="22"/>
        </w:rPr>
      </w:pPr>
      <w:r w:rsidRPr="00AA721A">
        <w:rPr>
          <w:bCs/>
          <w:sz w:val="22"/>
          <w:szCs w:val="22"/>
        </w:rPr>
        <w:t>“</w:t>
      </w:r>
      <w:r w:rsidRPr="00D1565F">
        <w:rPr>
          <w:b/>
          <w:bCs/>
          <w:sz w:val="22"/>
          <w:szCs w:val="22"/>
        </w:rPr>
        <w:t>PART 3—REGULATIONS TO APPLY SECURITY COUNCIL</w:t>
      </w:r>
      <w:r w:rsidR="00AA721A">
        <w:rPr>
          <w:sz w:val="22"/>
          <w:szCs w:val="22"/>
        </w:rPr>
        <w:t xml:space="preserve"> </w:t>
      </w:r>
      <w:r w:rsidRPr="00D1565F">
        <w:rPr>
          <w:b/>
          <w:bCs/>
          <w:sz w:val="22"/>
          <w:szCs w:val="22"/>
        </w:rPr>
        <w:t>SANCTIONS</w:t>
      </w:r>
    </w:p>
    <w:p w14:paraId="2F0EC856" w14:textId="68834C1E" w:rsidR="00FE2F39" w:rsidRPr="00D1565F" w:rsidRDefault="00FE2F39" w:rsidP="00B476ED">
      <w:pPr>
        <w:autoSpaceDE w:val="0"/>
        <w:autoSpaceDN w:val="0"/>
        <w:adjustRightInd w:val="0"/>
        <w:spacing w:before="120"/>
        <w:jc w:val="center"/>
        <w:rPr>
          <w:sz w:val="22"/>
          <w:szCs w:val="22"/>
        </w:rPr>
      </w:pPr>
      <w:r w:rsidRPr="00AA721A">
        <w:rPr>
          <w:bCs/>
          <w:iCs/>
          <w:sz w:val="22"/>
          <w:szCs w:val="22"/>
        </w:rPr>
        <w:t>“</w:t>
      </w:r>
      <w:r w:rsidRPr="00D1565F">
        <w:rPr>
          <w:b/>
          <w:bCs/>
          <w:i/>
          <w:iCs/>
          <w:sz w:val="22"/>
          <w:szCs w:val="22"/>
        </w:rPr>
        <w:t>Division 1</w:t>
      </w:r>
      <w:r w:rsidRPr="00D1565F">
        <w:rPr>
          <w:sz w:val="22"/>
          <w:szCs w:val="22"/>
        </w:rPr>
        <w:t>—</w:t>
      </w:r>
      <w:r w:rsidRPr="00D1565F">
        <w:rPr>
          <w:b/>
          <w:bCs/>
          <w:i/>
          <w:iCs/>
          <w:sz w:val="22"/>
          <w:szCs w:val="22"/>
        </w:rPr>
        <w:t>Making and effect of regulations</w:t>
      </w:r>
    </w:p>
    <w:p w14:paraId="65284E27"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Regulations may apply sanctions</w:t>
      </w:r>
    </w:p>
    <w:p w14:paraId="564B0FE0"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“6. The Governor-General may make regulations for and in relation to giving effect to decisions that:</w:t>
      </w:r>
    </w:p>
    <w:p w14:paraId="18ACD8D2" w14:textId="77777777" w:rsidR="00FE2F39" w:rsidRPr="00D1565F" w:rsidRDefault="00FE2F39" w:rsidP="00FE2F3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 xml:space="preserve">the Security Council has made under Chapter </w:t>
      </w:r>
      <w:r w:rsidRPr="00B476ED">
        <w:rPr>
          <w:bCs/>
          <w:sz w:val="22"/>
          <w:szCs w:val="22"/>
        </w:rPr>
        <w:t>VII</w:t>
      </w:r>
      <w:r w:rsidRPr="00D1565F">
        <w:rPr>
          <w:b/>
          <w:bCs/>
          <w:sz w:val="22"/>
          <w:szCs w:val="22"/>
        </w:rPr>
        <w:t xml:space="preserve"> </w:t>
      </w:r>
      <w:r w:rsidRPr="00D1565F">
        <w:rPr>
          <w:sz w:val="22"/>
          <w:szCs w:val="22"/>
        </w:rPr>
        <w:t>of the Charter of the United Nations; and</w:t>
      </w:r>
    </w:p>
    <w:p w14:paraId="3A06BEF7" w14:textId="77777777" w:rsidR="00FE2F39" w:rsidRPr="00D1565F" w:rsidRDefault="00FE2F39" w:rsidP="00FE2F39">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Article 25 of the Charter requires Australia to carry out;</w:t>
      </w:r>
    </w:p>
    <w:p w14:paraId="2FD8D8EE" w14:textId="77777777" w:rsidR="00FE2F39" w:rsidRPr="00D1565F" w:rsidRDefault="00FE2F39" w:rsidP="00FE2F39">
      <w:pPr>
        <w:autoSpaceDE w:val="0"/>
        <w:autoSpaceDN w:val="0"/>
        <w:adjustRightInd w:val="0"/>
        <w:spacing w:before="120"/>
        <w:jc w:val="both"/>
        <w:rPr>
          <w:sz w:val="22"/>
          <w:szCs w:val="22"/>
        </w:rPr>
      </w:pPr>
      <w:r w:rsidRPr="00D1565F">
        <w:rPr>
          <w:sz w:val="22"/>
          <w:szCs w:val="22"/>
        </w:rPr>
        <w:t>in so far as those decisions require Australia to apply measures not involving the use of armed force.</w:t>
      </w:r>
    </w:p>
    <w:p w14:paraId="2D06FC14" w14:textId="77777777" w:rsidR="00FE2F39" w:rsidRPr="002C63F3" w:rsidRDefault="00FE2F39" w:rsidP="005A3A17">
      <w:pPr>
        <w:autoSpaceDE w:val="0"/>
        <w:autoSpaceDN w:val="0"/>
        <w:adjustRightInd w:val="0"/>
        <w:spacing w:before="120"/>
        <w:ind w:left="720" w:hanging="720"/>
        <w:jc w:val="both"/>
        <w:rPr>
          <w:sz w:val="20"/>
          <w:szCs w:val="22"/>
        </w:rPr>
      </w:pPr>
      <w:r w:rsidRPr="00D1565F">
        <w:rPr>
          <w:sz w:val="22"/>
          <w:szCs w:val="22"/>
        </w:rPr>
        <w:br w:type="page"/>
      </w:r>
      <w:r w:rsidRPr="002C63F3">
        <w:rPr>
          <w:sz w:val="20"/>
          <w:szCs w:val="22"/>
        </w:rPr>
        <w:lastRenderedPageBreak/>
        <w:t>Note:</w:t>
      </w:r>
      <w:r w:rsidR="005A3A17" w:rsidRPr="002C63F3">
        <w:rPr>
          <w:sz w:val="20"/>
          <w:szCs w:val="22"/>
        </w:rPr>
        <w:tab/>
      </w:r>
      <w:r w:rsidRPr="002C63F3">
        <w:rPr>
          <w:sz w:val="20"/>
          <w:szCs w:val="22"/>
        </w:rPr>
        <w:t>Articles 39 and 41 of the Charter provide for the Security Council to decide what measures not involving the use of armed force are to be taken to maintain or restore international peace and security.</w:t>
      </w:r>
    </w:p>
    <w:p w14:paraId="00014809"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Regulations may have extra-territorial effect</w:t>
      </w:r>
    </w:p>
    <w:p w14:paraId="4C3540A9" w14:textId="77777777" w:rsidR="00FE2F39" w:rsidRPr="00D1565F" w:rsidRDefault="00FE2F39" w:rsidP="00FE2F39">
      <w:pPr>
        <w:autoSpaceDE w:val="0"/>
        <w:autoSpaceDN w:val="0"/>
        <w:adjustRightInd w:val="0"/>
        <w:spacing w:before="120"/>
        <w:ind w:left="331"/>
        <w:jc w:val="both"/>
        <w:rPr>
          <w:sz w:val="22"/>
          <w:szCs w:val="22"/>
        </w:rPr>
      </w:pPr>
      <w:r w:rsidRPr="00D1565F">
        <w:rPr>
          <w:sz w:val="22"/>
          <w:szCs w:val="22"/>
        </w:rPr>
        <w:t>“7.(1) The regulations may be expressed to have extra-territorial effect.</w:t>
      </w:r>
    </w:p>
    <w:p w14:paraId="31FE6080"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If they are so expressed, they have effect accordingly, and so does Division 2 of this Part.</w:t>
      </w:r>
    </w:p>
    <w:p w14:paraId="06C8CC52"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Regulations expire when sanctions resolution ceases to bind Australia</w:t>
      </w:r>
    </w:p>
    <w:p w14:paraId="605313A5" w14:textId="77777777" w:rsidR="00FE2F39" w:rsidRPr="00D1565F" w:rsidRDefault="00FE2F39" w:rsidP="00FE2F39">
      <w:pPr>
        <w:autoSpaceDE w:val="0"/>
        <w:autoSpaceDN w:val="0"/>
        <w:adjustRightInd w:val="0"/>
        <w:spacing w:before="120"/>
        <w:ind w:firstLine="326"/>
        <w:jc w:val="both"/>
        <w:rPr>
          <w:sz w:val="22"/>
          <w:szCs w:val="22"/>
        </w:rPr>
      </w:pPr>
      <w:r w:rsidRPr="00D1565F">
        <w:rPr>
          <w:sz w:val="22"/>
          <w:szCs w:val="22"/>
        </w:rPr>
        <w:t>“8.(1) In so far as the regulations provide for or in relation to giving effect to a particular decision of the Security Council:</w:t>
      </w:r>
    </w:p>
    <w:p w14:paraId="6E258112" w14:textId="77777777" w:rsidR="00FE2F39" w:rsidRPr="00D1565F" w:rsidRDefault="00FE2F39" w:rsidP="00FE2F3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they cease to have effect when Article 25 of the Charter of the United Nations ceases to require Australia to carry out that decision; and</w:t>
      </w:r>
    </w:p>
    <w:p w14:paraId="2FD59177" w14:textId="77777777" w:rsidR="00FE2F39" w:rsidRPr="00D1565F" w:rsidRDefault="00FE2F39" w:rsidP="00FE2F3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they do not revive, even if Australia again becomes required to carry out the decision.</w:t>
      </w:r>
    </w:p>
    <w:p w14:paraId="2F3A5ADF"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However, to avoid doubt, nothing in this section prevents the repeal of regulations, or the making of regulations that are the same in substance as regulations that have ceased to have effect because of this section.</w:t>
      </w:r>
    </w:p>
    <w:p w14:paraId="6CBCF247"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Effect of regulations on earlier Commonwealth Acts and on State and Territory laws</w:t>
      </w:r>
    </w:p>
    <w:p w14:paraId="27A782C2" w14:textId="77777777" w:rsidR="00FE2F39" w:rsidRPr="00D1565F" w:rsidRDefault="00FE2F39" w:rsidP="00FE2F39">
      <w:pPr>
        <w:autoSpaceDE w:val="0"/>
        <w:autoSpaceDN w:val="0"/>
        <w:adjustRightInd w:val="0"/>
        <w:spacing w:before="120"/>
        <w:ind w:left="336"/>
        <w:jc w:val="both"/>
        <w:rPr>
          <w:sz w:val="22"/>
          <w:szCs w:val="22"/>
        </w:rPr>
      </w:pPr>
      <w:r w:rsidRPr="00D1565F">
        <w:rPr>
          <w:sz w:val="22"/>
          <w:szCs w:val="22"/>
        </w:rPr>
        <w:t>“9. The regulations have effect despite:</w:t>
      </w:r>
    </w:p>
    <w:p w14:paraId="605014C8" w14:textId="77777777" w:rsidR="00FE2F39" w:rsidRPr="00D1565F" w:rsidRDefault="00FE2F39" w:rsidP="00FE2F3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an Act enacted before the commencement of this section; or</w:t>
      </w:r>
    </w:p>
    <w:p w14:paraId="7B3A215B" w14:textId="77777777" w:rsidR="00FE2F39" w:rsidRPr="00D1565F" w:rsidRDefault="00FE2F39" w:rsidP="00FE2F3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an instrument made under such an Act (including such an instrument made at or after that commencement); or</w:t>
      </w:r>
    </w:p>
    <w:p w14:paraId="001EA50F" w14:textId="77777777" w:rsidR="00FE2F39" w:rsidRPr="00D1565F" w:rsidRDefault="00FE2F39" w:rsidP="00FE2F39">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a law of a State or Territory; or</w:t>
      </w:r>
    </w:p>
    <w:p w14:paraId="32AEF3D0" w14:textId="77777777" w:rsidR="00FE2F39" w:rsidRPr="00D1565F" w:rsidRDefault="00FE2F39" w:rsidP="00FE2F39">
      <w:pPr>
        <w:tabs>
          <w:tab w:val="left" w:pos="725"/>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an instrument made under such a law; or</w:t>
      </w:r>
    </w:p>
    <w:p w14:paraId="7CCC315A" w14:textId="77777777" w:rsidR="00FE2F39" w:rsidRPr="00D1565F" w:rsidRDefault="00FE2F39" w:rsidP="00FE2F39">
      <w:pPr>
        <w:tabs>
          <w:tab w:val="left" w:pos="725"/>
        </w:tabs>
        <w:autoSpaceDE w:val="0"/>
        <w:autoSpaceDN w:val="0"/>
        <w:adjustRightInd w:val="0"/>
        <w:spacing w:before="120"/>
        <w:ind w:left="725" w:hanging="398"/>
        <w:jc w:val="both"/>
        <w:rPr>
          <w:sz w:val="22"/>
          <w:szCs w:val="22"/>
        </w:rPr>
      </w:pPr>
      <w:r w:rsidRPr="00D1565F">
        <w:rPr>
          <w:sz w:val="22"/>
          <w:szCs w:val="22"/>
        </w:rPr>
        <w:t>(e)</w:t>
      </w:r>
      <w:r>
        <w:rPr>
          <w:sz w:val="22"/>
          <w:szCs w:val="22"/>
        </w:rPr>
        <w:tab/>
      </w:r>
      <w:r w:rsidRPr="00D1565F">
        <w:rPr>
          <w:sz w:val="22"/>
          <w:szCs w:val="22"/>
        </w:rPr>
        <w:t xml:space="preserve">any provision of the </w:t>
      </w:r>
      <w:r w:rsidRPr="00D1565F">
        <w:rPr>
          <w:i/>
          <w:iCs/>
          <w:sz w:val="22"/>
          <w:szCs w:val="22"/>
        </w:rPr>
        <w:t xml:space="preserve">Corporations Act 1989 </w:t>
      </w:r>
      <w:r w:rsidRPr="00D1565F">
        <w:rPr>
          <w:sz w:val="22"/>
          <w:szCs w:val="22"/>
        </w:rPr>
        <w:t>or of the Corporations Law, Corporations Regulations, ASC Law, or ASC Regulations, of the Australian Capital Territory; or</w:t>
      </w:r>
    </w:p>
    <w:p w14:paraId="408E3A2A" w14:textId="77777777" w:rsidR="00FE2F39" w:rsidRPr="00D1565F" w:rsidRDefault="00FE2F39" w:rsidP="00FE2F39">
      <w:pPr>
        <w:tabs>
          <w:tab w:val="left" w:pos="725"/>
        </w:tabs>
        <w:autoSpaceDE w:val="0"/>
        <w:autoSpaceDN w:val="0"/>
        <w:adjustRightInd w:val="0"/>
        <w:spacing w:before="120"/>
        <w:ind w:left="326"/>
        <w:jc w:val="both"/>
        <w:rPr>
          <w:sz w:val="22"/>
          <w:szCs w:val="22"/>
        </w:rPr>
      </w:pPr>
      <w:r w:rsidRPr="00D1565F">
        <w:rPr>
          <w:sz w:val="22"/>
          <w:szCs w:val="22"/>
        </w:rPr>
        <w:t>(f)</w:t>
      </w:r>
      <w:r>
        <w:rPr>
          <w:sz w:val="22"/>
          <w:szCs w:val="22"/>
        </w:rPr>
        <w:tab/>
      </w:r>
      <w:r w:rsidRPr="00D1565F">
        <w:rPr>
          <w:sz w:val="22"/>
          <w:szCs w:val="22"/>
        </w:rPr>
        <w:t>an instrument made under such a provision.</w:t>
      </w:r>
    </w:p>
    <w:p w14:paraId="2B5A2976"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Later Acts not to be interpreted as overriding this Part or the regulations</w:t>
      </w:r>
    </w:p>
    <w:p w14:paraId="3CF5634B"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t>“10.(1) An Act enacted at or after the commencement of this section is not to be interpreted as:</w:t>
      </w:r>
    </w:p>
    <w:p w14:paraId="2CEEFC67" w14:textId="77777777" w:rsidR="00FE2F39" w:rsidRPr="00D1565F" w:rsidRDefault="00FE2F39" w:rsidP="00FE2F39">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amending or repealing, or otherwise altering the effect or operation of, a provision of this Part or of the regulations; or</w:t>
      </w:r>
    </w:p>
    <w:p w14:paraId="6755D22F" w14:textId="77777777" w:rsidR="00FE2F39" w:rsidRPr="00D1565F" w:rsidRDefault="00FE2F39" w:rsidP="00FE2F39">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proofErr w:type="spellStart"/>
      <w:r w:rsidRPr="00D1565F">
        <w:rPr>
          <w:sz w:val="22"/>
          <w:szCs w:val="22"/>
        </w:rPr>
        <w:t>authorising</w:t>
      </w:r>
      <w:proofErr w:type="spellEnd"/>
      <w:r w:rsidRPr="00D1565F">
        <w:rPr>
          <w:sz w:val="22"/>
          <w:szCs w:val="22"/>
        </w:rPr>
        <w:t xml:space="preserve"> the making of an instrument amending or repealing, or otherwise altering the effect or operation of, a provision of this Part or of the regulations.</w:t>
      </w:r>
    </w:p>
    <w:p w14:paraId="626D3BF3"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“(2) Subsection (1) does not affect the interpretation of an Act so far as that Act provides expressly for that Act, or for an instrument made under that Act, to have effect despite this Act, despite the regulations, or despite a specified provision of this Act or of the regulations.</w:t>
      </w:r>
    </w:p>
    <w:p w14:paraId="13A1C22E"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Other instruments giving effect to Security Council decisions</w:t>
      </w:r>
    </w:p>
    <w:p w14:paraId="3FA31D93"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“11. To avoid doubt, the validity or operation of an instrument made under another Act is not affected merely because the instrument was made in connection with giving effect to a decision of the Security Council.</w:t>
      </w:r>
    </w:p>
    <w:p w14:paraId="6FB27973" w14:textId="17A5AC55" w:rsidR="00FE2F39" w:rsidRPr="00D1565F" w:rsidRDefault="00FE2F39" w:rsidP="005A3A17">
      <w:pPr>
        <w:autoSpaceDE w:val="0"/>
        <w:autoSpaceDN w:val="0"/>
        <w:adjustRightInd w:val="0"/>
        <w:spacing w:before="120"/>
        <w:jc w:val="center"/>
        <w:rPr>
          <w:sz w:val="22"/>
          <w:szCs w:val="22"/>
        </w:rPr>
      </w:pPr>
      <w:r w:rsidRPr="00AA721A">
        <w:rPr>
          <w:bCs/>
          <w:iCs/>
          <w:sz w:val="22"/>
          <w:szCs w:val="22"/>
        </w:rPr>
        <w:t>“</w:t>
      </w:r>
      <w:r w:rsidRPr="00D1565F">
        <w:rPr>
          <w:b/>
          <w:bCs/>
          <w:i/>
          <w:iCs/>
          <w:sz w:val="22"/>
          <w:szCs w:val="22"/>
        </w:rPr>
        <w:t>Division 2</w:t>
      </w:r>
      <w:r w:rsidRPr="00D1565F">
        <w:rPr>
          <w:b/>
          <w:bCs/>
          <w:sz w:val="22"/>
          <w:szCs w:val="22"/>
        </w:rPr>
        <w:t>—</w:t>
      </w:r>
      <w:r w:rsidRPr="00D1565F">
        <w:rPr>
          <w:b/>
          <w:bCs/>
          <w:i/>
          <w:iCs/>
          <w:sz w:val="22"/>
          <w:szCs w:val="22"/>
        </w:rPr>
        <w:t>Enforcing the regulations</w:t>
      </w:r>
    </w:p>
    <w:p w14:paraId="2CEA23F2"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Offences</w:t>
      </w:r>
    </w:p>
    <w:p w14:paraId="2D71B56F"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“12.(1) The regulations may prescribe penalties of not more than 50 penalty units for offences against the regulations.</w:t>
      </w:r>
    </w:p>
    <w:p w14:paraId="7E4A37D7"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limitation on penalties in subsection (1) does not prevent the regulations from requiring someone to make a statutory declaration.</w:t>
      </w:r>
    </w:p>
    <w:p w14:paraId="004D2F1E" w14:textId="77777777" w:rsidR="00FE2F39" w:rsidRPr="00D1565F" w:rsidRDefault="00FE2F39" w:rsidP="00FE2F39">
      <w:pPr>
        <w:autoSpaceDE w:val="0"/>
        <w:autoSpaceDN w:val="0"/>
        <w:adjustRightInd w:val="0"/>
        <w:spacing w:before="120" w:after="60"/>
        <w:jc w:val="both"/>
        <w:rPr>
          <w:sz w:val="22"/>
          <w:szCs w:val="22"/>
        </w:rPr>
      </w:pPr>
      <w:r w:rsidRPr="00D1565F">
        <w:rPr>
          <w:b/>
          <w:bCs/>
          <w:sz w:val="22"/>
          <w:szCs w:val="22"/>
        </w:rPr>
        <w:t>Injunctions</w:t>
      </w:r>
    </w:p>
    <w:p w14:paraId="2C1536B1"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“13.(1) If a person has engaged, is engaging, or proposes to engage, in conduct involving a contravention of the regulations, a superior court may by order grant an injunction restraining the person from engaging in conduct specified in the order.</w:t>
      </w:r>
    </w:p>
    <w:p w14:paraId="44DFDEE5" w14:textId="77777777" w:rsidR="00FE2F39" w:rsidRPr="00D1565F" w:rsidRDefault="00FE2F39" w:rsidP="00FE2F3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An injunction may only be granted on application by the Attorney-General.</w:t>
      </w:r>
    </w:p>
    <w:p w14:paraId="5B76E110"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On an application, the court may, if it thinks it appropriate, grant an injunction by consent of all parties to the proceedings, whether or not the court is satisfied that subsection (1) applies.</w:t>
      </w:r>
    </w:p>
    <w:p w14:paraId="7AA515E6" w14:textId="77777777" w:rsidR="00FE2F39" w:rsidRPr="00D1565F" w:rsidRDefault="00FE2F39" w:rsidP="00FE2F39">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A superior court may, if it thinks it desirable, grant an interim injunction pending its determination of an application.</w:t>
      </w:r>
    </w:p>
    <w:p w14:paraId="2A4618C2"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A court is not to require the Attorney-General or anyone else, as a condition of granting an interim injunction, to give an undertaking as to damages.</w:t>
      </w:r>
    </w:p>
    <w:p w14:paraId="5E309C39" w14:textId="77777777" w:rsidR="00FE2F39" w:rsidRPr="00D1565F" w:rsidRDefault="00FE2F39" w:rsidP="00FE2F39">
      <w:pPr>
        <w:autoSpaceDE w:val="0"/>
        <w:autoSpaceDN w:val="0"/>
        <w:adjustRightInd w:val="0"/>
        <w:spacing w:before="120"/>
        <w:ind w:left="341"/>
        <w:jc w:val="both"/>
        <w:rPr>
          <w:sz w:val="22"/>
          <w:szCs w:val="22"/>
        </w:rPr>
      </w:pPr>
      <w:r w:rsidRPr="00D1565F">
        <w:rPr>
          <w:sz w:val="22"/>
          <w:szCs w:val="22"/>
        </w:rPr>
        <w:t>“(6)</w:t>
      </w:r>
      <w:r>
        <w:rPr>
          <w:sz w:val="22"/>
          <w:szCs w:val="22"/>
        </w:rPr>
        <w:tab/>
      </w:r>
      <w:r w:rsidRPr="00D1565F">
        <w:rPr>
          <w:sz w:val="22"/>
          <w:szCs w:val="22"/>
        </w:rPr>
        <w:t>A court may discharge or vary an injunction it has granted.</w:t>
      </w:r>
    </w:p>
    <w:p w14:paraId="09E61712" w14:textId="77777777" w:rsidR="00FE2F39" w:rsidRPr="00D1565F" w:rsidRDefault="00FE2F39" w:rsidP="00FE2F39">
      <w:pPr>
        <w:autoSpaceDE w:val="0"/>
        <w:autoSpaceDN w:val="0"/>
        <w:adjustRightInd w:val="0"/>
        <w:spacing w:before="120"/>
        <w:ind w:firstLine="336"/>
        <w:jc w:val="both"/>
        <w:rPr>
          <w:sz w:val="22"/>
          <w:szCs w:val="22"/>
        </w:rPr>
      </w:pPr>
      <w:r w:rsidRPr="00D1565F">
        <w:rPr>
          <w:sz w:val="22"/>
          <w:szCs w:val="22"/>
        </w:rPr>
        <w:t>“(7)</w:t>
      </w:r>
      <w:r>
        <w:rPr>
          <w:sz w:val="22"/>
          <w:szCs w:val="22"/>
        </w:rPr>
        <w:tab/>
      </w:r>
      <w:r w:rsidRPr="00D1565F">
        <w:rPr>
          <w:sz w:val="22"/>
          <w:szCs w:val="22"/>
        </w:rPr>
        <w:t>The power to grant or vary an injunction restraining a person from engaging in conduct may be exercised:</w:t>
      </w:r>
    </w:p>
    <w:p w14:paraId="5B0FB147" w14:textId="77777777" w:rsidR="00FE2F39" w:rsidRPr="00D1565F" w:rsidRDefault="00FE2F39" w:rsidP="00FE2F39">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whether or not it appears to the court that the person intends to engage again, or to continue to engage, in such conduct; and</w:t>
      </w:r>
    </w:p>
    <w:p w14:paraId="0410E34A" w14:textId="77777777" w:rsidR="00FE2F39" w:rsidRPr="00D1565F" w:rsidRDefault="00FE2F39" w:rsidP="00FE2F39">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whether or not the person has previously engaged in such conduct.</w:t>
      </w:r>
    </w:p>
    <w:p w14:paraId="16EC2FFA" w14:textId="77777777" w:rsidR="00FE2F39" w:rsidRPr="00D1565F" w:rsidRDefault="00FE2F39" w:rsidP="00FE2F39">
      <w:pPr>
        <w:autoSpaceDE w:val="0"/>
        <w:autoSpaceDN w:val="0"/>
        <w:adjustRightInd w:val="0"/>
        <w:spacing w:before="120"/>
        <w:ind w:left="331"/>
        <w:jc w:val="both"/>
        <w:rPr>
          <w:sz w:val="22"/>
          <w:szCs w:val="22"/>
        </w:rPr>
      </w:pPr>
      <w:r w:rsidRPr="00D1565F">
        <w:rPr>
          <w:sz w:val="22"/>
          <w:szCs w:val="22"/>
        </w:rPr>
        <w:br w:type="page"/>
      </w:r>
      <w:r w:rsidRPr="00D1565F">
        <w:rPr>
          <w:sz w:val="22"/>
          <w:szCs w:val="22"/>
        </w:rPr>
        <w:lastRenderedPageBreak/>
        <w:t>“(8) In this section:</w:t>
      </w:r>
    </w:p>
    <w:p w14:paraId="7DF95618" w14:textId="77777777" w:rsidR="00FE2F39" w:rsidRPr="00D1565F" w:rsidRDefault="00FE2F39" w:rsidP="00FE2F39">
      <w:pPr>
        <w:autoSpaceDE w:val="0"/>
        <w:autoSpaceDN w:val="0"/>
        <w:adjustRightInd w:val="0"/>
        <w:spacing w:before="120"/>
        <w:jc w:val="both"/>
        <w:rPr>
          <w:sz w:val="22"/>
          <w:szCs w:val="22"/>
        </w:rPr>
      </w:pPr>
      <w:r w:rsidRPr="00D1565F">
        <w:rPr>
          <w:b/>
          <w:bCs/>
          <w:sz w:val="22"/>
          <w:szCs w:val="22"/>
        </w:rPr>
        <w:t xml:space="preserve">‘superior court’ </w:t>
      </w:r>
      <w:r w:rsidRPr="00D1565F">
        <w:rPr>
          <w:sz w:val="22"/>
          <w:szCs w:val="22"/>
        </w:rPr>
        <w:t>means the Federal Court of Australia or the Supreme Court of a State or Territory.”.</w:t>
      </w:r>
    </w:p>
    <w:p w14:paraId="6168D379" w14:textId="77777777" w:rsidR="005A3A17" w:rsidRPr="005A3A17" w:rsidRDefault="00AA721A" w:rsidP="005A3A17">
      <w:pPr>
        <w:autoSpaceDE w:val="0"/>
        <w:autoSpaceDN w:val="0"/>
        <w:adjustRightInd w:val="0"/>
        <w:spacing w:before="120"/>
        <w:jc w:val="both"/>
        <w:rPr>
          <w:bCs/>
          <w:sz w:val="22"/>
          <w:szCs w:val="22"/>
        </w:rPr>
      </w:pPr>
      <w:r>
        <w:rPr>
          <w:bCs/>
          <w:sz w:val="22"/>
          <w:szCs w:val="22"/>
        </w:rPr>
        <w:pict w14:anchorId="3D6D0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0D85B36F" w14:textId="77777777" w:rsidR="00FE2F39" w:rsidRPr="00D1565F" w:rsidRDefault="00FE2F39" w:rsidP="00E46827">
      <w:pPr>
        <w:autoSpaceDE w:val="0"/>
        <w:autoSpaceDN w:val="0"/>
        <w:adjustRightInd w:val="0"/>
        <w:spacing w:before="120"/>
        <w:jc w:val="center"/>
        <w:rPr>
          <w:sz w:val="22"/>
          <w:szCs w:val="22"/>
        </w:rPr>
      </w:pPr>
      <w:r w:rsidRPr="00D1565F">
        <w:rPr>
          <w:b/>
          <w:bCs/>
          <w:sz w:val="22"/>
          <w:szCs w:val="22"/>
        </w:rPr>
        <w:t>NOTE</w:t>
      </w:r>
    </w:p>
    <w:p w14:paraId="5D416112" w14:textId="32A22DC6" w:rsidR="00FE2F39" w:rsidRPr="00AA721A" w:rsidRDefault="00FE2F39" w:rsidP="00FE2F39">
      <w:pPr>
        <w:autoSpaceDE w:val="0"/>
        <w:autoSpaceDN w:val="0"/>
        <w:adjustRightInd w:val="0"/>
        <w:spacing w:before="120"/>
        <w:jc w:val="both"/>
        <w:rPr>
          <w:sz w:val="20"/>
          <w:szCs w:val="22"/>
        </w:rPr>
      </w:pPr>
      <w:r w:rsidRPr="00AA721A">
        <w:rPr>
          <w:sz w:val="20"/>
          <w:szCs w:val="22"/>
        </w:rPr>
        <w:t>1.</w:t>
      </w:r>
      <w:r w:rsidRPr="00AA721A">
        <w:rPr>
          <w:sz w:val="20"/>
          <w:szCs w:val="22"/>
        </w:rPr>
        <w:tab/>
      </w:r>
      <w:bookmarkStart w:id="0" w:name="_GoBack"/>
      <w:bookmarkEnd w:id="0"/>
      <w:r w:rsidRPr="00AA721A">
        <w:rPr>
          <w:sz w:val="20"/>
          <w:szCs w:val="22"/>
        </w:rPr>
        <w:t>No. 32, 1945.</w:t>
      </w:r>
    </w:p>
    <w:p w14:paraId="3035CEC6" w14:textId="77777777" w:rsidR="00FE2F39" w:rsidRPr="00AA721A" w:rsidRDefault="00FE2F39" w:rsidP="00FE2F39">
      <w:pPr>
        <w:autoSpaceDE w:val="0"/>
        <w:autoSpaceDN w:val="0"/>
        <w:adjustRightInd w:val="0"/>
        <w:spacing w:before="120"/>
        <w:jc w:val="both"/>
        <w:rPr>
          <w:sz w:val="20"/>
          <w:szCs w:val="22"/>
        </w:rPr>
      </w:pPr>
      <w:r w:rsidRPr="00AA721A">
        <w:rPr>
          <w:sz w:val="20"/>
          <w:szCs w:val="22"/>
        </w:rPr>
        <w:t>[</w:t>
      </w:r>
      <w:r w:rsidRPr="00AA721A">
        <w:rPr>
          <w:i/>
          <w:iCs/>
          <w:sz w:val="20"/>
          <w:szCs w:val="22"/>
        </w:rPr>
        <w:t>Minister’s second reading speech made in</w:t>
      </w:r>
      <w:r w:rsidRPr="00AA721A">
        <w:rPr>
          <w:sz w:val="20"/>
          <w:szCs w:val="22"/>
        </w:rPr>
        <w:t>—</w:t>
      </w:r>
    </w:p>
    <w:p w14:paraId="1B4A569A" w14:textId="77777777" w:rsidR="00FE2F39" w:rsidRPr="00AA721A" w:rsidRDefault="00FE2F39" w:rsidP="005A3A17">
      <w:pPr>
        <w:autoSpaceDE w:val="0"/>
        <w:autoSpaceDN w:val="0"/>
        <w:adjustRightInd w:val="0"/>
        <w:ind w:left="792"/>
        <w:jc w:val="both"/>
        <w:rPr>
          <w:sz w:val="20"/>
          <w:szCs w:val="22"/>
        </w:rPr>
      </w:pPr>
      <w:r w:rsidRPr="00AA721A">
        <w:rPr>
          <w:i/>
          <w:iCs/>
          <w:sz w:val="20"/>
          <w:szCs w:val="22"/>
        </w:rPr>
        <w:t>Senate on 6 May 1993</w:t>
      </w:r>
    </w:p>
    <w:p w14:paraId="0DE90F2A" w14:textId="77777777" w:rsidR="00DC20DB" w:rsidRPr="00AA721A" w:rsidRDefault="00FE2F39" w:rsidP="005A3A17">
      <w:pPr>
        <w:autoSpaceDE w:val="0"/>
        <w:autoSpaceDN w:val="0"/>
        <w:adjustRightInd w:val="0"/>
        <w:ind w:left="792"/>
        <w:jc w:val="both"/>
        <w:rPr>
          <w:sz w:val="22"/>
        </w:rPr>
      </w:pPr>
      <w:r w:rsidRPr="00AA721A">
        <w:rPr>
          <w:i/>
          <w:iCs/>
          <w:sz w:val="20"/>
          <w:szCs w:val="22"/>
        </w:rPr>
        <w:t>House of Representatives on 27 May 1993</w:t>
      </w:r>
      <w:r w:rsidRPr="00AA721A">
        <w:rPr>
          <w:sz w:val="20"/>
          <w:szCs w:val="22"/>
        </w:rPr>
        <w:t>]</w:t>
      </w:r>
    </w:p>
    <w:sectPr w:rsidR="00DC20DB" w:rsidRPr="00AA721A" w:rsidSect="0029081A">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11007" w15:done="0"/>
  <w15:commentEx w15:paraId="7424462D" w15:done="0"/>
  <w15:commentEx w15:paraId="768387A8" w15:done="0"/>
  <w15:commentEx w15:paraId="4686C70F" w15:done="0"/>
  <w15:commentEx w15:paraId="0DA23A3C" w15:done="0"/>
  <w15:commentEx w15:paraId="47CF7E81" w15:done="0"/>
  <w15:commentEx w15:paraId="793019E1" w15:done="0"/>
  <w15:commentEx w15:paraId="6D57AFA4" w15:done="0"/>
  <w15:commentEx w15:paraId="3FB46FE0" w15:done="0"/>
  <w15:commentEx w15:paraId="3DB5F776" w15:done="0"/>
  <w15:commentEx w15:paraId="45F7CB93" w15:done="0"/>
  <w15:commentEx w15:paraId="4D72B092" w15:done="0"/>
  <w15:commentEx w15:paraId="75B2C9CC" w15:done="0"/>
  <w15:commentEx w15:paraId="4FC5D6DA" w15:done="0"/>
  <w15:commentEx w15:paraId="03CF9DA5" w15:done="0"/>
  <w15:commentEx w15:paraId="137D2732" w15:done="0"/>
  <w15:commentEx w15:paraId="43AE0923" w15:done="0"/>
  <w15:commentEx w15:paraId="3CEFB9E4" w15:done="0"/>
  <w15:commentEx w15:paraId="6A52DC03" w15:done="0"/>
  <w15:commentEx w15:paraId="4DBC573F" w15:done="0"/>
  <w15:commentEx w15:paraId="7A6E8FE2" w15:done="0"/>
  <w15:commentEx w15:paraId="6AD2E8BE" w15:done="0"/>
  <w15:commentEx w15:paraId="5AFE5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11007" w16cid:durableId="20F14D25"/>
  <w16cid:commentId w16cid:paraId="7424462D" w16cid:durableId="20F14D35"/>
  <w16cid:commentId w16cid:paraId="768387A8" w16cid:durableId="20F14D48"/>
  <w16cid:commentId w16cid:paraId="4686C70F" w16cid:durableId="20F14D57"/>
  <w16cid:commentId w16cid:paraId="0DA23A3C" w16cid:durableId="20F14D67"/>
  <w16cid:commentId w16cid:paraId="47CF7E81" w16cid:durableId="20F14D82"/>
  <w16cid:commentId w16cid:paraId="793019E1" w16cid:durableId="20F14D89"/>
  <w16cid:commentId w16cid:paraId="6D57AFA4" w16cid:durableId="20F14DA4"/>
  <w16cid:commentId w16cid:paraId="3FB46FE0" w16cid:durableId="20F14DAB"/>
  <w16cid:commentId w16cid:paraId="3DB5F776" w16cid:durableId="20F14DC2"/>
  <w16cid:commentId w16cid:paraId="45F7CB93" w16cid:durableId="20F14DB5"/>
  <w16cid:commentId w16cid:paraId="4D72B092" w16cid:durableId="20F14DC9"/>
  <w16cid:commentId w16cid:paraId="75B2C9CC" w16cid:durableId="20F14DCF"/>
  <w16cid:commentId w16cid:paraId="4FC5D6DA" w16cid:durableId="20F14DDA"/>
  <w16cid:commentId w16cid:paraId="03CF9DA5" w16cid:durableId="20F14DE1"/>
  <w16cid:commentId w16cid:paraId="137D2732" w16cid:durableId="20F14DEF"/>
  <w16cid:commentId w16cid:paraId="43AE0923" w16cid:durableId="20F14E05"/>
  <w16cid:commentId w16cid:paraId="3CEFB9E4" w16cid:durableId="20F14DF7"/>
  <w16cid:commentId w16cid:paraId="6A52DC03" w16cid:durableId="20F14E10"/>
  <w16cid:commentId w16cid:paraId="4DBC573F" w16cid:durableId="20F14E19"/>
  <w16cid:commentId w16cid:paraId="7A6E8FE2" w16cid:durableId="20F14DFC"/>
  <w16cid:commentId w16cid:paraId="6AD2E8BE" w16cid:durableId="20F14E51"/>
  <w16cid:commentId w16cid:paraId="5AFE5606" w16cid:durableId="20F14E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4720D" w14:textId="77777777" w:rsidR="00834822" w:rsidRDefault="00834822" w:rsidP="0029081A">
      <w:r>
        <w:separator/>
      </w:r>
    </w:p>
  </w:endnote>
  <w:endnote w:type="continuationSeparator" w:id="0">
    <w:p w14:paraId="1509E0C1" w14:textId="77777777" w:rsidR="00834822" w:rsidRDefault="00834822" w:rsidP="0029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4A997" w14:textId="77777777" w:rsidR="00834822" w:rsidRDefault="00834822" w:rsidP="0029081A">
      <w:r>
        <w:separator/>
      </w:r>
    </w:p>
  </w:footnote>
  <w:footnote w:type="continuationSeparator" w:id="0">
    <w:p w14:paraId="27CA4568" w14:textId="77777777" w:rsidR="00834822" w:rsidRDefault="00834822" w:rsidP="00290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5BDE4" w14:textId="1EB88D86" w:rsidR="0029081A" w:rsidRPr="0029081A" w:rsidRDefault="0029081A" w:rsidP="0029081A">
    <w:pPr>
      <w:pStyle w:val="Header"/>
      <w:jc w:val="center"/>
      <w:rPr>
        <w:i/>
        <w:sz w:val="22"/>
      </w:rPr>
    </w:pPr>
    <w:r w:rsidRPr="0029081A">
      <w:rPr>
        <w:i/>
        <w:sz w:val="22"/>
      </w:rPr>
      <w:t xml:space="preserve">Charter of the United Nations Amendment </w:t>
    </w:r>
    <w:r w:rsidR="00AA721A">
      <w:rPr>
        <w:i/>
        <w:sz w:val="22"/>
      </w:rPr>
      <w:tab/>
    </w:r>
    <w:r w:rsidRPr="0029081A">
      <w:rPr>
        <w:i/>
        <w:sz w:val="22"/>
      </w:rPr>
      <w:t>No. 30,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39"/>
    <w:rsid w:val="000C0FF0"/>
    <w:rsid w:val="00116CB8"/>
    <w:rsid w:val="0029081A"/>
    <w:rsid w:val="002C63F3"/>
    <w:rsid w:val="00522A0B"/>
    <w:rsid w:val="005A3A17"/>
    <w:rsid w:val="006E7E6F"/>
    <w:rsid w:val="007A6FBD"/>
    <w:rsid w:val="007F6274"/>
    <w:rsid w:val="00834822"/>
    <w:rsid w:val="0090029E"/>
    <w:rsid w:val="00AA721A"/>
    <w:rsid w:val="00B421ED"/>
    <w:rsid w:val="00B476ED"/>
    <w:rsid w:val="00DC20DB"/>
    <w:rsid w:val="00E46827"/>
    <w:rsid w:val="00FD37C1"/>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C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81A"/>
    <w:rPr>
      <w:rFonts w:ascii="Tahoma" w:hAnsi="Tahoma" w:cs="Tahoma"/>
      <w:sz w:val="16"/>
      <w:szCs w:val="16"/>
    </w:rPr>
  </w:style>
  <w:style w:type="character" w:customStyle="1" w:styleId="BalloonTextChar">
    <w:name w:val="Balloon Text Char"/>
    <w:basedOn w:val="DefaultParagraphFont"/>
    <w:link w:val="BalloonText"/>
    <w:rsid w:val="0029081A"/>
    <w:rPr>
      <w:rFonts w:ascii="Tahoma" w:hAnsi="Tahoma" w:cs="Tahoma"/>
      <w:sz w:val="16"/>
      <w:szCs w:val="16"/>
    </w:rPr>
  </w:style>
  <w:style w:type="paragraph" w:styleId="Header">
    <w:name w:val="header"/>
    <w:basedOn w:val="Normal"/>
    <w:link w:val="HeaderChar"/>
    <w:rsid w:val="0029081A"/>
    <w:pPr>
      <w:tabs>
        <w:tab w:val="center" w:pos="4680"/>
        <w:tab w:val="right" w:pos="9360"/>
      </w:tabs>
    </w:pPr>
  </w:style>
  <w:style w:type="character" w:customStyle="1" w:styleId="HeaderChar">
    <w:name w:val="Header Char"/>
    <w:basedOn w:val="DefaultParagraphFont"/>
    <w:link w:val="Header"/>
    <w:rsid w:val="0029081A"/>
    <w:rPr>
      <w:sz w:val="24"/>
      <w:szCs w:val="24"/>
    </w:rPr>
  </w:style>
  <w:style w:type="paragraph" w:styleId="Footer">
    <w:name w:val="footer"/>
    <w:basedOn w:val="Normal"/>
    <w:link w:val="FooterChar"/>
    <w:rsid w:val="0029081A"/>
    <w:pPr>
      <w:tabs>
        <w:tab w:val="center" w:pos="4680"/>
        <w:tab w:val="right" w:pos="9360"/>
      </w:tabs>
    </w:pPr>
  </w:style>
  <w:style w:type="character" w:customStyle="1" w:styleId="FooterChar">
    <w:name w:val="Footer Char"/>
    <w:basedOn w:val="DefaultParagraphFont"/>
    <w:link w:val="Footer"/>
    <w:rsid w:val="0029081A"/>
    <w:rPr>
      <w:sz w:val="24"/>
      <w:szCs w:val="24"/>
    </w:rPr>
  </w:style>
  <w:style w:type="character" w:styleId="CommentReference">
    <w:name w:val="annotation reference"/>
    <w:basedOn w:val="DefaultParagraphFont"/>
    <w:semiHidden/>
    <w:unhideWhenUsed/>
    <w:rsid w:val="00FD37C1"/>
    <w:rPr>
      <w:sz w:val="16"/>
      <w:szCs w:val="16"/>
    </w:rPr>
  </w:style>
  <w:style w:type="paragraph" w:styleId="CommentText">
    <w:name w:val="annotation text"/>
    <w:basedOn w:val="Normal"/>
    <w:link w:val="CommentTextChar"/>
    <w:semiHidden/>
    <w:unhideWhenUsed/>
    <w:rsid w:val="00FD37C1"/>
    <w:rPr>
      <w:sz w:val="20"/>
      <w:szCs w:val="20"/>
    </w:rPr>
  </w:style>
  <w:style w:type="character" w:customStyle="1" w:styleId="CommentTextChar">
    <w:name w:val="Comment Text Char"/>
    <w:basedOn w:val="DefaultParagraphFont"/>
    <w:link w:val="CommentText"/>
    <w:semiHidden/>
    <w:rsid w:val="00FD37C1"/>
  </w:style>
  <w:style w:type="paragraph" w:styleId="CommentSubject">
    <w:name w:val="annotation subject"/>
    <w:basedOn w:val="CommentText"/>
    <w:next w:val="CommentText"/>
    <w:link w:val="CommentSubjectChar"/>
    <w:semiHidden/>
    <w:unhideWhenUsed/>
    <w:rsid w:val="00FD37C1"/>
    <w:rPr>
      <w:b/>
      <w:bCs/>
    </w:rPr>
  </w:style>
  <w:style w:type="character" w:customStyle="1" w:styleId="CommentSubjectChar">
    <w:name w:val="Comment Subject Char"/>
    <w:basedOn w:val="CommentTextChar"/>
    <w:link w:val="CommentSubject"/>
    <w:semiHidden/>
    <w:rsid w:val="00FD37C1"/>
    <w:rPr>
      <w:b/>
      <w:bCs/>
    </w:rPr>
  </w:style>
  <w:style w:type="paragraph" w:styleId="Revision">
    <w:name w:val="Revision"/>
    <w:hidden/>
    <w:uiPriority w:val="99"/>
    <w:semiHidden/>
    <w:rsid w:val="007A6F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81A"/>
    <w:rPr>
      <w:rFonts w:ascii="Tahoma" w:hAnsi="Tahoma" w:cs="Tahoma"/>
      <w:sz w:val="16"/>
      <w:szCs w:val="16"/>
    </w:rPr>
  </w:style>
  <w:style w:type="character" w:customStyle="1" w:styleId="BalloonTextChar">
    <w:name w:val="Balloon Text Char"/>
    <w:basedOn w:val="DefaultParagraphFont"/>
    <w:link w:val="BalloonText"/>
    <w:rsid w:val="0029081A"/>
    <w:rPr>
      <w:rFonts w:ascii="Tahoma" w:hAnsi="Tahoma" w:cs="Tahoma"/>
      <w:sz w:val="16"/>
      <w:szCs w:val="16"/>
    </w:rPr>
  </w:style>
  <w:style w:type="paragraph" w:styleId="Header">
    <w:name w:val="header"/>
    <w:basedOn w:val="Normal"/>
    <w:link w:val="HeaderChar"/>
    <w:rsid w:val="0029081A"/>
    <w:pPr>
      <w:tabs>
        <w:tab w:val="center" w:pos="4680"/>
        <w:tab w:val="right" w:pos="9360"/>
      </w:tabs>
    </w:pPr>
  </w:style>
  <w:style w:type="character" w:customStyle="1" w:styleId="HeaderChar">
    <w:name w:val="Header Char"/>
    <w:basedOn w:val="DefaultParagraphFont"/>
    <w:link w:val="Header"/>
    <w:rsid w:val="0029081A"/>
    <w:rPr>
      <w:sz w:val="24"/>
      <w:szCs w:val="24"/>
    </w:rPr>
  </w:style>
  <w:style w:type="paragraph" w:styleId="Footer">
    <w:name w:val="footer"/>
    <w:basedOn w:val="Normal"/>
    <w:link w:val="FooterChar"/>
    <w:rsid w:val="0029081A"/>
    <w:pPr>
      <w:tabs>
        <w:tab w:val="center" w:pos="4680"/>
        <w:tab w:val="right" w:pos="9360"/>
      </w:tabs>
    </w:pPr>
  </w:style>
  <w:style w:type="character" w:customStyle="1" w:styleId="FooterChar">
    <w:name w:val="Footer Char"/>
    <w:basedOn w:val="DefaultParagraphFont"/>
    <w:link w:val="Footer"/>
    <w:rsid w:val="0029081A"/>
    <w:rPr>
      <w:sz w:val="24"/>
      <w:szCs w:val="24"/>
    </w:rPr>
  </w:style>
  <w:style w:type="character" w:styleId="CommentReference">
    <w:name w:val="annotation reference"/>
    <w:basedOn w:val="DefaultParagraphFont"/>
    <w:semiHidden/>
    <w:unhideWhenUsed/>
    <w:rsid w:val="00FD37C1"/>
    <w:rPr>
      <w:sz w:val="16"/>
      <w:szCs w:val="16"/>
    </w:rPr>
  </w:style>
  <w:style w:type="paragraph" w:styleId="CommentText">
    <w:name w:val="annotation text"/>
    <w:basedOn w:val="Normal"/>
    <w:link w:val="CommentTextChar"/>
    <w:semiHidden/>
    <w:unhideWhenUsed/>
    <w:rsid w:val="00FD37C1"/>
    <w:rPr>
      <w:sz w:val="20"/>
      <w:szCs w:val="20"/>
    </w:rPr>
  </w:style>
  <w:style w:type="character" w:customStyle="1" w:styleId="CommentTextChar">
    <w:name w:val="Comment Text Char"/>
    <w:basedOn w:val="DefaultParagraphFont"/>
    <w:link w:val="CommentText"/>
    <w:semiHidden/>
    <w:rsid w:val="00FD37C1"/>
  </w:style>
  <w:style w:type="paragraph" w:styleId="CommentSubject">
    <w:name w:val="annotation subject"/>
    <w:basedOn w:val="CommentText"/>
    <w:next w:val="CommentText"/>
    <w:link w:val="CommentSubjectChar"/>
    <w:semiHidden/>
    <w:unhideWhenUsed/>
    <w:rsid w:val="00FD37C1"/>
    <w:rPr>
      <w:b/>
      <w:bCs/>
    </w:rPr>
  </w:style>
  <w:style w:type="character" w:customStyle="1" w:styleId="CommentSubjectChar">
    <w:name w:val="Comment Subject Char"/>
    <w:basedOn w:val="CommentTextChar"/>
    <w:link w:val="CommentSubject"/>
    <w:semiHidden/>
    <w:rsid w:val="00FD37C1"/>
    <w:rPr>
      <w:b/>
      <w:bCs/>
    </w:rPr>
  </w:style>
  <w:style w:type="paragraph" w:styleId="Revision">
    <w:name w:val="Revision"/>
    <w:hidden/>
    <w:uiPriority w:val="99"/>
    <w:semiHidden/>
    <w:rsid w:val="007A6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1237</Words>
  <Characters>6175</Characters>
  <Application>Microsoft Office Word</Application>
  <DocSecurity>0</DocSecurity>
  <Lines>771</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5</cp:revision>
  <dcterms:created xsi:type="dcterms:W3CDTF">2019-08-04T02:31:00Z</dcterms:created>
  <dcterms:modified xsi:type="dcterms:W3CDTF">2019-10-27T23:16:00Z</dcterms:modified>
</cp:coreProperties>
</file>