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4B7165" w14:textId="77777777" w:rsidR="00014A9D" w:rsidRPr="00846303" w:rsidRDefault="00FB3F2E" w:rsidP="004B6084">
      <w:pPr>
        <w:autoSpaceDE w:val="0"/>
        <w:autoSpaceDN w:val="0"/>
        <w:adjustRightInd w:val="0"/>
        <w:spacing w:before="120"/>
        <w:jc w:val="center"/>
        <w:rPr>
          <w:sz w:val="22"/>
          <w:szCs w:val="22"/>
        </w:rPr>
      </w:pPr>
      <w:r>
        <w:rPr>
          <w:noProof/>
          <w:lang w:val="en-AU" w:eastAsia="en-AU"/>
        </w:rPr>
        <w:drawing>
          <wp:inline distT="0" distB="0" distL="0" distR="0" wp14:anchorId="4D2C1BCE" wp14:editId="303390AB">
            <wp:extent cx="1382395" cy="1024255"/>
            <wp:effectExtent l="0" t="0" r="825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2395" cy="1024255"/>
                    </a:xfrm>
                    <a:prstGeom prst="rect">
                      <a:avLst/>
                    </a:prstGeom>
                    <a:noFill/>
                    <a:ln>
                      <a:noFill/>
                    </a:ln>
                  </pic:spPr>
                </pic:pic>
              </a:graphicData>
            </a:graphic>
          </wp:inline>
        </w:drawing>
      </w:r>
    </w:p>
    <w:p w14:paraId="414A0230" w14:textId="77777777" w:rsidR="00014A9D" w:rsidRPr="004B6084" w:rsidRDefault="00014A9D" w:rsidP="004B6084">
      <w:pPr>
        <w:autoSpaceDE w:val="0"/>
        <w:autoSpaceDN w:val="0"/>
        <w:adjustRightInd w:val="0"/>
        <w:spacing w:before="720"/>
        <w:jc w:val="center"/>
        <w:rPr>
          <w:sz w:val="36"/>
          <w:szCs w:val="22"/>
        </w:rPr>
      </w:pPr>
      <w:r w:rsidRPr="004B6084">
        <w:rPr>
          <w:b/>
          <w:bCs/>
          <w:sz w:val="36"/>
          <w:szCs w:val="22"/>
        </w:rPr>
        <w:t>Wet Tropics of Queensland World</w:t>
      </w:r>
      <w:r w:rsidR="004B6084">
        <w:rPr>
          <w:b/>
          <w:bCs/>
          <w:sz w:val="36"/>
          <w:szCs w:val="22"/>
        </w:rPr>
        <w:br/>
      </w:r>
      <w:r w:rsidRPr="004B6084">
        <w:rPr>
          <w:b/>
          <w:bCs/>
          <w:sz w:val="36"/>
          <w:szCs w:val="22"/>
        </w:rPr>
        <w:t>Heritage Area Conservation Act 1994</w:t>
      </w:r>
    </w:p>
    <w:p w14:paraId="4F42C4C0" w14:textId="757DC995" w:rsidR="004B6084" w:rsidRPr="00B96471" w:rsidRDefault="00014A9D" w:rsidP="004B6084">
      <w:pPr>
        <w:autoSpaceDE w:val="0"/>
        <w:autoSpaceDN w:val="0"/>
        <w:adjustRightInd w:val="0"/>
        <w:spacing w:before="720"/>
        <w:jc w:val="center"/>
        <w:rPr>
          <w:b/>
          <w:bCs/>
          <w:szCs w:val="22"/>
        </w:rPr>
      </w:pPr>
      <w:r w:rsidRPr="00B96471">
        <w:rPr>
          <w:b/>
          <w:bCs/>
          <w:szCs w:val="22"/>
        </w:rPr>
        <w:t>No. 32 of 1994</w:t>
      </w:r>
    </w:p>
    <w:p w14:paraId="4F82E75F" w14:textId="77777777" w:rsidR="00014A9D" w:rsidRPr="00846303" w:rsidRDefault="00014A9D" w:rsidP="004B6084">
      <w:pPr>
        <w:pBdr>
          <w:bottom w:val="double" w:sz="4" w:space="1" w:color="auto"/>
        </w:pBdr>
        <w:autoSpaceDE w:val="0"/>
        <w:autoSpaceDN w:val="0"/>
        <w:adjustRightInd w:val="0"/>
        <w:spacing w:before="720"/>
        <w:jc w:val="center"/>
        <w:rPr>
          <w:sz w:val="22"/>
          <w:szCs w:val="22"/>
        </w:rPr>
      </w:pPr>
    </w:p>
    <w:p w14:paraId="6BF2F762" w14:textId="77777777" w:rsidR="00014A9D" w:rsidRPr="004B6084" w:rsidRDefault="00014A9D" w:rsidP="004B6084">
      <w:pPr>
        <w:autoSpaceDE w:val="0"/>
        <w:autoSpaceDN w:val="0"/>
        <w:adjustRightInd w:val="0"/>
        <w:spacing w:before="720"/>
        <w:jc w:val="center"/>
        <w:rPr>
          <w:sz w:val="26"/>
          <w:szCs w:val="22"/>
        </w:rPr>
      </w:pPr>
      <w:r w:rsidRPr="004B6084">
        <w:rPr>
          <w:b/>
          <w:bCs/>
          <w:sz w:val="26"/>
          <w:szCs w:val="22"/>
        </w:rPr>
        <w:t>An Act relating to the conservation of the Wet Tropics</w:t>
      </w:r>
      <w:r w:rsidR="004B6084">
        <w:rPr>
          <w:b/>
          <w:bCs/>
          <w:sz w:val="26"/>
          <w:szCs w:val="22"/>
        </w:rPr>
        <w:br/>
      </w:r>
      <w:r w:rsidRPr="004B6084">
        <w:rPr>
          <w:b/>
          <w:bCs/>
          <w:sz w:val="26"/>
          <w:szCs w:val="22"/>
        </w:rPr>
        <w:t>of Queensland World Heritage Area</w:t>
      </w:r>
    </w:p>
    <w:p w14:paraId="63095C91" w14:textId="77777777" w:rsidR="00014A9D" w:rsidRPr="00846303" w:rsidRDefault="00014A9D" w:rsidP="004B6084">
      <w:pPr>
        <w:autoSpaceDE w:val="0"/>
        <w:autoSpaceDN w:val="0"/>
        <w:adjustRightInd w:val="0"/>
        <w:spacing w:before="120"/>
        <w:jc w:val="right"/>
        <w:rPr>
          <w:sz w:val="22"/>
          <w:szCs w:val="22"/>
        </w:rPr>
      </w:pPr>
      <w:r w:rsidRPr="00846303">
        <w:rPr>
          <w:sz w:val="22"/>
          <w:szCs w:val="22"/>
        </w:rPr>
        <w:t>[</w:t>
      </w:r>
      <w:r w:rsidRPr="00846303">
        <w:rPr>
          <w:i/>
          <w:iCs/>
          <w:sz w:val="22"/>
          <w:szCs w:val="22"/>
        </w:rPr>
        <w:t>Assented to 15 March 1994</w:t>
      </w:r>
      <w:r w:rsidRPr="00846303">
        <w:rPr>
          <w:sz w:val="22"/>
          <w:szCs w:val="22"/>
        </w:rPr>
        <w:t>]</w:t>
      </w:r>
    </w:p>
    <w:p w14:paraId="79310B27" w14:textId="77777777" w:rsidR="00014A9D" w:rsidRPr="00846303" w:rsidRDefault="00014A9D" w:rsidP="00014A9D">
      <w:pPr>
        <w:autoSpaceDE w:val="0"/>
        <w:autoSpaceDN w:val="0"/>
        <w:adjustRightInd w:val="0"/>
        <w:spacing w:before="120" w:after="60"/>
        <w:jc w:val="both"/>
        <w:rPr>
          <w:sz w:val="22"/>
          <w:szCs w:val="22"/>
        </w:rPr>
      </w:pPr>
      <w:r w:rsidRPr="00846303">
        <w:rPr>
          <w:b/>
          <w:bCs/>
          <w:sz w:val="22"/>
          <w:szCs w:val="22"/>
        </w:rPr>
        <w:t>Preamble</w:t>
      </w:r>
    </w:p>
    <w:p w14:paraId="6985C742" w14:textId="77777777" w:rsidR="00014A9D" w:rsidRPr="00846303" w:rsidRDefault="00014A9D" w:rsidP="00014A9D">
      <w:pPr>
        <w:autoSpaceDE w:val="0"/>
        <w:autoSpaceDN w:val="0"/>
        <w:adjustRightInd w:val="0"/>
        <w:spacing w:before="120"/>
        <w:ind w:firstLine="317"/>
        <w:jc w:val="both"/>
        <w:rPr>
          <w:sz w:val="22"/>
          <w:szCs w:val="22"/>
        </w:rPr>
      </w:pPr>
      <w:r w:rsidRPr="00846303">
        <w:rPr>
          <w:sz w:val="22"/>
          <w:szCs w:val="22"/>
        </w:rPr>
        <w:t>This preamble sets out considerations taken into account by the Parliament of Australia in enacting the law that follows.</w:t>
      </w:r>
    </w:p>
    <w:p w14:paraId="4C3A24FD" w14:textId="77777777" w:rsidR="00014A9D" w:rsidRPr="00846303" w:rsidRDefault="00014A9D" w:rsidP="00014A9D">
      <w:pPr>
        <w:autoSpaceDE w:val="0"/>
        <w:autoSpaceDN w:val="0"/>
        <w:adjustRightInd w:val="0"/>
        <w:spacing w:before="120"/>
        <w:ind w:firstLine="307"/>
        <w:jc w:val="both"/>
        <w:rPr>
          <w:sz w:val="22"/>
          <w:szCs w:val="22"/>
        </w:rPr>
      </w:pPr>
      <w:r w:rsidRPr="00846303">
        <w:rPr>
          <w:sz w:val="22"/>
          <w:szCs w:val="22"/>
        </w:rPr>
        <w:t>Aboriginal people have occupied, used, and enjoyed land in the Area since time immemorial.</w:t>
      </w:r>
    </w:p>
    <w:p w14:paraId="6DA9DAF8" w14:textId="77777777" w:rsidR="00014A9D" w:rsidRPr="00846303" w:rsidRDefault="00014A9D" w:rsidP="00014A9D">
      <w:pPr>
        <w:autoSpaceDE w:val="0"/>
        <w:autoSpaceDN w:val="0"/>
        <w:adjustRightInd w:val="0"/>
        <w:spacing w:before="120"/>
        <w:ind w:firstLine="317"/>
        <w:jc w:val="both"/>
        <w:rPr>
          <w:sz w:val="22"/>
          <w:szCs w:val="22"/>
        </w:rPr>
      </w:pPr>
      <w:r w:rsidRPr="00846303">
        <w:rPr>
          <w:sz w:val="22"/>
          <w:szCs w:val="22"/>
        </w:rPr>
        <w:t>The Area is part of the cultural landscape of Rainforest Aboriginal peoples and is important spiritually, socially, historically and culturally to aboriginal people particularly concerned with the land.</w:t>
      </w:r>
    </w:p>
    <w:p w14:paraId="28424CDD" w14:textId="77777777" w:rsidR="00014A9D" w:rsidRPr="00846303" w:rsidRDefault="00014A9D" w:rsidP="00014A9D">
      <w:pPr>
        <w:autoSpaceDE w:val="0"/>
        <w:autoSpaceDN w:val="0"/>
        <w:adjustRightInd w:val="0"/>
        <w:spacing w:before="120"/>
        <w:ind w:firstLine="322"/>
        <w:jc w:val="both"/>
        <w:rPr>
          <w:sz w:val="22"/>
          <w:szCs w:val="22"/>
        </w:rPr>
      </w:pPr>
      <w:r w:rsidRPr="00846303">
        <w:rPr>
          <w:sz w:val="22"/>
          <w:szCs w:val="22"/>
        </w:rPr>
        <w:t xml:space="preserve">It is, therefore, the intention of the Parliament to </w:t>
      </w:r>
      <w:proofErr w:type="spellStart"/>
      <w:r w:rsidRPr="00846303">
        <w:rPr>
          <w:sz w:val="22"/>
          <w:szCs w:val="22"/>
        </w:rPr>
        <w:t>recognise</w:t>
      </w:r>
      <w:proofErr w:type="spellEnd"/>
      <w:r w:rsidRPr="00846303">
        <w:rPr>
          <w:sz w:val="22"/>
          <w:szCs w:val="22"/>
        </w:rPr>
        <w:t xml:space="preserve"> a role for Aboriginal peoples particularly concerned with land and waters in the Area, and give Aboriginal peoples a role to play in its management.</w:t>
      </w:r>
    </w:p>
    <w:p w14:paraId="128B7C00" w14:textId="2845FC75" w:rsidR="00014A9D" w:rsidRPr="00846303" w:rsidRDefault="00014A9D" w:rsidP="004B6084">
      <w:pPr>
        <w:autoSpaceDE w:val="0"/>
        <w:autoSpaceDN w:val="0"/>
        <w:adjustRightInd w:val="0"/>
        <w:spacing w:before="120"/>
        <w:ind w:left="374"/>
        <w:jc w:val="both"/>
        <w:rPr>
          <w:sz w:val="22"/>
          <w:szCs w:val="22"/>
        </w:rPr>
      </w:pPr>
      <w:r w:rsidRPr="00846303">
        <w:rPr>
          <w:sz w:val="22"/>
          <w:szCs w:val="22"/>
        </w:rPr>
        <w:br w:type="page"/>
      </w:r>
      <w:r w:rsidRPr="00846303">
        <w:rPr>
          <w:sz w:val="22"/>
          <w:szCs w:val="22"/>
        </w:rPr>
        <w:lastRenderedPageBreak/>
        <w:t>The Parliament of Australia therefore enacts:</w:t>
      </w:r>
    </w:p>
    <w:p w14:paraId="0C20CAF1" w14:textId="77777777" w:rsidR="00014A9D" w:rsidRPr="00846303" w:rsidRDefault="00014A9D" w:rsidP="00014A9D">
      <w:pPr>
        <w:autoSpaceDE w:val="0"/>
        <w:autoSpaceDN w:val="0"/>
        <w:adjustRightInd w:val="0"/>
        <w:spacing w:before="120" w:after="60"/>
        <w:jc w:val="both"/>
        <w:rPr>
          <w:sz w:val="22"/>
          <w:szCs w:val="22"/>
        </w:rPr>
      </w:pPr>
      <w:r w:rsidRPr="00846303">
        <w:rPr>
          <w:b/>
          <w:bCs/>
          <w:sz w:val="22"/>
          <w:szCs w:val="22"/>
        </w:rPr>
        <w:t>Short title</w:t>
      </w:r>
    </w:p>
    <w:p w14:paraId="61164934" w14:textId="77777777" w:rsidR="00014A9D" w:rsidRPr="00846303" w:rsidRDefault="00014A9D" w:rsidP="00014A9D">
      <w:pPr>
        <w:tabs>
          <w:tab w:val="left" w:pos="614"/>
        </w:tabs>
        <w:autoSpaceDE w:val="0"/>
        <w:autoSpaceDN w:val="0"/>
        <w:adjustRightInd w:val="0"/>
        <w:spacing w:before="120"/>
        <w:ind w:firstLine="322"/>
        <w:jc w:val="both"/>
        <w:rPr>
          <w:sz w:val="22"/>
          <w:szCs w:val="22"/>
        </w:rPr>
      </w:pPr>
      <w:r w:rsidRPr="00FE46EE">
        <w:rPr>
          <w:b/>
          <w:sz w:val="22"/>
          <w:szCs w:val="22"/>
        </w:rPr>
        <w:t>1.</w:t>
      </w:r>
      <w:r>
        <w:rPr>
          <w:sz w:val="22"/>
          <w:szCs w:val="22"/>
        </w:rPr>
        <w:tab/>
      </w:r>
      <w:r w:rsidRPr="00846303">
        <w:rPr>
          <w:sz w:val="22"/>
          <w:szCs w:val="22"/>
        </w:rPr>
        <w:t xml:space="preserve">This Act may be cited as the </w:t>
      </w:r>
      <w:r w:rsidRPr="00846303">
        <w:rPr>
          <w:i/>
          <w:iCs/>
          <w:sz w:val="22"/>
          <w:szCs w:val="22"/>
        </w:rPr>
        <w:t>Wet Tropics of Queensland World Heritage Area Conservation Act 1994.</w:t>
      </w:r>
    </w:p>
    <w:p w14:paraId="2F033EF0" w14:textId="77777777" w:rsidR="00014A9D" w:rsidRPr="00846303" w:rsidRDefault="00014A9D" w:rsidP="00014A9D">
      <w:pPr>
        <w:autoSpaceDE w:val="0"/>
        <w:autoSpaceDN w:val="0"/>
        <w:adjustRightInd w:val="0"/>
        <w:spacing w:before="120" w:after="60"/>
        <w:jc w:val="both"/>
        <w:rPr>
          <w:sz w:val="22"/>
          <w:szCs w:val="22"/>
        </w:rPr>
      </w:pPr>
      <w:r w:rsidRPr="00846303">
        <w:rPr>
          <w:b/>
          <w:bCs/>
          <w:sz w:val="22"/>
          <w:szCs w:val="22"/>
        </w:rPr>
        <w:t>Commencement</w:t>
      </w:r>
    </w:p>
    <w:p w14:paraId="2A923802" w14:textId="77777777" w:rsidR="00014A9D" w:rsidRPr="00846303" w:rsidRDefault="00014A9D" w:rsidP="00014A9D">
      <w:pPr>
        <w:tabs>
          <w:tab w:val="left" w:pos="619"/>
        </w:tabs>
        <w:autoSpaceDE w:val="0"/>
        <w:autoSpaceDN w:val="0"/>
        <w:adjustRightInd w:val="0"/>
        <w:spacing w:before="120"/>
        <w:ind w:left="326"/>
        <w:jc w:val="both"/>
        <w:rPr>
          <w:sz w:val="22"/>
          <w:szCs w:val="22"/>
        </w:rPr>
      </w:pPr>
      <w:r w:rsidRPr="00846303">
        <w:rPr>
          <w:b/>
          <w:bCs/>
          <w:sz w:val="22"/>
          <w:szCs w:val="22"/>
        </w:rPr>
        <w:t>2.</w:t>
      </w:r>
      <w:r>
        <w:rPr>
          <w:b/>
          <w:bCs/>
          <w:sz w:val="22"/>
          <w:szCs w:val="22"/>
        </w:rPr>
        <w:tab/>
      </w:r>
      <w:r w:rsidRPr="00846303">
        <w:rPr>
          <w:sz w:val="22"/>
          <w:szCs w:val="22"/>
        </w:rPr>
        <w:t>This Act commences on the day on which it receives the Royal Assent.</w:t>
      </w:r>
    </w:p>
    <w:p w14:paraId="467B6EC1" w14:textId="77777777" w:rsidR="00014A9D" w:rsidRPr="00846303" w:rsidRDefault="00014A9D" w:rsidP="00014A9D">
      <w:pPr>
        <w:autoSpaceDE w:val="0"/>
        <w:autoSpaceDN w:val="0"/>
        <w:adjustRightInd w:val="0"/>
        <w:spacing w:before="120" w:after="60"/>
        <w:jc w:val="both"/>
        <w:rPr>
          <w:sz w:val="22"/>
          <w:szCs w:val="22"/>
        </w:rPr>
      </w:pPr>
      <w:r w:rsidRPr="00846303">
        <w:rPr>
          <w:b/>
          <w:bCs/>
          <w:sz w:val="22"/>
          <w:szCs w:val="22"/>
        </w:rPr>
        <w:t>Object of Act</w:t>
      </w:r>
    </w:p>
    <w:p w14:paraId="0854CDA4" w14:textId="77777777" w:rsidR="00014A9D" w:rsidRPr="00846303" w:rsidRDefault="00014A9D" w:rsidP="00014A9D">
      <w:pPr>
        <w:tabs>
          <w:tab w:val="left" w:pos="614"/>
        </w:tabs>
        <w:autoSpaceDE w:val="0"/>
        <w:autoSpaceDN w:val="0"/>
        <w:adjustRightInd w:val="0"/>
        <w:spacing w:before="120"/>
        <w:ind w:firstLine="322"/>
        <w:jc w:val="both"/>
        <w:rPr>
          <w:sz w:val="22"/>
          <w:szCs w:val="22"/>
        </w:rPr>
      </w:pPr>
      <w:r w:rsidRPr="00846303">
        <w:rPr>
          <w:b/>
          <w:bCs/>
          <w:sz w:val="22"/>
          <w:szCs w:val="22"/>
        </w:rPr>
        <w:t>3.</w:t>
      </w:r>
      <w:r>
        <w:rPr>
          <w:b/>
          <w:bCs/>
          <w:sz w:val="22"/>
          <w:szCs w:val="22"/>
        </w:rPr>
        <w:tab/>
      </w:r>
      <w:r w:rsidRPr="00846303">
        <w:rPr>
          <w:sz w:val="22"/>
          <w:szCs w:val="22"/>
        </w:rPr>
        <w:t>The object of this Act is to give effect to an agreement made between the Commonwealth and Queensland on 16 November 1990 (a copy of which is set out in Schedule 1 to the Queensland Act) and to facilitate the implementation of Australia’s international duty for the protection, conservation, presentation, rehabilitation and transmission to future generations of the Wet Tropics of Queensland World Heritage Area.</w:t>
      </w:r>
    </w:p>
    <w:p w14:paraId="3861B2CB" w14:textId="77777777" w:rsidR="00014A9D" w:rsidRPr="00846303" w:rsidRDefault="00014A9D" w:rsidP="00014A9D">
      <w:pPr>
        <w:autoSpaceDE w:val="0"/>
        <w:autoSpaceDN w:val="0"/>
        <w:adjustRightInd w:val="0"/>
        <w:spacing w:before="120" w:after="60"/>
        <w:jc w:val="both"/>
        <w:rPr>
          <w:sz w:val="22"/>
          <w:szCs w:val="22"/>
        </w:rPr>
      </w:pPr>
      <w:r w:rsidRPr="00846303">
        <w:rPr>
          <w:b/>
          <w:bCs/>
          <w:sz w:val="22"/>
          <w:szCs w:val="22"/>
        </w:rPr>
        <w:t>Definitions</w:t>
      </w:r>
    </w:p>
    <w:p w14:paraId="1714E1A7" w14:textId="77777777" w:rsidR="00014A9D" w:rsidRPr="00846303" w:rsidRDefault="00014A9D" w:rsidP="00014A9D">
      <w:pPr>
        <w:tabs>
          <w:tab w:val="left" w:pos="619"/>
        </w:tabs>
        <w:autoSpaceDE w:val="0"/>
        <w:autoSpaceDN w:val="0"/>
        <w:adjustRightInd w:val="0"/>
        <w:spacing w:before="120"/>
        <w:ind w:left="326"/>
        <w:jc w:val="both"/>
        <w:rPr>
          <w:sz w:val="22"/>
          <w:szCs w:val="22"/>
        </w:rPr>
      </w:pPr>
      <w:r w:rsidRPr="00846303">
        <w:rPr>
          <w:b/>
          <w:bCs/>
          <w:sz w:val="22"/>
          <w:szCs w:val="22"/>
        </w:rPr>
        <w:t>4.</w:t>
      </w:r>
      <w:r>
        <w:rPr>
          <w:b/>
          <w:bCs/>
          <w:sz w:val="22"/>
          <w:szCs w:val="22"/>
        </w:rPr>
        <w:tab/>
      </w:r>
      <w:r w:rsidRPr="00846303">
        <w:rPr>
          <w:sz w:val="22"/>
          <w:szCs w:val="22"/>
        </w:rPr>
        <w:t>In this Act, unless the contrary intention appears:</w:t>
      </w:r>
    </w:p>
    <w:p w14:paraId="17217739" w14:textId="77777777" w:rsidR="00014A9D" w:rsidRPr="00846303" w:rsidRDefault="00014A9D" w:rsidP="00014A9D">
      <w:pPr>
        <w:autoSpaceDE w:val="0"/>
        <w:autoSpaceDN w:val="0"/>
        <w:adjustRightInd w:val="0"/>
        <w:spacing w:before="120"/>
        <w:jc w:val="both"/>
        <w:rPr>
          <w:sz w:val="22"/>
          <w:szCs w:val="22"/>
        </w:rPr>
      </w:pPr>
      <w:r w:rsidRPr="00846303">
        <w:rPr>
          <w:b/>
          <w:bCs/>
          <w:sz w:val="22"/>
          <w:szCs w:val="22"/>
        </w:rPr>
        <w:t xml:space="preserve">“Authority” </w:t>
      </w:r>
      <w:r w:rsidRPr="00846303">
        <w:rPr>
          <w:sz w:val="22"/>
          <w:szCs w:val="22"/>
        </w:rPr>
        <w:t>means the Wet Tropics Management Authority established by section 6 of the Queensland Act;</w:t>
      </w:r>
    </w:p>
    <w:p w14:paraId="79E777FB" w14:textId="77777777" w:rsidR="00014A9D" w:rsidRPr="00846303" w:rsidRDefault="00014A9D" w:rsidP="00014A9D">
      <w:pPr>
        <w:autoSpaceDE w:val="0"/>
        <w:autoSpaceDN w:val="0"/>
        <w:adjustRightInd w:val="0"/>
        <w:spacing w:before="120"/>
        <w:jc w:val="both"/>
        <w:rPr>
          <w:sz w:val="22"/>
          <w:szCs w:val="22"/>
        </w:rPr>
      </w:pPr>
      <w:r w:rsidRPr="00846303">
        <w:rPr>
          <w:b/>
          <w:bCs/>
          <w:sz w:val="22"/>
          <w:szCs w:val="22"/>
        </w:rPr>
        <w:t xml:space="preserve">“Queensland Act” </w:t>
      </w:r>
      <w:r w:rsidRPr="00846303">
        <w:rPr>
          <w:sz w:val="22"/>
          <w:szCs w:val="22"/>
        </w:rPr>
        <w:t xml:space="preserve">means the </w:t>
      </w:r>
      <w:r w:rsidRPr="00846303">
        <w:rPr>
          <w:i/>
          <w:iCs/>
          <w:sz w:val="22"/>
          <w:szCs w:val="22"/>
        </w:rPr>
        <w:t xml:space="preserve">Wet Tropics World Heritage Protection and Management Act 1993 </w:t>
      </w:r>
      <w:r w:rsidRPr="00846303">
        <w:rPr>
          <w:sz w:val="22"/>
          <w:szCs w:val="22"/>
        </w:rPr>
        <w:t>of Queensland.</w:t>
      </w:r>
    </w:p>
    <w:p w14:paraId="3FF2D3D1" w14:textId="77777777" w:rsidR="00014A9D" w:rsidRPr="00846303" w:rsidRDefault="00014A9D" w:rsidP="00014A9D">
      <w:pPr>
        <w:autoSpaceDE w:val="0"/>
        <w:autoSpaceDN w:val="0"/>
        <w:adjustRightInd w:val="0"/>
        <w:spacing w:before="120"/>
        <w:ind w:right="1325"/>
        <w:jc w:val="both"/>
        <w:rPr>
          <w:sz w:val="22"/>
          <w:szCs w:val="22"/>
        </w:rPr>
      </w:pPr>
      <w:r w:rsidRPr="00846303">
        <w:rPr>
          <w:b/>
          <w:bCs/>
          <w:sz w:val="22"/>
          <w:szCs w:val="22"/>
        </w:rPr>
        <w:t>Nomination of members of the board of the Wet Tropics Management Authority</w:t>
      </w:r>
    </w:p>
    <w:p w14:paraId="61B4C7AC" w14:textId="77777777" w:rsidR="00014A9D" w:rsidRPr="00846303" w:rsidRDefault="00014A9D" w:rsidP="00014A9D">
      <w:pPr>
        <w:tabs>
          <w:tab w:val="left" w:pos="614"/>
        </w:tabs>
        <w:autoSpaceDE w:val="0"/>
        <w:autoSpaceDN w:val="0"/>
        <w:adjustRightInd w:val="0"/>
        <w:spacing w:before="120"/>
        <w:ind w:firstLine="322"/>
        <w:jc w:val="both"/>
        <w:rPr>
          <w:sz w:val="22"/>
          <w:szCs w:val="22"/>
        </w:rPr>
      </w:pPr>
      <w:r w:rsidRPr="00846303">
        <w:rPr>
          <w:b/>
          <w:bCs/>
          <w:sz w:val="22"/>
          <w:szCs w:val="22"/>
        </w:rPr>
        <w:t>5.</w:t>
      </w:r>
      <w:r>
        <w:rPr>
          <w:b/>
          <w:bCs/>
          <w:sz w:val="22"/>
          <w:szCs w:val="22"/>
        </w:rPr>
        <w:tab/>
      </w:r>
      <w:r w:rsidRPr="00846303">
        <w:rPr>
          <w:sz w:val="22"/>
          <w:szCs w:val="22"/>
        </w:rPr>
        <w:t>Nominations for the purposes of paragraph 14(b) of the Queensland Act may be made on behalf of the Commonwealth by the Minister.</w:t>
      </w:r>
    </w:p>
    <w:p w14:paraId="6F5D0E03" w14:textId="77777777" w:rsidR="00014A9D" w:rsidRPr="00846303" w:rsidRDefault="00014A9D" w:rsidP="00014A9D">
      <w:pPr>
        <w:autoSpaceDE w:val="0"/>
        <w:autoSpaceDN w:val="0"/>
        <w:adjustRightInd w:val="0"/>
        <w:spacing w:before="120" w:after="60"/>
        <w:jc w:val="both"/>
        <w:rPr>
          <w:sz w:val="22"/>
          <w:szCs w:val="22"/>
        </w:rPr>
      </w:pPr>
      <w:r w:rsidRPr="00846303">
        <w:rPr>
          <w:b/>
          <w:bCs/>
          <w:sz w:val="22"/>
          <w:szCs w:val="22"/>
        </w:rPr>
        <w:t>Aboriginal representation on the Authority</w:t>
      </w:r>
    </w:p>
    <w:p w14:paraId="5FEF84F2" w14:textId="77777777" w:rsidR="00014A9D" w:rsidRPr="00846303" w:rsidRDefault="00014A9D" w:rsidP="00014A9D">
      <w:pPr>
        <w:tabs>
          <w:tab w:val="left" w:pos="614"/>
        </w:tabs>
        <w:autoSpaceDE w:val="0"/>
        <w:autoSpaceDN w:val="0"/>
        <w:adjustRightInd w:val="0"/>
        <w:spacing w:before="120"/>
        <w:ind w:firstLine="322"/>
        <w:jc w:val="both"/>
        <w:rPr>
          <w:sz w:val="22"/>
          <w:szCs w:val="22"/>
        </w:rPr>
      </w:pPr>
      <w:r w:rsidRPr="00846303">
        <w:rPr>
          <w:b/>
          <w:bCs/>
          <w:sz w:val="22"/>
          <w:szCs w:val="22"/>
        </w:rPr>
        <w:t>6.</w:t>
      </w:r>
      <w:r>
        <w:rPr>
          <w:b/>
          <w:bCs/>
          <w:sz w:val="22"/>
          <w:szCs w:val="22"/>
        </w:rPr>
        <w:tab/>
      </w:r>
      <w:r w:rsidRPr="00846303">
        <w:rPr>
          <w:sz w:val="22"/>
          <w:szCs w:val="22"/>
        </w:rPr>
        <w:t>The Minister must include among his or her nominees under section 5 one or more Aboriginal representatives who have appropriate knowledge of, and experience in, the protection of cultural and natural heritage.</w:t>
      </w:r>
    </w:p>
    <w:p w14:paraId="02CC1B7F" w14:textId="77777777" w:rsidR="00014A9D" w:rsidRPr="00846303" w:rsidRDefault="00014A9D" w:rsidP="00014A9D">
      <w:pPr>
        <w:autoSpaceDE w:val="0"/>
        <w:autoSpaceDN w:val="0"/>
        <w:adjustRightInd w:val="0"/>
        <w:spacing w:before="120" w:after="60"/>
        <w:jc w:val="both"/>
        <w:rPr>
          <w:sz w:val="22"/>
          <w:szCs w:val="22"/>
        </w:rPr>
      </w:pPr>
      <w:r w:rsidRPr="00846303">
        <w:rPr>
          <w:b/>
          <w:bCs/>
          <w:sz w:val="22"/>
          <w:szCs w:val="22"/>
        </w:rPr>
        <w:t>Secondment of staff to Authority</w:t>
      </w:r>
    </w:p>
    <w:p w14:paraId="6B4799F8" w14:textId="77777777" w:rsidR="00014A9D" w:rsidRPr="00846303" w:rsidRDefault="00014A9D" w:rsidP="00014A9D">
      <w:pPr>
        <w:tabs>
          <w:tab w:val="left" w:pos="619"/>
        </w:tabs>
        <w:autoSpaceDE w:val="0"/>
        <w:autoSpaceDN w:val="0"/>
        <w:adjustRightInd w:val="0"/>
        <w:spacing w:before="120"/>
        <w:ind w:left="326"/>
        <w:jc w:val="both"/>
        <w:rPr>
          <w:sz w:val="22"/>
          <w:szCs w:val="22"/>
        </w:rPr>
      </w:pPr>
      <w:r w:rsidRPr="00846303">
        <w:rPr>
          <w:b/>
          <w:bCs/>
          <w:sz w:val="22"/>
          <w:szCs w:val="22"/>
        </w:rPr>
        <w:t>7.</w:t>
      </w:r>
      <w:r>
        <w:rPr>
          <w:b/>
          <w:bCs/>
          <w:sz w:val="22"/>
          <w:szCs w:val="22"/>
        </w:rPr>
        <w:tab/>
      </w:r>
      <w:r w:rsidRPr="00846303">
        <w:rPr>
          <w:sz w:val="22"/>
          <w:szCs w:val="22"/>
        </w:rPr>
        <w:t>The Minister may make arrangements for the services of:</w:t>
      </w:r>
    </w:p>
    <w:p w14:paraId="34EAC033" w14:textId="77777777" w:rsidR="00014A9D" w:rsidRPr="00846303" w:rsidRDefault="00014A9D" w:rsidP="00014A9D">
      <w:pPr>
        <w:tabs>
          <w:tab w:val="left" w:pos="720"/>
        </w:tabs>
        <w:autoSpaceDE w:val="0"/>
        <w:autoSpaceDN w:val="0"/>
        <w:adjustRightInd w:val="0"/>
        <w:spacing w:before="120"/>
        <w:ind w:left="331"/>
        <w:jc w:val="both"/>
        <w:rPr>
          <w:sz w:val="22"/>
          <w:szCs w:val="22"/>
        </w:rPr>
      </w:pPr>
      <w:r w:rsidRPr="00846303">
        <w:rPr>
          <w:sz w:val="22"/>
          <w:szCs w:val="22"/>
        </w:rPr>
        <w:t>(a)</w:t>
      </w:r>
      <w:r>
        <w:rPr>
          <w:sz w:val="22"/>
          <w:szCs w:val="22"/>
        </w:rPr>
        <w:tab/>
      </w:r>
      <w:r w:rsidRPr="00846303">
        <w:rPr>
          <w:sz w:val="22"/>
          <w:szCs w:val="22"/>
        </w:rPr>
        <w:t>officers or employees of the Australian Public Service; or</w:t>
      </w:r>
    </w:p>
    <w:p w14:paraId="2CDC2DBC" w14:textId="77777777" w:rsidR="00014A9D" w:rsidRPr="00846303" w:rsidRDefault="00014A9D" w:rsidP="00014A9D">
      <w:pPr>
        <w:autoSpaceDE w:val="0"/>
        <w:autoSpaceDN w:val="0"/>
        <w:adjustRightInd w:val="0"/>
        <w:spacing w:before="120"/>
        <w:ind w:left="326"/>
        <w:jc w:val="both"/>
        <w:rPr>
          <w:sz w:val="22"/>
          <w:szCs w:val="22"/>
        </w:rPr>
      </w:pPr>
      <w:r w:rsidRPr="00846303">
        <w:rPr>
          <w:sz w:val="22"/>
          <w:szCs w:val="22"/>
        </w:rPr>
        <w:t>(b)</w:t>
      </w:r>
      <w:r>
        <w:rPr>
          <w:sz w:val="22"/>
          <w:szCs w:val="22"/>
        </w:rPr>
        <w:tab/>
      </w:r>
      <w:r w:rsidRPr="00846303">
        <w:rPr>
          <w:sz w:val="22"/>
          <w:szCs w:val="22"/>
        </w:rPr>
        <w:t>members of the staff of authorities of the Commonwealth;</w:t>
      </w:r>
    </w:p>
    <w:p w14:paraId="15D34A89" w14:textId="77777777" w:rsidR="00014A9D" w:rsidRPr="00846303" w:rsidRDefault="00014A9D" w:rsidP="00014A9D">
      <w:pPr>
        <w:autoSpaceDE w:val="0"/>
        <w:autoSpaceDN w:val="0"/>
        <w:adjustRightInd w:val="0"/>
        <w:spacing w:before="120"/>
        <w:jc w:val="both"/>
        <w:rPr>
          <w:sz w:val="22"/>
          <w:szCs w:val="22"/>
        </w:rPr>
      </w:pPr>
      <w:r w:rsidRPr="00846303">
        <w:rPr>
          <w:sz w:val="22"/>
          <w:szCs w:val="22"/>
        </w:rPr>
        <w:t>to be made available to the Authority.</w:t>
      </w:r>
    </w:p>
    <w:p w14:paraId="65DF16F3" w14:textId="77777777" w:rsidR="00014A9D" w:rsidRPr="00846303" w:rsidRDefault="00014A9D" w:rsidP="00014A9D">
      <w:pPr>
        <w:autoSpaceDE w:val="0"/>
        <w:autoSpaceDN w:val="0"/>
        <w:adjustRightInd w:val="0"/>
        <w:spacing w:before="120" w:after="60"/>
        <w:jc w:val="both"/>
        <w:rPr>
          <w:sz w:val="22"/>
          <w:szCs w:val="22"/>
        </w:rPr>
      </w:pPr>
      <w:r w:rsidRPr="00846303">
        <w:rPr>
          <w:sz w:val="22"/>
          <w:szCs w:val="22"/>
        </w:rPr>
        <w:br w:type="page"/>
      </w:r>
      <w:r w:rsidRPr="00846303">
        <w:rPr>
          <w:b/>
          <w:bCs/>
          <w:sz w:val="22"/>
          <w:szCs w:val="22"/>
        </w:rPr>
        <w:lastRenderedPageBreak/>
        <w:t>Aboriginal representation on advisory committees</w:t>
      </w:r>
    </w:p>
    <w:p w14:paraId="3A80566C" w14:textId="77777777" w:rsidR="00014A9D" w:rsidRPr="00846303" w:rsidRDefault="00014A9D" w:rsidP="00014A9D">
      <w:pPr>
        <w:tabs>
          <w:tab w:val="left" w:pos="634"/>
        </w:tabs>
        <w:autoSpaceDE w:val="0"/>
        <w:autoSpaceDN w:val="0"/>
        <w:adjustRightInd w:val="0"/>
        <w:spacing w:before="120"/>
        <w:ind w:firstLine="331"/>
        <w:jc w:val="both"/>
        <w:rPr>
          <w:sz w:val="22"/>
          <w:szCs w:val="22"/>
        </w:rPr>
      </w:pPr>
      <w:r w:rsidRPr="00846303">
        <w:rPr>
          <w:b/>
          <w:bCs/>
          <w:sz w:val="22"/>
          <w:szCs w:val="22"/>
        </w:rPr>
        <w:t>8.</w:t>
      </w:r>
      <w:r>
        <w:rPr>
          <w:b/>
          <w:bCs/>
          <w:sz w:val="22"/>
          <w:szCs w:val="22"/>
        </w:rPr>
        <w:tab/>
      </w:r>
      <w:r w:rsidRPr="00846303">
        <w:rPr>
          <w:sz w:val="22"/>
          <w:szCs w:val="22"/>
        </w:rPr>
        <w:t xml:space="preserve">The Minister must use his or her best </w:t>
      </w:r>
      <w:proofErr w:type="spellStart"/>
      <w:r w:rsidRPr="00846303">
        <w:rPr>
          <w:sz w:val="22"/>
          <w:szCs w:val="22"/>
        </w:rPr>
        <w:t>endeavours</w:t>
      </w:r>
      <w:proofErr w:type="spellEnd"/>
      <w:r w:rsidRPr="00846303">
        <w:rPr>
          <w:sz w:val="22"/>
          <w:szCs w:val="22"/>
        </w:rPr>
        <w:t>, through consultation with the Authority, to ensure that any advisory committee established by the Authority under the Queensland Act includes among its members Aboriginal representatives who have appropriate knowledge of, and experience in, the protection of cultural and natural heritage.</w:t>
      </w:r>
    </w:p>
    <w:p w14:paraId="68804785" w14:textId="77777777" w:rsidR="00014A9D" w:rsidRPr="00846303" w:rsidRDefault="00014A9D" w:rsidP="00014A9D">
      <w:pPr>
        <w:autoSpaceDE w:val="0"/>
        <w:autoSpaceDN w:val="0"/>
        <w:adjustRightInd w:val="0"/>
        <w:spacing w:before="120" w:after="60"/>
        <w:jc w:val="both"/>
        <w:rPr>
          <w:sz w:val="22"/>
          <w:szCs w:val="22"/>
        </w:rPr>
      </w:pPr>
      <w:r w:rsidRPr="00846303">
        <w:rPr>
          <w:b/>
          <w:bCs/>
          <w:sz w:val="22"/>
          <w:szCs w:val="22"/>
        </w:rPr>
        <w:t>Operation of World Heritage Properties Conservation Act</w:t>
      </w:r>
    </w:p>
    <w:p w14:paraId="1C44B4CD" w14:textId="77777777" w:rsidR="00014A9D" w:rsidRPr="00846303" w:rsidRDefault="00014A9D" w:rsidP="00014A9D">
      <w:pPr>
        <w:tabs>
          <w:tab w:val="left" w:pos="634"/>
        </w:tabs>
        <w:autoSpaceDE w:val="0"/>
        <w:autoSpaceDN w:val="0"/>
        <w:adjustRightInd w:val="0"/>
        <w:spacing w:before="120"/>
        <w:ind w:firstLine="331"/>
        <w:jc w:val="both"/>
        <w:rPr>
          <w:sz w:val="22"/>
          <w:szCs w:val="22"/>
        </w:rPr>
      </w:pPr>
      <w:r w:rsidRPr="00846303">
        <w:rPr>
          <w:b/>
          <w:bCs/>
          <w:sz w:val="22"/>
          <w:szCs w:val="22"/>
        </w:rPr>
        <w:t>9.</w:t>
      </w:r>
      <w:r>
        <w:rPr>
          <w:b/>
          <w:bCs/>
          <w:sz w:val="22"/>
          <w:szCs w:val="22"/>
        </w:rPr>
        <w:tab/>
      </w:r>
      <w:r w:rsidRPr="00846303">
        <w:rPr>
          <w:sz w:val="22"/>
          <w:szCs w:val="22"/>
        </w:rPr>
        <w:t xml:space="preserve">Nothing in this Act is intended to affect the operation of the </w:t>
      </w:r>
      <w:r w:rsidRPr="00846303">
        <w:rPr>
          <w:i/>
          <w:iCs/>
          <w:sz w:val="22"/>
          <w:szCs w:val="22"/>
        </w:rPr>
        <w:t>World Heritage Properties Conservation Act 1983.</w:t>
      </w:r>
    </w:p>
    <w:p w14:paraId="12D8DD24" w14:textId="77777777" w:rsidR="00014A9D" w:rsidRPr="00846303" w:rsidRDefault="00014A9D" w:rsidP="00014A9D">
      <w:pPr>
        <w:autoSpaceDE w:val="0"/>
        <w:autoSpaceDN w:val="0"/>
        <w:adjustRightInd w:val="0"/>
        <w:spacing w:before="120" w:after="60"/>
        <w:jc w:val="both"/>
        <w:rPr>
          <w:sz w:val="22"/>
          <w:szCs w:val="22"/>
        </w:rPr>
      </w:pPr>
      <w:r w:rsidRPr="00846303">
        <w:rPr>
          <w:b/>
          <w:bCs/>
          <w:sz w:val="22"/>
          <w:szCs w:val="22"/>
        </w:rPr>
        <w:t>Tabling of annual report of Authority</w:t>
      </w:r>
    </w:p>
    <w:p w14:paraId="24A85831" w14:textId="2751E523" w:rsidR="00014A9D" w:rsidRPr="00846303" w:rsidRDefault="00014A9D" w:rsidP="00014A9D">
      <w:pPr>
        <w:autoSpaceDE w:val="0"/>
        <w:autoSpaceDN w:val="0"/>
        <w:adjustRightInd w:val="0"/>
        <w:spacing w:before="120"/>
        <w:ind w:firstLine="326"/>
        <w:jc w:val="both"/>
        <w:rPr>
          <w:sz w:val="22"/>
          <w:szCs w:val="22"/>
        </w:rPr>
      </w:pPr>
      <w:r w:rsidRPr="00846303">
        <w:rPr>
          <w:b/>
          <w:bCs/>
          <w:sz w:val="22"/>
          <w:szCs w:val="22"/>
        </w:rPr>
        <w:t>10</w:t>
      </w:r>
      <w:r w:rsidRPr="00B96471">
        <w:rPr>
          <w:b/>
          <w:sz w:val="22"/>
          <w:szCs w:val="22"/>
        </w:rPr>
        <w:t>.(</w:t>
      </w:r>
      <w:r w:rsidRPr="00B96471">
        <w:rPr>
          <w:b/>
          <w:bCs/>
          <w:sz w:val="22"/>
          <w:szCs w:val="22"/>
        </w:rPr>
        <w:t>1</w:t>
      </w:r>
      <w:r w:rsidRPr="00B96471">
        <w:rPr>
          <w:b/>
          <w:sz w:val="22"/>
          <w:szCs w:val="22"/>
        </w:rPr>
        <w:t>)</w:t>
      </w:r>
      <w:r w:rsidR="00B96471">
        <w:rPr>
          <w:sz w:val="22"/>
          <w:szCs w:val="22"/>
        </w:rPr>
        <w:t xml:space="preserve"> </w:t>
      </w:r>
      <w:r w:rsidRPr="00846303">
        <w:rPr>
          <w:sz w:val="22"/>
          <w:szCs w:val="22"/>
        </w:rPr>
        <w:t>I</w:t>
      </w:r>
      <w:bookmarkStart w:id="0" w:name="_GoBack"/>
      <w:bookmarkEnd w:id="0"/>
      <w:r w:rsidRPr="00846303">
        <w:rPr>
          <w:sz w:val="22"/>
          <w:szCs w:val="22"/>
        </w:rPr>
        <w:t xml:space="preserve">n this section, </w:t>
      </w:r>
      <w:r w:rsidRPr="00846303">
        <w:rPr>
          <w:b/>
          <w:bCs/>
          <w:sz w:val="22"/>
          <w:szCs w:val="22"/>
        </w:rPr>
        <w:t xml:space="preserve">“annual report” </w:t>
      </w:r>
      <w:r w:rsidRPr="00846303">
        <w:rPr>
          <w:sz w:val="22"/>
          <w:szCs w:val="22"/>
        </w:rPr>
        <w:t>means a report given to the Commonwealth under section 63 of the Queensland Act.</w:t>
      </w:r>
    </w:p>
    <w:p w14:paraId="694C066C" w14:textId="77777777" w:rsidR="00014A9D" w:rsidRPr="00846303" w:rsidRDefault="00014A9D" w:rsidP="004B6084">
      <w:pPr>
        <w:autoSpaceDE w:val="0"/>
        <w:autoSpaceDN w:val="0"/>
        <w:adjustRightInd w:val="0"/>
        <w:spacing w:before="120"/>
        <w:ind w:firstLine="331"/>
        <w:jc w:val="both"/>
        <w:rPr>
          <w:sz w:val="22"/>
          <w:szCs w:val="22"/>
        </w:rPr>
      </w:pPr>
      <w:r w:rsidRPr="00FE46EE">
        <w:rPr>
          <w:b/>
          <w:sz w:val="22"/>
          <w:szCs w:val="22"/>
        </w:rPr>
        <w:t>(2)</w:t>
      </w:r>
      <w:r>
        <w:rPr>
          <w:sz w:val="22"/>
          <w:szCs w:val="22"/>
        </w:rPr>
        <w:tab/>
      </w:r>
      <w:r w:rsidRPr="00846303">
        <w:rPr>
          <w:sz w:val="22"/>
          <w:szCs w:val="22"/>
        </w:rPr>
        <w:t>The Minister must cause a copy of an annual report to be laid before each House of the Parliament within 15 sitting days of that House after the report is given to the Commonwealth.</w:t>
      </w:r>
    </w:p>
    <w:p w14:paraId="249F4709" w14:textId="77777777" w:rsidR="004B6084" w:rsidRDefault="00B96471" w:rsidP="004B6084">
      <w:pPr>
        <w:autoSpaceDE w:val="0"/>
        <w:autoSpaceDN w:val="0"/>
        <w:adjustRightInd w:val="0"/>
        <w:spacing w:before="120"/>
        <w:jc w:val="both"/>
        <w:rPr>
          <w:sz w:val="22"/>
          <w:szCs w:val="22"/>
        </w:rPr>
      </w:pPr>
      <w:r>
        <w:rPr>
          <w:sz w:val="22"/>
          <w:szCs w:val="22"/>
        </w:rPr>
        <w:pict w14:anchorId="4541BA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1.5pt" o:hrpct="0" o:hralign="center" o:hr="t">
            <v:imagedata r:id="rId8" o:title="BD10219_"/>
          </v:shape>
        </w:pict>
      </w:r>
    </w:p>
    <w:p w14:paraId="0D74EA08" w14:textId="77777777" w:rsidR="00014A9D" w:rsidRPr="0054289F" w:rsidRDefault="00014A9D" w:rsidP="00014A9D">
      <w:pPr>
        <w:autoSpaceDE w:val="0"/>
        <w:autoSpaceDN w:val="0"/>
        <w:adjustRightInd w:val="0"/>
        <w:spacing w:before="120"/>
        <w:jc w:val="both"/>
        <w:rPr>
          <w:sz w:val="20"/>
          <w:szCs w:val="22"/>
        </w:rPr>
      </w:pPr>
      <w:r w:rsidRPr="0054289F">
        <w:rPr>
          <w:sz w:val="20"/>
          <w:szCs w:val="22"/>
        </w:rPr>
        <w:t>[</w:t>
      </w:r>
      <w:r w:rsidRPr="0054289F">
        <w:rPr>
          <w:i/>
          <w:iCs/>
          <w:sz w:val="20"/>
          <w:szCs w:val="22"/>
        </w:rPr>
        <w:t>Minister’s second reading speech made in</w:t>
      </w:r>
      <w:r w:rsidRPr="0054289F">
        <w:rPr>
          <w:sz w:val="20"/>
          <w:szCs w:val="22"/>
        </w:rPr>
        <w:t>—</w:t>
      </w:r>
    </w:p>
    <w:p w14:paraId="5942EC80" w14:textId="77777777" w:rsidR="00014A9D" w:rsidRPr="0054289F" w:rsidRDefault="00014A9D" w:rsidP="004B6084">
      <w:pPr>
        <w:autoSpaceDE w:val="0"/>
        <w:autoSpaceDN w:val="0"/>
        <w:adjustRightInd w:val="0"/>
        <w:ind w:left="792"/>
        <w:jc w:val="both"/>
        <w:rPr>
          <w:sz w:val="20"/>
          <w:szCs w:val="22"/>
        </w:rPr>
      </w:pPr>
      <w:r w:rsidRPr="0054289F">
        <w:rPr>
          <w:i/>
          <w:iCs/>
          <w:sz w:val="20"/>
          <w:szCs w:val="22"/>
        </w:rPr>
        <w:t>Senate on 16 December 1993</w:t>
      </w:r>
    </w:p>
    <w:p w14:paraId="7777E228" w14:textId="77777777" w:rsidR="00014A9D" w:rsidRPr="0054289F" w:rsidRDefault="00014A9D" w:rsidP="004B6084">
      <w:pPr>
        <w:autoSpaceDE w:val="0"/>
        <w:autoSpaceDN w:val="0"/>
        <w:adjustRightInd w:val="0"/>
        <w:ind w:left="792"/>
        <w:jc w:val="both"/>
        <w:rPr>
          <w:sz w:val="20"/>
          <w:szCs w:val="22"/>
        </w:rPr>
      </w:pPr>
      <w:r w:rsidRPr="0054289F">
        <w:rPr>
          <w:i/>
          <w:iCs/>
          <w:sz w:val="20"/>
          <w:szCs w:val="22"/>
        </w:rPr>
        <w:t>House of Representatives on 10 February 1994</w:t>
      </w:r>
      <w:r w:rsidR="004D3C0B">
        <w:rPr>
          <w:sz w:val="20"/>
          <w:szCs w:val="22"/>
        </w:rPr>
        <w:t>]</w:t>
      </w:r>
    </w:p>
    <w:sectPr w:rsidR="00014A9D" w:rsidRPr="0054289F" w:rsidSect="00FB3F2E">
      <w:headerReference w:type="default" r:id="rId9"/>
      <w:pgSz w:w="12240" w:h="15840"/>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DCE5A33" w15:done="0"/>
  <w15:commentEx w15:paraId="08BAD8B5" w15:done="0"/>
  <w15:commentEx w15:paraId="63DC7B74" w15:done="0"/>
  <w15:commentEx w15:paraId="7DEE0019" w15:done="0"/>
  <w15:commentEx w15:paraId="14BB805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CE5A33" w16cid:durableId="210A2578"/>
  <w16cid:commentId w16cid:paraId="08BAD8B5" w16cid:durableId="210A2592"/>
  <w16cid:commentId w16cid:paraId="63DC7B74" w16cid:durableId="210A25CE"/>
  <w16cid:commentId w16cid:paraId="7DEE0019" w16cid:durableId="210A25D4"/>
  <w16cid:commentId w16cid:paraId="14BB8058" w16cid:durableId="210A25D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694191" w14:textId="77777777" w:rsidR="00D70EB8" w:rsidRDefault="00D70EB8">
      <w:r>
        <w:separator/>
      </w:r>
    </w:p>
  </w:endnote>
  <w:endnote w:type="continuationSeparator" w:id="0">
    <w:p w14:paraId="4B1E1D0E" w14:textId="77777777" w:rsidR="00D70EB8" w:rsidRDefault="00D70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E2EF98" w14:textId="77777777" w:rsidR="00D70EB8" w:rsidRDefault="00D70EB8">
      <w:r>
        <w:separator/>
      </w:r>
    </w:p>
  </w:footnote>
  <w:footnote w:type="continuationSeparator" w:id="0">
    <w:p w14:paraId="33E41E6D" w14:textId="77777777" w:rsidR="00D70EB8" w:rsidRDefault="00D70E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BC067" w14:textId="0DE86A62" w:rsidR="004B6084" w:rsidRDefault="004B6084" w:rsidP="004B6084">
    <w:pPr>
      <w:pStyle w:val="Header"/>
      <w:jc w:val="center"/>
    </w:pPr>
    <w:r w:rsidRPr="00846303">
      <w:rPr>
        <w:i/>
        <w:iCs/>
        <w:sz w:val="22"/>
        <w:szCs w:val="22"/>
      </w:rPr>
      <w:t>Wet Tropics of Queensland World Heritage Area</w:t>
    </w:r>
    <w:r>
      <w:rPr>
        <w:i/>
        <w:iCs/>
        <w:sz w:val="22"/>
        <w:szCs w:val="22"/>
      </w:rPr>
      <w:br/>
    </w:r>
    <w:r w:rsidRPr="00846303">
      <w:rPr>
        <w:i/>
        <w:iCs/>
        <w:sz w:val="22"/>
        <w:szCs w:val="22"/>
      </w:rPr>
      <w:t xml:space="preserve">Conservation </w:t>
    </w:r>
    <w:r w:rsidR="00B96471">
      <w:rPr>
        <w:i/>
        <w:iCs/>
        <w:sz w:val="22"/>
        <w:szCs w:val="22"/>
      </w:rPr>
      <w:t xml:space="preserve">    </w:t>
    </w:r>
    <w:r w:rsidRPr="00846303">
      <w:rPr>
        <w:i/>
        <w:iCs/>
        <w:sz w:val="22"/>
        <w:szCs w:val="22"/>
      </w:rPr>
      <w:t>No. 32, 1994</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w15:presenceInfo w15:providerId="None" w15:userId="Dav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A9D"/>
    <w:rsid w:val="00014A9D"/>
    <w:rsid w:val="001C0037"/>
    <w:rsid w:val="00297CA1"/>
    <w:rsid w:val="00360217"/>
    <w:rsid w:val="0039649B"/>
    <w:rsid w:val="004A1E14"/>
    <w:rsid w:val="004B6084"/>
    <w:rsid w:val="004D3C0B"/>
    <w:rsid w:val="00522A0B"/>
    <w:rsid w:val="0054289F"/>
    <w:rsid w:val="00582DF8"/>
    <w:rsid w:val="005F24FB"/>
    <w:rsid w:val="00645CBF"/>
    <w:rsid w:val="00697913"/>
    <w:rsid w:val="007A00A6"/>
    <w:rsid w:val="009F099C"/>
    <w:rsid w:val="00A22B88"/>
    <w:rsid w:val="00AA05EF"/>
    <w:rsid w:val="00B36217"/>
    <w:rsid w:val="00B421ED"/>
    <w:rsid w:val="00B96471"/>
    <w:rsid w:val="00CA1489"/>
    <w:rsid w:val="00CC45BA"/>
    <w:rsid w:val="00D70EB8"/>
    <w:rsid w:val="00DC20DB"/>
    <w:rsid w:val="00FB3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8FE3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B6084"/>
    <w:pPr>
      <w:tabs>
        <w:tab w:val="center" w:pos="4320"/>
        <w:tab w:val="right" w:pos="8640"/>
      </w:tabs>
    </w:pPr>
  </w:style>
  <w:style w:type="paragraph" w:styleId="Footer">
    <w:name w:val="footer"/>
    <w:basedOn w:val="Normal"/>
    <w:rsid w:val="004B6084"/>
    <w:pPr>
      <w:tabs>
        <w:tab w:val="center" w:pos="4320"/>
        <w:tab w:val="right" w:pos="8640"/>
      </w:tabs>
    </w:pPr>
  </w:style>
  <w:style w:type="character" w:styleId="CommentReference">
    <w:name w:val="annotation reference"/>
    <w:basedOn w:val="DefaultParagraphFont"/>
    <w:semiHidden/>
    <w:unhideWhenUsed/>
    <w:rsid w:val="00A22B88"/>
    <w:rPr>
      <w:sz w:val="16"/>
      <w:szCs w:val="16"/>
    </w:rPr>
  </w:style>
  <w:style w:type="paragraph" w:styleId="CommentText">
    <w:name w:val="annotation text"/>
    <w:basedOn w:val="Normal"/>
    <w:link w:val="CommentTextChar"/>
    <w:semiHidden/>
    <w:unhideWhenUsed/>
    <w:rsid w:val="00A22B88"/>
    <w:rPr>
      <w:sz w:val="20"/>
      <w:szCs w:val="20"/>
    </w:rPr>
  </w:style>
  <w:style w:type="character" w:customStyle="1" w:styleId="CommentTextChar">
    <w:name w:val="Comment Text Char"/>
    <w:basedOn w:val="DefaultParagraphFont"/>
    <w:link w:val="CommentText"/>
    <w:semiHidden/>
    <w:rsid w:val="00A22B88"/>
  </w:style>
  <w:style w:type="paragraph" w:styleId="CommentSubject">
    <w:name w:val="annotation subject"/>
    <w:basedOn w:val="CommentText"/>
    <w:next w:val="CommentText"/>
    <w:link w:val="CommentSubjectChar"/>
    <w:semiHidden/>
    <w:unhideWhenUsed/>
    <w:rsid w:val="00A22B88"/>
    <w:rPr>
      <w:b/>
      <w:bCs/>
    </w:rPr>
  </w:style>
  <w:style w:type="character" w:customStyle="1" w:styleId="CommentSubjectChar">
    <w:name w:val="Comment Subject Char"/>
    <w:basedOn w:val="CommentTextChar"/>
    <w:link w:val="CommentSubject"/>
    <w:semiHidden/>
    <w:rsid w:val="00A22B88"/>
    <w:rPr>
      <w:b/>
      <w:bCs/>
    </w:rPr>
  </w:style>
  <w:style w:type="paragraph" w:styleId="BalloonText">
    <w:name w:val="Balloon Text"/>
    <w:basedOn w:val="Normal"/>
    <w:link w:val="BalloonTextChar"/>
    <w:semiHidden/>
    <w:unhideWhenUsed/>
    <w:rsid w:val="00A22B88"/>
    <w:rPr>
      <w:rFonts w:ascii="Segoe UI" w:hAnsi="Segoe UI" w:cs="Segoe UI"/>
      <w:sz w:val="18"/>
      <w:szCs w:val="18"/>
    </w:rPr>
  </w:style>
  <w:style w:type="character" w:customStyle="1" w:styleId="BalloonTextChar">
    <w:name w:val="Balloon Text Char"/>
    <w:basedOn w:val="DefaultParagraphFont"/>
    <w:link w:val="BalloonText"/>
    <w:semiHidden/>
    <w:rsid w:val="00A22B88"/>
    <w:rPr>
      <w:rFonts w:ascii="Segoe UI" w:hAnsi="Segoe UI" w:cs="Segoe UI"/>
      <w:sz w:val="18"/>
      <w:szCs w:val="18"/>
    </w:rPr>
  </w:style>
  <w:style w:type="paragraph" w:styleId="Revision">
    <w:name w:val="Revision"/>
    <w:hidden/>
    <w:uiPriority w:val="99"/>
    <w:semiHidden/>
    <w:rsid w:val="00B9647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B6084"/>
    <w:pPr>
      <w:tabs>
        <w:tab w:val="center" w:pos="4320"/>
        <w:tab w:val="right" w:pos="8640"/>
      </w:tabs>
    </w:pPr>
  </w:style>
  <w:style w:type="paragraph" w:styleId="Footer">
    <w:name w:val="footer"/>
    <w:basedOn w:val="Normal"/>
    <w:rsid w:val="004B6084"/>
    <w:pPr>
      <w:tabs>
        <w:tab w:val="center" w:pos="4320"/>
        <w:tab w:val="right" w:pos="8640"/>
      </w:tabs>
    </w:pPr>
  </w:style>
  <w:style w:type="character" w:styleId="CommentReference">
    <w:name w:val="annotation reference"/>
    <w:basedOn w:val="DefaultParagraphFont"/>
    <w:semiHidden/>
    <w:unhideWhenUsed/>
    <w:rsid w:val="00A22B88"/>
    <w:rPr>
      <w:sz w:val="16"/>
      <w:szCs w:val="16"/>
    </w:rPr>
  </w:style>
  <w:style w:type="paragraph" w:styleId="CommentText">
    <w:name w:val="annotation text"/>
    <w:basedOn w:val="Normal"/>
    <w:link w:val="CommentTextChar"/>
    <w:semiHidden/>
    <w:unhideWhenUsed/>
    <w:rsid w:val="00A22B88"/>
    <w:rPr>
      <w:sz w:val="20"/>
      <w:szCs w:val="20"/>
    </w:rPr>
  </w:style>
  <w:style w:type="character" w:customStyle="1" w:styleId="CommentTextChar">
    <w:name w:val="Comment Text Char"/>
    <w:basedOn w:val="DefaultParagraphFont"/>
    <w:link w:val="CommentText"/>
    <w:semiHidden/>
    <w:rsid w:val="00A22B88"/>
  </w:style>
  <w:style w:type="paragraph" w:styleId="CommentSubject">
    <w:name w:val="annotation subject"/>
    <w:basedOn w:val="CommentText"/>
    <w:next w:val="CommentText"/>
    <w:link w:val="CommentSubjectChar"/>
    <w:semiHidden/>
    <w:unhideWhenUsed/>
    <w:rsid w:val="00A22B88"/>
    <w:rPr>
      <w:b/>
      <w:bCs/>
    </w:rPr>
  </w:style>
  <w:style w:type="character" w:customStyle="1" w:styleId="CommentSubjectChar">
    <w:name w:val="Comment Subject Char"/>
    <w:basedOn w:val="CommentTextChar"/>
    <w:link w:val="CommentSubject"/>
    <w:semiHidden/>
    <w:rsid w:val="00A22B88"/>
    <w:rPr>
      <w:b/>
      <w:bCs/>
    </w:rPr>
  </w:style>
  <w:style w:type="paragraph" w:styleId="BalloonText">
    <w:name w:val="Balloon Text"/>
    <w:basedOn w:val="Normal"/>
    <w:link w:val="BalloonTextChar"/>
    <w:semiHidden/>
    <w:unhideWhenUsed/>
    <w:rsid w:val="00A22B88"/>
    <w:rPr>
      <w:rFonts w:ascii="Segoe UI" w:hAnsi="Segoe UI" w:cs="Segoe UI"/>
      <w:sz w:val="18"/>
      <w:szCs w:val="18"/>
    </w:rPr>
  </w:style>
  <w:style w:type="character" w:customStyle="1" w:styleId="BalloonTextChar">
    <w:name w:val="Balloon Text Char"/>
    <w:basedOn w:val="DefaultParagraphFont"/>
    <w:link w:val="BalloonText"/>
    <w:semiHidden/>
    <w:rsid w:val="00A22B88"/>
    <w:rPr>
      <w:rFonts w:ascii="Segoe UI" w:hAnsi="Segoe UI" w:cs="Segoe UI"/>
      <w:sz w:val="18"/>
      <w:szCs w:val="18"/>
    </w:rPr>
  </w:style>
  <w:style w:type="paragraph" w:styleId="Revision">
    <w:name w:val="Revision"/>
    <w:hidden/>
    <w:uiPriority w:val="99"/>
    <w:semiHidden/>
    <w:rsid w:val="00B9647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png"/><Relationship Id="rId12" Type="http://schemas.microsoft.com/office/2011/relationships/commentsExtended" Target="commentsExtended.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556</Words>
  <Characters>2979</Characters>
  <Application>Microsoft Office Word</Application>
  <DocSecurity>0</DocSecurity>
  <Lines>175</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book</dc:creator>
  <cp:lastModifiedBy>Ziegler, Liesl</cp:lastModifiedBy>
  <cp:revision>3</cp:revision>
  <dcterms:created xsi:type="dcterms:W3CDTF">2019-08-22T22:44:00Z</dcterms:created>
  <dcterms:modified xsi:type="dcterms:W3CDTF">2019-11-06T05:14:00Z</dcterms:modified>
</cp:coreProperties>
</file>