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7DC90" w14:textId="77777777" w:rsidR="00694250" w:rsidRPr="00846303" w:rsidRDefault="00BC7A3C" w:rsidP="009E62D1">
      <w:pPr>
        <w:autoSpaceDE w:val="0"/>
        <w:autoSpaceDN w:val="0"/>
        <w:adjustRightInd w:val="0"/>
        <w:spacing w:before="120"/>
        <w:jc w:val="center"/>
        <w:rPr>
          <w:sz w:val="22"/>
          <w:szCs w:val="22"/>
        </w:rPr>
      </w:pPr>
      <w:r>
        <w:rPr>
          <w:noProof/>
          <w:lang w:val="en-AU" w:eastAsia="en-AU"/>
        </w:rPr>
        <w:drawing>
          <wp:inline distT="0" distB="0" distL="0" distR="0" wp14:anchorId="76A3AFAE" wp14:editId="65CD6BBA">
            <wp:extent cx="1382395" cy="1024255"/>
            <wp:effectExtent l="0" t="0" r="8255" b="444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111541BA" w14:textId="77777777" w:rsidR="00694250" w:rsidRPr="009E62D1" w:rsidRDefault="00694250" w:rsidP="009E62D1">
      <w:pPr>
        <w:autoSpaceDE w:val="0"/>
        <w:autoSpaceDN w:val="0"/>
        <w:adjustRightInd w:val="0"/>
        <w:spacing w:before="720"/>
        <w:jc w:val="center"/>
        <w:rPr>
          <w:sz w:val="36"/>
          <w:szCs w:val="22"/>
        </w:rPr>
      </w:pPr>
      <w:r w:rsidRPr="009E62D1">
        <w:rPr>
          <w:b/>
          <w:bCs/>
          <w:sz w:val="36"/>
          <w:szCs w:val="22"/>
        </w:rPr>
        <w:t>Housing Assistance Amendment Act 1994</w:t>
      </w:r>
    </w:p>
    <w:p w14:paraId="77874600" w14:textId="70FEB64B" w:rsidR="009E62D1" w:rsidRPr="008C62BD" w:rsidRDefault="00694250" w:rsidP="009E62D1">
      <w:pPr>
        <w:autoSpaceDE w:val="0"/>
        <w:autoSpaceDN w:val="0"/>
        <w:adjustRightInd w:val="0"/>
        <w:spacing w:before="720"/>
        <w:jc w:val="center"/>
        <w:rPr>
          <w:b/>
          <w:bCs/>
          <w:szCs w:val="22"/>
        </w:rPr>
      </w:pPr>
      <w:r w:rsidRPr="008C62BD">
        <w:rPr>
          <w:b/>
          <w:bCs/>
          <w:szCs w:val="22"/>
        </w:rPr>
        <w:t>No. 34 of 1994</w:t>
      </w:r>
    </w:p>
    <w:p w14:paraId="1B955F25" w14:textId="77777777" w:rsidR="00694250" w:rsidRPr="00846303" w:rsidRDefault="00694250" w:rsidP="009E62D1">
      <w:pPr>
        <w:pBdr>
          <w:bottom w:val="double" w:sz="4" w:space="1" w:color="auto"/>
        </w:pBdr>
        <w:autoSpaceDE w:val="0"/>
        <w:autoSpaceDN w:val="0"/>
        <w:adjustRightInd w:val="0"/>
        <w:spacing w:before="720"/>
        <w:jc w:val="center"/>
        <w:rPr>
          <w:sz w:val="22"/>
          <w:szCs w:val="22"/>
        </w:rPr>
      </w:pPr>
    </w:p>
    <w:p w14:paraId="4C6FCCB5" w14:textId="77777777" w:rsidR="00694250" w:rsidRPr="009E62D1" w:rsidRDefault="00694250" w:rsidP="009E62D1">
      <w:pPr>
        <w:autoSpaceDE w:val="0"/>
        <w:autoSpaceDN w:val="0"/>
        <w:adjustRightInd w:val="0"/>
        <w:spacing w:before="720"/>
        <w:jc w:val="center"/>
        <w:rPr>
          <w:sz w:val="26"/>
          <w:szCs w:val="22"/>
        </w:rPr>
      </w:pPr>
      <w:r w:rsidRPr="009E62D1">
        <w:rPr>
          <w:b/>
          <w:bCs/>
          <w:sz w:val="26"/>
          <w:szCs w:val="22"/>
        </w:rPr>
        <w:t xml:space="preserve">An Act to amend the </w:t>
      </w:r>
      <w:r w:rsidRPr="009E62D1">
        <w:rPr>
          <w:b/>
          <w:bCs/>
          <w:i/>
          <w:iCs/>
          <w:sz w:val="26"/>
          <w:szCs w:val="22"/>
        </w:rPr>
        <w:t>Housing Assistance Act 1989</w:t>
      </w:r>
    </w:p>
    <w:p w14:paraId="780D136B" w14:textId="77777777" w:rsidR="00694250" w:rsidRPr="00846303" w:rsidRDefault="00694250" w:rsidP="009E62D1">
      <w:pPr>
        <w:autoSpaceDE w:val="0"/>
        <w:autoSpaceDN w:val="0"/>
        <w:adjustRightInd w:val="0"/>
        <w:spacing w:before="120"/>
        <w:jc w:val="right"/>
        <w:rPr>
          <w:sz w:val="22"/>
          <w:szCs w:val="22"/>
        </w:rPr>
      </w:pPr>
      <w:r w:rsidRPr="00846303">
        <w:rPr>
          <w:sz w:val="22"/>
          <w:szCs w:val="22"/>
        </w:rPr>
        <w:t>[</w:t>
      </w:r>
      <w:r w:rsidRPr="00846303">
        <w:rPr>
          <w:i/>
          <w:iCs/>
          <w:sz w:val="22"/>
          <w:szCs w:val="22"/>
        </w:rPr>
        <w:t>Assented to 15 March 1994</w:t>
      </w:r>
      <w:r w:rsidRPr="00846303">
        <w:rPr>
          <w:sz w:val="22"/>
          <w:szCs w:val="22"/>
        </w:rPr>
        <w:t>]</w:t>
      </w:r>
    </w:p>
    <w:p w14:paraId="28AEDDA5" w14:textId="77777777" w:rsidR="00694250" w:rsidRPr="00846303" w:rsidRDefault="00694250" w:rsidP="00694250">
      <w:pPr>
        <w:autoSpaceDE w:val="0"/>
        <w:autoSpaceDN w:val="0"/>
        <w:adjustRightInd w:val="0"/>
        <w:spacing w:before="120"/>
        <w:ind w:left="360"/>
        <w:jc w:val="both"/>
        <w:rPr>
          <w:sz w:val="22"/>
          <w:szCs w:val="22"/>
        </w:rPr>
      </w:pPr>
      <w:r w:rsidRPr="00846303">
        <w:rPr>
          <w:sz w:val="22"/>
          <w:szCs w:val="22"/>
        </w:rPr>
        <w:t>The Parliament of Australia enacts:</w:t>
      </w:r>
    </w:p>
    <w:p w14:paraId="5779BA76" w14:textId="77777777" w:rsidR="00694250" w:rsidRPr="00846303" w:rsidRDefault="00694250" w:rsidP="00694250">
      <w:pPr>
        <w:autoSpaceDE w:val="0"/>
        <w:autoSpaceDN w:val="0"/>
        <w:adjustRightInd w:val="0"/>
        <w:spacing w:before="120" w:after="60"/>
        <w:jc w:val="both"/>
        <w:rPr>
          <w:sz w:val="22"/>
          <w:szCs w:val="22"/>
        </w:rPr>
      </w:pPr>
      <w:r w:rsidRPr="00846303">
        <w:rPr>
          <w:b/>
          <w:bCs/>
          <w:sz w:val="22"/>
          <w:szCs w:val="22"/>
        </w:rPr>
        <w:t>Short title etc.</w:t>
      </w:r>
    </w:p>
    <w:p w14:paraId="73F3318E" w14:textId="66BF32B7" w:rsidR="00694250" w:rsidRPr="00846303" w:rsidRDefault="00694250" w:rsidP="009E62D1">
      <w:pPr>
        <w:autoSpaceDE w:val="0"/>
        <w:autoSpaceDN w:val="0"/>
        <w:adjustRightInd w:val="0"/>
        <w:spacing w:before="120"/>
        <w:ind w:firstLine="326"/>
        <w:jc w:val="both"/>
        <w:rPr>
          <w:sz w:val="22"/>
          <w:szCs w:val="22"/>
        </w:rPr>
      </w:pPr>
      <w:r w:rsidRPr="00FE46EE">
        <w:rPr>
          <w:b/>
          <w:sz w:val="22"/>
          <w:szCs w:val="22"/>
        </w:rPr>
        <w:t>1.(1)</w:t>
      </w:r>
      <w:r w:rsidR="008C62BD">
        <w:rPr>
          <w:sz w:val="22"/>
          <w:szCs w:val="22"/>
        </w:rPr>
        <w:t xml:space="preserve"> </w:t>
      </w:r>
      <w:r w:rsidRPr="00846303">
        <w:rPr>
          <w:sz w:val="22"/>
          <w:szCs w:val="22"/>
        </w:rPr>
        <w:t xml:space="preserve">This Act may be cited as the </w:t>
      </w:r>
      <w:r w:rsidRPr="00846303">
        <w:rPr>
          <w:i/>
          <w:iCs/>
          <w:sz w:val="22"/>
          <w:szCs w:val="22"/>
        </w:rPr>
        <w:t>Housing Assistance Amendment Act 1994.</w:t>
      </w:r>
    </w:p>
    <w:p w14:paraId="53C11BFB" w14:textId="77777777" w:rsidR="00694250" w:rsidRPr="00846303" w:rsidRDefault="00694250" w:rsidP="00694250">
      <w:pPr>
        <w:autoSpaceDE w:val="0"/>
        <w:autoSpaceDN w:val="0"/>
        <w:adjustRightInd w:val="0"/>
        <w:spacing w:before="120"/>
        <w:ind w:firstLine="326"/>
        <w:jc w:val="both"/>
        <w:rPr>
          <w:sz w:val="22"/>
          <w:szCs w:val="22"/>
        </w:rPr>
      </w:pPr>
      <w:r w:rsidRPr="00846303">
        <w:rPr>
          <w:sz w:val="22"/>
          <w:szCs w:val="22"/>
        </w:rPr>
        <w:t>(</w:t>
      </w:r>
      <w:r w:rsidRPr="00846303">
        <w:rPr>
          <w:b/>
          <w:bCs/>
          <w:sz w:val="22"/>
          <w:szCs w:val="22"/>
        </w:rPr>
        <w:t>2</w:t>
      </w:r>
      <w:r w:rsidRPr="00846303">
        <w:rPr>
          <w:sz w:val="22"/>
          <w:szCs w:val="22"/>
        </w:rPr>
        <w:t>)</w:t>
      </w:r>
      <w:r>
        <w:rPr>
          <w:sz w:val="22"/>
          <w:szCs w:val="22"/>
        </w:rPr>
        <w:tab/>
      </w:r>
      <w:r w:rsidRPr="00846303">
        <w:rPr>
          <w:sz w:val="22"/>
          <w:szCs w:val="22"/>
        </w:rPr>
        <w:t xml:space="preserve">In this Act, </w:t>
      </w:r>
      <w:r w:rsidRPr="00846303">
        <w:rPr>
          <w:b/>
          <w:bCs/>
          <w:sz w:val="22"/>
          <w:szCs w:val="22"/>
        </w:rPr>
        <w:t xml:space="preserve">“Principal Act” </w:t>
      </w:r>
      <w:r w:rsidRPr="00846303">
        <w:rPr>
          <w:sz w:val="22"/>
          <w:szCs w:val="22"/>
        </w:rPr>
        <w:t xml:space="preserve">means the </w:t>
      </w:r>
      <w:r w:rsidRPr="00846303">
        <w:rPr>
          <w:i/>
          <w:iCs/>
          <w:sz w:val="22"/>
          <w:szCs w:val="22"/>
        </w:rPr>
        <w:t>Housing Assistance Act 1989</w:t>
      </w:r>
      <w:r w:rsidRPr="00846303">
        <w:rPr>
          <w:sz w:val="22"/>
          <w:szCs w:val="22"/>
          <w:vertAlign w:val="superscript"/>
        </w:rPr>
        <w:t>1</w:t>
      </w:r>
      <w:r w:rsidRPr="00846303">
        <w:rPr>
          <w:sz w:val="22"/>
          <w:szCs w:val="22"/>
        </w:rPr>
        <w:t>.</w:t>
      </w:r>
    </w:p>
    <w:p w14:paraId="325B4EB7" w14:textId="77777777" w:rsidR="00694250" w:rsidRPr="00846303" w:rsidRDefault="00694250" w:rsidP="00694250">
      <w:pPr>
        <w:autoSpaceDE w:val="0"/>
        <w:autoSpaceDN w:val="0"/>
        <w:adjustRightInd w:val="0"/>
        <w:spacing w:before="120" w:after="60"/>
        <w:jc w:val="both"/>
        <w:rPr>
          <w:sz w:val="22"/>
          <w:szCs w:val="22"/>
        </w:rPr>
      </w:pPr>
      <w:r w:rsidRPr="00846303">
        <w:rPr>
          <w:b/>
          <w:bCs/>
          <w:sz w:val="22"/>
          <w:szCs w:val="22"/>
        </w:rPr>
        <w:t>Commencement</w:t>
      </w:r>
    </w:p>
    <w:p w14:paraId="73E796D9" w14:textId="77777777" w:rsidR="00694250" w:rsidRPr="00846303" w:rsidRDefault="00694250" w:rsidP="00694250">
      <w:pPr>
        <w:tabs>
          <w:tab w:val="left" w:pos="538"/>
        </w:tabs>
        <w:autoSpaceDE w:val="0"/>
        <w:autoSpaceDN w:val="0"/>
        <w:adjustRightInd w:val="0"/>
        <w:spacing w:before="120"/>
        <w:ind w:left="317"/>
        <w:jc w:val="both"/>
        <w:rPr>
          <w:sz w:val="22"/>
          <w:szCs w:val="22"/>
        </w:rPr>
      </w:pPr>
      <w:r w:rsidRPr="00846303">
        <w:rPr>
          <w:b/>
          <w:bCs/>
          <w:sz w:val="22"/>
          <w:szCs w:val="22"/>
        </w:rPr>
        <w:t>2.</w:t>
      </w:r>
      <w:r>
        <w:rPr>
          <w:b/>
          <w:bCs/>
          <w:sz w:val="22"/>
          <w:szCs w:val="22"/>
        </w:rPr>
        <w:tab/>
      </w:r>
      <w:r w:rsidRPr="00846303">
        <w:rPr>
          <w:sz w:val="22"/>
          <w:szCs w:val="22"/>
        </w:rPr>
        <w:t>This Act commences on the day on which it receives the Royal Assent.</w:t>
      </w:r>
    </w:p>
    <w:p w14:paraId="1692F0E8" w14:textId="77777777" w:rsidR="00694250" w:rsidRPr="00846303" w:rsidRDefault="00694250" w:rsidP="00694250">
      <w:pPr>
        <w:autoSpaceDE w:val="0"/>
        <w:autoSpaceDN w:val="0"/>
        <w:adjustRightInd w:val="0"/>
        <w:spacing w:before="120" w:after="60"/>
        <w:jc w:val="both"/>
        <w:rPr>
          <w:sz w:val="22"/>
          <w:szCs w:val="22"/>
        </w:rPr>
      </w:pPr>
      <w:r w:rsidRPr="00846303">
        <w:rPr>
          <w:b/>
          <w:bCs/>
          <w:sz w:val="22"/>
          <w:szCs w:val="22"/>
        </w:rPr>
        <w:t>Principal appropriation</w:t>
      </w:r>
    </w:p>
    <w:p w14:paraId="1E30A151" w14:textId="77777777" w:rsidR="00694250" w:rsidRPr="00846303" w:rsidRDefault="00694250" w:rsidP="00694250">
      <w:pPr>
        <w:tabs>
          <w:tab w:val="left" w:pos="538"/>
        </w:tabs>
        <w:autoSpaceDE w:val="0"/>
        <w:autoSpaceDN w:val="0"/>
        <w:adjustRightInd w:val="0"/>
        <w:spacing w:before="120"/>
        <w:ind w:left="317"/>
        <w:jc w:val="both"/>
        <w:rPr>
          <w:sz w:val="22"/>
          <w:szCs w:val="22"/>
        </w:rPr>
      </w:pPr>
      <w:r w:rsidRPr="00846303">
        <w:rPr>
          <w:b/>
          <w:bCs/>
          <w:sz w:val="22"/>
          <w:szCs w:val="22"/>
        </w:rPr>
        <w:t>3.</w:t>
      </w:r>
      <w:r>
        <w:rPr>
          <w:b/>
          <w:bCs/>
          <w:sz w:val="22"/>
          <w:szCs w:val="22"/>
        </w:rPr>
        <w:tab/>
      </w:r>
      <w:r w:rsidRPr="00846303">
        <w:rPr>
          <w:sz w:val="22"/>
          <w:szCs w:val="22"/>
        </w:rPr>
        <w:t>Section 7 of the Principal Act is amended:</w:t>
      </w:r>
    </w:p>
    <w:p w14:paraId="4AA95A45" w14:textId="77777777" w:rsidR="00694250" w:rsidRPr="00846303" w:rsidRDefault="00694250" w:rsidP="00694250">
      <w:pPr>
        <w:autoSpaceDE w:val="0"/>
        <w:autoSpaceDN w:val="0"/>
        <w:adjustRightInd w:val="0"/>
        <w:spacing w:before="120"/>
        <w:ind w:left="720" w:hanging="394"/>
        <w:jc w:val="both"/>
        <w:rPr>
          <w:sz w:val="22"/>
          <w:szCs w:val="22"/>
        </w:rPr>
      </w:pPr>
      <w:r w:rsidRPr="00FE46EE">
        <w:rPr>
          <w:b/>
          <w:sz w:val="22"/>
          <w:szCs w:val="22"/>
        </w:rPr>
        <w:t>(a)</w:t>
      </w:r>
      <w:r>
        <w:rPr>
          <w:sz w:val="22"/>
          <w:szCs w:val="22"/>
        </w:rPr>
        <w:tab/>
      </w:r>
      <w:r w:rsidRPr="00846303">
        <w:rPr>
          <w:sz w:val="22"/>
          <w:szCs w:val="22"/>
        </w:rPr>
        <w:t>by omitting from paragraph (3A)(b) “$1,080,890,000” and substituting “$1,042,390,000”;</w:t>
      </w:r>
    </w:p>
    <w:p w14:paraId="5DF8EB98" w14:textId="1DA12EA0" w:rsidR="00694250" w:rsidRPr="00846303" w:rsidRDefault="00694250" w:rsidP="00694250">
      <w:pPr>
        <w:tabs>
          <w:tab w:val="left" w:pos="715"/>
        </w:tabs>
        <w:autoSpaceDE w:val="0"/>
        <w:autoSpaceDN w:val="0"/>
        <w:adjustRightInd w:val="0"/>
        <w:spacing w:before="120"/>
        <w:ind w:left="715" w:hanging="398"/>
        <w:jc w:val="both"/>
        <w:rPr>
          <w:sz w:val="22"/>
          <w:szCs w:val="22"/>
        </w:rPr>
      </w:pPr>
      <w:r w:rsidRPr="00846303">
        <w:rPr>
          <w:sz w:val="22"/>
          <w:szCs w:val="22"/>
        </w:rPr>
        <w:br w:type="page"/>
      </w:r>
      <w:r w:rsidRPr="00FE46EE">
        <w:rPr>
          <w:b/>
          <w:sz w:val="22"/>
          <w:szCs w:val="22"/>
        </w:rPr>
        <w:lastRenderedPageBreak/>
        <w:t>(b)</w:t>
      </w:r>
      <w:r>
        <w:rPr>
          <w:sz w:val="22"/>
          <w:szCs w:val="22"/>
        </w:rPr>
        <w:tab/>
      </w:r>
      <w:r w:rsidRPr="00846303">
        <w:rPr>
          <w:sz w:val="22"/>
          <w:szCs w:val="22"/>
        </w:rPr>
        <w:t>by omitting from paragraph (3A)(c) “$1,010,641,000” and substituting “$1,028,141,000”;</w:t>
      </w:r>
    </w:p>
    <w:p w14:paraId="317320F4" w14:textId="77777777" w:rsidR="00694250" w:rsidRPr="00846303" w:rsidRDefault="00694250" w:rsidP="00694250">
      <w:pPr>
        <w:tabs>
          <w:tab w:val="left" w:pos="715"/>
        </w:tabs>
        <w:autoSpaceDE w:val="0"/>
        <w:autoSpaceDN w:val="0"/>
        <w:adjustRightInd w:val="0"/>
        <w:spacing w:before="120"/>
        <w:ind w:left="715" w:hanging="398"/>
        <w:jc w:val="both"/>
        <w:rPr>
          <w:sz w:val="22"/>
          <w:szCs w:val="22"/>
        </w:rPr>
      </w:pPr>
      <w:r w:rsidRPr="00FE46EE">
        <w:rPr>
          <w:b/>
          <w:sz w:val="22"/>
          <w:szCs w:val="22"/>
        </w:rPr>
        <w:t>(c)</w:t>
      </w:r>
      <w:r>
        <w:rPr>
          <w:sz w:val="22"/>
          <w:szCs w:val="22"/>
        </w:rPr>
        <w:tab/>
      </w:r>
      <w:r w:rsidRPr="00846303">
        <w:rPr>
          <w:sz w:val="22"/>
          <w:szCs w:val="22"/>
        </w:rPr>
        <w:t>by omitting from paragraph (3A)(d) “$1,017,863,000” and substituting “$1,035,363,000”.</w:t>
      </w:r>
    </w:p>
    <w:p w14:paraId="28C3F859" w14:textId="77777777" w:rsidR="00694250" w:rsidRPr="00846303" w:rsidRDefault="00694250" w:rsidP="00694250">
      <w:pPr>
        <w:autoSpaceDE w:val="0"/>
        <w:autoSpaceDN w:val="0"/>
        <w:adjustRightInd w:val="0"/>
        <w:spacing w:before="120" w:after="60"/>
        <w:jc w:val="both"/>
        <w:rPr>
          <w:sz w:val="22"/>
          <w:szCs w:val="22"/>
        </w:rPr>
      </w:pPr>
      <w:r w:rsidRPr="00846303">
        <w:rPr>
          <w:b/>
          <w:bCs/>
          <w:sz w:val="22"/>
          <w:szCs w:val="22"/>
        </w:rPr>
        <w:t>Grants to be matched by State</w:t>
      </w:r>
    </w:p>
    <w:p w14:paraId="011B41A8" w14:textId="77777777" w:rsidR="00694250" w:rsidRPr="00846303" w:rsidRDefault="00694250" w:rsidP="00694250">
      <w:pPr>
        <w:tabs>
          <w:tab w:val="left" w:pos="614"/>
        </w:tabs>
        <w:autoSpaceDE w:val="0"/>
        <w:autoSpaceDN w:val="0"/>
        <w:adjustRightInd w:val="0"/>
        <w:spacing w:before="120"/>
        <w:ind w:firstLine="317"/>
        <w:jc w:val="both"/>
        <w:rPr>
          <w:sz w:val="22"/>
          <w:szCs w:val="22"/>
        </w:rPr>
      </w:pPr>
      <w:r w:rsidRPr="00846303">
        <w:rPr>
          <w:b/>
          <w:bCs/>
          <w:sz w:val="22"/>
          <w:szCs w:val="22"/>
        </w:rPr>
        <w:t>4.</w:t>
      </w:r>
      <w:r>
        <w:rPr>
          <w:b/>
          <w:bCs/>
          <w:sz w:val="22"/>
          <w:szCs w:val="22"/>
        </w:rPr>
        <w:tab/>
      </w:r>
      <w:r w:rsidRPr="00846303">
        <w:rPr>
          <w:sz w:val="22"/>
          <w:szCs w:val="22"/>
        </w:rPr>
        <w:t>Section 15 of the Principal Act is amended by inserting after subsection (2) the following subsection:</w:t>
      </w:r>
    </w:p>
    <w:p w14:paraId="0DB27CE9" w14:textId="77777777" w:rsidR="00694250" w:rsidRPr="00846303" w:rsidRDefault="00694250" w:rsidP="00694250">
      <w:pPr>
        <w:autoSpaceDE w:val="0"/>
        <w:autoSpaceDN w:val="0"/>
        <w:adjustRightInd w:val="0"/>
        <w:spacing w:before="120"/>
        <w:ind w:firstLine="336"/>
        <w:jc w:val="both"/>
        <w:rPr>
          <w:sz w:val="22"/>
          <w:szCs w:val="22"/>
        </w:rPr>
      </w:pPr>
      <w:r w:rsidRPr="00846303">
        <w:rPr>
          <w:sz w:val="22"/>
          <w:szCs w:val="22"/>
        </w:rPr>
        <w:t>“(2A)</w:t>
      </w:r>
      <w:r>
        <w:rPr>
          <w:sz w:val="22"/>
          <w:szCs w:val="22"/>
        </w:rPr>
        <w:tab/>
      </w:r>
      <w:r w:rsidRPr="00846303">
        <w:rPr>
          <w:sz w:val="22"/>
          <w:szCs w:val="22"/>
        </w:rPr>
        <w:t xml:space="preserve">Despite subsection (2), the Minister may, in respect of the sixth grant year, </w:t>
      </w:r>
      <w:proofErr w:type="spellStart"/>
      <w:r w:rsidRPr="00846303">
        <w:rPr>
          <w:sz w:val="22"/>
          <w:szCs w:val="22"/>
        </w:rPr>
        <w:t>authorise</w:t>
      </w:r>
      <w:proofErr w:type="spellEnd"/>
      <w:r w:rsidRPr="00846303">
        <w:rPr>
          <w:sz w:val="22"/>
          <w:szCs w:val="22"/>
        </w:rPr>
        <w:t xml:space="preserve"> untied grants to a particular State, even if the Minister cannot ensure that the State will match the grants in accordance with the provision of its housing agreement corresponding to paragraph 13(2)(b) of the form of housing agreement in Schedule 1.”.</w:t>
      </w:r>
    </w:p>
    <w:p w14:paraId="136EB6F0" w14:textId="77777777" w:rsidR="00694250" w:rsidRPr="00846303" w:rsidRDefault="00694250" w:rsidP="00694250">
      <w:pPr>
        <w:autoSpaceDE w:val="0"/>
        <w:autoSpaceDN w:val="0"/>
        <w:adjustRightInd w:val="0"/>
        <w:spacing w:before="120" w:after="60"/>
        <w:jc w:val="both"/>
        <w:rPr>
          <w:sz w:val="22"/>
          <w:szCs w:val="22"/>
        </w:rPr>
      </w:pPr>
      <w:r w:rsidRPr="00846303">
        <w:rPr>
          <w:b/>
          <w:bCs/>
          <w:sz w:val="22"/>
          <w:szCs w:val="22"/>
        </w:rPr>
        <w:t>Insertion of new section</w:t>
      </w:r>
    </w:p>
    <w:p w14:paraId="196CCE53" w14:textId="77777777" w:rsidR="00694250" w:rsidRPr="00846303" w:rsidRDefault="00694250" w:rsidP="00694250">
      <w:pPr>
        <w:tabs>
          <w:tab w:val="left" w:pos="614"/>
        </w:tabs>
        <w:autoSpaceDE w:val="0"/>
        <w:autoSpaceDN w:val="0"/>
        <w:adjustRightInd w:val="0"/>
        <w:spacing w:before="120"/>
        <w:ind w:left="317"/>
        <w:jc w:val="both"/>
        <w:rPr>
          <w:sz w:val="22"/>
          <w:szCs w:val="22"/>
        </w:rPr>
      </w:pPr>
      <w:r w:rsidRPr="00846303">
        <w:rPr>
          <w:b/>
          <w:bCs/>
          <w:sz w:val="22"/>
          <w:szCs w:val="22"/>
        </w:rPr>
        <w:t>5.</w:t>
      </w:r>
      <w:r>
        <w:rPr>
          <w:b/>
          <w:bCs/>
          <w:sz w:val="22"/>
          <w:szCs w:val="22"/>
        </w:rPr>
        <w:tab/>
      </w:r>
      <w:r w:rsidRPr="00846303">
        <w:rPr>
          <w:sz w:val="22"/>
          <w:szCs w:val="22"/>
        </w:rPr>
        <w:t>After section 15 of the Principal Act the following section is inserted:</w:t>
      </w:r>
    </w:p>
    <w:p w14:paraId="7E33F9A9" w14:textId="77777777" w:rsidR="00694250" w:rsidRPr="00846303" w:rsidRDefault="00694250" w:rsidP="00694250">
      <w:pPr>
        <w:autoSpaceDE w:val="0"/>
        <w:autoSpaceDN w:val="0"/>
        <w:adjustRightInd w:val="0"/>
        <w:spacing w:before="120" w:after="60"/>
        <w:jc w:val="both"/>
        <w:rPr>
          <w:sz w:val="22"/>
          <w:szCs w:val="22"/>
        </w:rPr>
      </w:pPr>
      <w:r w:rsidRPr="00846303">
        <w:rPr>
          <w:b/>
          <w:bCs/>
          <w:sz w:val="22"/>
          <w:szCs w:val="22"/>
        </w:rPr>
        <w:t>Grants to be matched by State—exception</w:t>
      </w:r>
    </w:p>
    <w:p w14:paraId="2AFDD719" w14:textId="419DACD7" w:rsidR="00694250" w:rsidRPr="00846303" w:rsidRDefault="00694250" w:rsidP="00694250">
      <w:pPr>
        <w:autoSpaceDE w:val="0"/>
        <w:autoSpaceDN w:val="0"/>
        <w:adjustRightInd w:val="0"/>
        <w:spacing w:before="120"/>
        <w:ind w:firstLine="326"/>
        <w:jc w:val="both"/>
        <w:rPr>
          <w:sz w:val="22"/>
          <w:szCs w:val="22"/>
        </w:rPr>
      </w:pPr>
      <w:r w:rsidRPr="00846303">
        <w:rPr>
          <w:sz w:val="22"/>
          <w:szCs w:val="22"/>
        </w:rPr>
        <w:t>“15A.(1)</w:t>
      </w:r>
      <w:r w:rsidR="008C62BD">
        <w:rPr>
          <w:sz w:val="22"/>
          <w:szCs w:val="22"/>
        </w:rPr>
        <w:t xml:space="preserve"> </w:t>
      </w:r>
      <w:r w:rsidRPr="00846303">
        <w:rPr>
          <w:sz w:val="22"/>
          <w:szCs w:val="22"/>
        </w:rPr>
        <w:t>T</w:t>
      </w:r>
      <w:bookmarkStart w:id="0" w:name="_GoBack"/>
      <w:bookmarkEnd w:id="0"/>
      <w:r w:rsidRPr="00846303">
        <w:rPr>
          <w:sz w:val="22"/>
          <w:szCs w:val="22"/>
        </w:rPr>
        <w:t>he Minister may determine in writing that, in respect of a grant year, a particular State is taken to have fulfilled its obligation to provide matching funds in accordance with the provision of its housing agreement corresponding to paragraph 13(2)(b) of the form of housing agreement in Schedule 1.</w:t>
      </w:r>
    </w:p>
    <w:p w14:paraId="67319E57" w14:textId="77777777" w:rsidR="00694250" w:rsidRPr="00846303" w:rsidRDefault="00694250" w:rsidP="00694250">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A determination made under subsection (1) must be in relation to the fifth grant year or the sixth grant year.</w:t>
      </w:r>
    </w:p>
    <w:p w14:paraId="75945BA6" w14:textId="77777777" w:rsidR="00694250" w:rsidRPr="00846303" w:rsidRDefault="00694250" w:rsidP="00694250">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The Minister must not make the determination unless satisfied, after consulting with the State Minister of that State, that, in the circumstances, the State was unable to meet its obligation in respect of that grant year under that provision.</w:t>
      </w:r>
    </w:p>
    <w:p w14:paraId="578CECA9" w14:textId="77777777" w:rsidR="00694250" w:rsidRPr="00846303" w:rsidRDefault="00694250" w:rsidP="00694250">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The determination has effect for the purposes of the housing agreement.</w:t>
      </w:r>
    </w:p>
    <w:p w14:paraId="545FE4E3" w14:textId="77777777" w:rsidR="00694250" w:rsidRPr="00846303" w:rsidRDefault="00694250" w:rsidP="00694250">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In deciding whether to make the determination, the Minister must have regard to the extent to which assistance provided by the State under the housing agreement reflects the principles set out in Recital (D) of the form of housing agreement in Schedule 1.</w:t>
      </w:r>
    </w:p>
    <w:p w14:paraId="7DDCBBF7" w14:textId="77777777" w:rsidR="00694250" w:rsidRPr="00846303" w:rsidRDefault="00694250" w:rsidP="00694250">
      <w:pPr>
        <w:autoSpaceDE w:val="0"/>
        <w:autoSpaceDN w:val="0"/>
        <w:adjustRightInd w:val="0"/>
        <w:spacing w:before="120"/>
        <w:ind w:firstLine="341"/>
        <w:jc w:val="both"/>
        <w:rPr>
          <w:sz w:val="22"/>
          <w:szCs w:val="22"/>
        </w:rPr>
      </w:pPr>
      <w:r w:rsidRPr="00846303">
        <w:rPr>
          <w:sz w:val="22"/>
          <w:szCs w:val="22"/>
        </w:rPr>
        <w:t>“(6)</w:t>
      </w:r>
      <w:r>
        <w:rPr>
          <w:sz w:val="22"/>
          <w:szCs w:val="22"/>
        </w:rPr>
        <w:tab/>
      </w:r>
      <w:r w:rsidRPr="00846303">
        <w:rPr>
          <w:sz w:val="22"/>
          <w:szCs w:val="22"/>
        </w:rPr>
        <w:t>The State Minister of that State must agree in writing to the determination being made.</w:t>
      </w:r>
    </w:p>
    <w:p w14:paraId="1823FB54" w14:textId="77777777" w:rsidR="00694250" w:rsidRPr="00846303" w:rsidRDefault="00694250" w:rsidP="00694250">
      <w:pPr>
        <w:autoSpaceDE w:val="0"/>
        <w:autoSpaceDN w:val="0"/>
        <w:adjustRightInd w:val="0"/>
        <w:spacing w:before="120"/>
        <w:ind w:firstLine="336"/>
        <w:jc w:val="both"/>
        <w:rPr>
          <w:sz w:val="22"/>
          <w:szCs w:val="22"/>
        </w:rPr>
      </w:pPr>
      <w:r w:rsidRPr="00846303">
        <w:rPr>
          <w:sz w:val="22"/>
          <w:szCs w:val="22"/>
        </w:rPr>
        <w:t>“(7)</w:t>
      </w:r>
      <w:r>
        <w:rPr>
          <w:sz w:val="22"/>
          <w:szCs w:val="22"/>
        </w:rPr>
        <w:tab/>
      </w:r>
      <w:r w:rsidRPr="00846303">
        <w:rPr>
          <w:sz w:val="22"/>
          <w:szCs w:val="22"/>
        </w:rPr>
        <w:t>The determination made by the Minister must be tabled in each House of the Parliament within 15 sitting days of that House after it is made.”.</w:t>
      </w:r>
    </w:p>
    <w:p w14:paraId="376D7E16" w14:textId="77777777" w:rsidR="00694250" w:rsidRPr="00846303" w:rsidRDefault="00694250" w:rsidP="00694250">
      <w:pPr>
        <w:autoSpaceDE w:val="0"/>
        <w:autoSpaceDN w:val="0"/>
        <w:adjustRightInd w:val="0"/>
        <w:spacing w:before="120"/>
        <w:ind w:left="3245"/>
        <w:jc w:val="both"/>
        <w:rPr>
          <w:sz w:val="22"/>
          <w:szCs w:val="22"/>
        </w:rPr>
      </w:pPr>
      <w:r w:rsidRPr="00846303">
        <w:rPr>
          <w:sz w:val="22"/>
          <w:szCs w:val="22"/>
        </w:rPr>
        <w:br w:type="page"/>
      </w:r>
      <w:r w:rsidRPr="00846303">
        <w:rPr>
          <w:b/>
          <w:bCs/>
          <w:sz w:val="22"/>
          <w:szCs w:val="22"/>
        </w:rPr>
        <w:lastRenderedPageBreak/>
        <w:t>NOTE</w:t>
      </w:r>
    </w:p>
    <w:p w14:paraId="7E8AF126" w14:textId="77777777" w:rsidR="00694250" w:rsidRPr="0024640E" w:rsidRDefault="00694250" w:rsidP="00694250">
      <w:pPr>
        <w:autoSpaceDE w:val="0"/>
        <w:autoSpaceDN w:val="0"/>
        <w:adjustRightInd w:val="0"/>
        <w:spacing w:before="120"/>
        <w:jc w:val="both"/>
        <w:rPr>
          <w:sz w:val="20"/>
          <w:szCs w:val="22"/>
        </w:rPr>
      </w:pPr>
      <w:r w:rsidRPr="0024640E">
        <w:rPr>
          <w:sz w:val="20"/>
          <w:szCs w:val="22"/>
        </w:rPr>
        <w:t>1.</w:t>
      </w:r>
      <w:r w:rsidRPr="0024640E">
        <w:rPr>
          <w:sz w:val="20"/>
          <w:szCs w:val="22"/>
        </w:rPr>
        <w:tab/>
        <w:t>No. 7, 1990, as amended. For previous amendments, see No. 22, 1992.</w:t>
      </w:r>
    </w:p>
    <w:p w14:paraId="335232DF" w14:textId="77777777" w:rsidR="00694250" w:rsidRPr="0024640E" w:rsidRDefault="00694250" w:rsidP="00694250">
      <w:pPr>
        <w:autoSpaceDE w:val="0"/>
        <w:autoSpaceDN w:val="0"/>
        <w:adjustRightInd w:val="0"/>
        <w:spacing w:before="120"/>
        <w:jc w:val="both"/>
        <w:rPr>
          <w:sz w:val="20"/>
          <w:szCs w:val="22"/>
        </w:rPr>
      </w:pPr>
      <w:r w:rsidRPr="0024640E">
        <w:rPr>
          <w:sz w:val="20"/>
          <w:szCs w:val="22"/>
        </w:rPr>
        <w:t>[</w:t>
      </w:r>
      <w:r w:rsidRPr="0024640E">
        <w:rPr>
          <w:i/>
          <w:iCs/>
          <w:sz w:val="20"/>
          <w:szCs w:val="22"/>
        </w:rPr>
        <w:t>Minister’s second reading speech made in</w:t>
      </w:r>
      <w:r w:rsidRPr="0024640E">
        <w:rPr>
          <w:sz w:val="20"/>
          <w:szCs w:val="22"/>
        </w:rPr>
        <w:t>—</w:t>
      </w:r>
    </w:p>
    <w:p w14:paraId="7376566C" w14:textId="77777777" w:rsidR="00694250" w:rsidRPr="0024640E" w:rsidRDefault="00694250" w:rsidP="009E62D1">
      <w:pPr>
        <w:autoSpaceDE w:val="0"/>
        <w:autoSpaceDN w:val="0"/>
        <w:adjustRightInd w:val="0"/>
        <w:ind w:left="792"/>
        <w:jc w:val="both"/>
        <w:rPr>
          <w:sz w:val="20"/>
          <w:szCs w:val="22"/>
        </w:rPr>
      </w:pPr>
      <w:r w:rsidRPr="0024640E">
        <w:rPr>
          <w:i/>
          <w:iCs/>
          <w:sz w:val="20"/>
          <w:szCs w:val="22"/>
        </w:rPr>
        <w:t>House of Representatives on 19 October 1993</w:t>
      </w:r>
    </w:p>
    <w:p w14:paraId="1DDE5D08" w14:textId="77777777" w:rsidR="00694250" w:rsidRPr="0024640E" w:rsidRDefault="00694250" w:rsidP="009E62D1">
      <w:pPr>
        <w:autoSpaceDE w:val="0"/>
        <w:autoSpaceDN w:val="0"/>
        <w:adjustRightInd w:val="0"/>
        <w:ind w:left="792"/>
        <w:jc w:val="both"/>
        <w:rPr>
          <w:sz w:val="20"/>
          <w:szCs w:val="22"/>
        </w:rPr>
      </w:pPr>
      <w:r w:rsidRPr="0024640E">
        <w:rPr>
          <w:i/>
          <w:iCs/>
          <w:sz w:val="20"/>
          <w:szCs w:val="22"/>
        </w:rPr>
        <w:t>Senate on 28 February 1994</w:t>
      </w:r>
      <w:r w:rsidR="00542B94">
        <w:rPr>
          <w:sz w:val="20"/>
          <w:szCs w:val="22"/>
        </w:rPr>
        <w:t>]</w:t>
      </w:r>
    </w:p>
    <w:sectPr w:rsidR="00694250" w:rsidRPr="0024640E" w:rsidSect="00BC7A3C">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EE5CC" w15:done="0"/>
  <w15:commentEx w15:paraId="6F29211B" w15:done="0"/>
  <w15:commentEx w15:paraId="3DF1DDEE" w15:done="0"/>
  <w15:commentEx w15:paraId="29DA07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EE5CC" w16cid:durableId="210A4EF4"/>
  <w16cid:commentId w16cid:paraId="6F29211B" w16cid:durableId="210A4F06"/>
  <w16cid:commentId w16cid:paraId="3DF1DDEE" w16cid:durableId="210A4F12"/>
  <w16cid:commentId w16cid:paraId="29DA0738" w16cid:durableId="210A4F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10190" w14:textId="77777777" w:rsidR="005C7C47" w:rsidRDefault="005C7C47">
      <w:r>
        <w:separator/>
      </w:r>
    </w:p>
  </w:endnote>
  <w:endnote w:type="continuationSeparator" w:id="0">
    <w:p w14:paraId="1E25FBFC" w14:textId="77777777" w:rsidR="005C7C47" w:rsidRDefault="005C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7C86E" w14:textId="77777777" w:rsidR="005C7C47" w:rsidRDefault="005C7C47">
      <w:r>
        <w:separator/>
      </w:r>
    </w:p>
  </w:footnote>
  <w:footnote w:type="continuationSeparator" w:id="0">
    <w:p w14:paraId="5FC72A7F" w14:textId="77777777" w:rsidR="005C7C47" w:rsidRDefault="005C7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E4748" w14:textId="30BEAA8A" w:rsidR="009E62D1" w:rsidRDefault="009E62D1" w:rsidP="009E62D1">
    <w:pPr>
      <w:pStyle w:val="Header"/>
      <w:jc w:val="center"/>
    </w:pPr>
    <w:r w:rsidRPr="00846303">
      <w:rPr>
        <w:i/>
        <w:iCs/>
        <w:sz w:val="22"/>
        <w:szCs w:val="22"/>
      </w:rPr>
      <w:t xml:space="preserve">Housing Assistance Amendment </w:t>
    </w:r>
    <w:r w:rsidR="008C62BD">
      <w:rPr>
        <w:i/>
        <w:iCs/>
        <w:sz w:val="22"/>
        <w:szCs w:val="22"/>
      </w:rPr>
      <w:tab/>
    </w:r>
    <w:r w:rsidRPr="00846303">
      <w:rPr>
        <w:i/>
        <w:iCs/>
        <w:sz w:val="22"/>
        <w:szCs w:val="22"/>
      </w:rPr>
      <w:t>No. 34,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50"/>
    <w:rsid w:val="000F3BC5"/>
    <w:rsid w:val="001C0037"/>
    <w:rsid w:val="0024640E"/>
    <w:rsid w:val="00297CA1"/>
    <w:rsid w:val="0039649B"/>
    <w:rsid w:val="004A1E14"/>
    <w:rsid w:val="00522A0B"/>
    <w:rsid w:val="00542B94"/>
    <w:rsid w:val="00582DF8"/>
    <w:rsid w:val="005C7C47"/>
    <w:rsid w:val="005F24FB"/>
    <w:rsid w:val="00654AC5"/>
    <w:rsid w:val="00694250"/>
    <w:rsid w:val="00697913"/>
    <w:rsid w:val="00800BC4"/>
    <w:rsid w:val="008C62BD"/>
    <w:rsid w:val="009E62D1"/>
    <w:rsid w:val="009F099C"/>
    <w:rsid w:val="00AA05EF"/>
    <w:rsid w:val="00B35428"/>
    <w:rsid w:val="00B36217"/>
    <w:rsid w:val="00B421ED"/>
    <w:rsid w:val="00BC7A3C"/>
    <w:rsid w:val="00C7638E"/>
    <w:rsid w:val="00CA1489"/>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F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62D1"/>
    <w:pPr>
      <w:tabs>
        <w:tab w:val="center" w:pos="4320"/>
        <w:tab w:val="right" w:pos="8640"/>
      </w:tabs>
    </w:pPr>
  </w:style>
  <w:style w:type="paragraph" w:styleId="Footer">
    <w:name w:val="footer"/>
    <w:basedOn w:val="Normal"/>
    <w:rsid w:val="009E62D1"/>
    <w:pPr>
      <w:tabs>
        <w:tab w:val="center" w:pos="4320"/>
        <w:tab w:val="right" w:pos="8640"/>
      </w:tabs>
    </w:pPr>
  </w:style>
  <w:style w:type="character" w:styleId="CommentReference">
    <w:name w:val="annotation reference"/>
    <w:basedOn w:val="DefaultParagraphFont"/>
    <w:semiHidden/>
    <w:unhideWhenUsed/>
    <w:rsid w:val="00C7638E"/>
    <w:rPr>
      <w:sz w:val="16"/>
      <w:szCs w:val="16"/>
    </w:rPr>
  </w:style>
  <w:style w:type="paragraph" w:styleId="CommentText">
    <w:name w:val="annotation text"/>
    <w:basedOn w:val="Normal"/>
    <w:link w:val="CommentTextChar"/>
    <w:semiHidden/>
    <w:unhideWhenUsed/>
    <w:rsid w:val="00C7638E"/>
    <w:rPr>
      <w:sz w:val="20"/>
      <w:szCs w:val="20"/>
    </w:rPr>
  </w:style>
  <w:style w:type="character" w:customStyle="1" w:styleId="CommentTextChar">
    <w:name w:val="Comment Text Char"/>
    <w:basedOn w:val="DefaultParagraphFont"/>
    <w:link w:val="CommentText"/>
    <w:semiHidden/>
    <w:rsid w:val="00C7638E"/>
  </w:style>
  <w:style w:type="paragraph" w:styleId="CommentSubject">
    <w:name w:val="annotation subject"/>
    <w:basedOn w:val="CommentText"/>
    <w:next w:val="CommentText"/>
    <w:link w:val="CommentSubjectChar"/>
    <w:semiHidden/>
    <w:unhideWhenUsed/>
    <w:rsid w:val="00C7638E"/>
    <w:rPr>
      <w:b/>
      <w:bCs/>
    </w:rPr>
  </w:style>
  <w:style w:type="character" w:customStyle="1" w:styleId="CommentSubjectChar">
    <w:name w:val="Comment Subject Char"/>
    <w:basedOn w:val="CommentTextChar"/>
    <w:link w:val="CommentSubject"/>
    <w:semiHidden/>
    <w:rsid w:val="00C7638E"/>
    <w:rPr>
      <w:b/>
      <w:bCs/>
    </w:rPr>
  </w:style>
  <w:style w:type="paragraph" w:styleId="BalloonText">
    <w:name w:val="Balloon Text"/>
    <w:basedOn w:val="Normal"/>
    <w:link w:val="BalloonTextChar"/>
    <w:semiHidden/>
    <w:unhideWhenUsed/>
    <w:rsid w:val="00C7638E"/>
    <w:rPr>
      <w:rFonts w:ascii="Segoe UI" w:hAnsi="Segoe UI" w:cs="Segoe UI"/>
      <w:sz w:val="18"/>
      <w:szCs w:val="18"/>
    </w:rPr>
  </w:style>
  <w:style w:type="character" w:customStyle="1" w:styleId="BalloonTextChar">
    <w:name w:val="Balloon Text Char"/>
    <w:basedOn w:val="DefaultParagraphFont"/>
    <w:link w:val="BalloonText"/>
    <w:semiHidden/>
    <w:rsid w:val="00C7638E"/>
    <w:rPr>
      <w:rFonts w:ascii="Segoe UI" w:hAnsi="Segoe UI" w:cs="Segoe UI"/>
      <w:sz w:val="18"/>
      <w:szCs w:val="18"/>
    </w:rPr>
  </w:style>
  <w:style w:type="paragraph" w:styleId="Revision">
    <w:name w:val="Revision"/>
    <w:hidden/>
    <w:uiPriority w:val="99"/>
    <w:semiHidden/>
    <w:rsid w:val="008C62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62D1"/>
    <w:pPr>
      <w:tabs>
        <w:tab w:val="center" w:pos="4320"/>
        <w:tab w:val="right" w:pos="8640"/>
      </w:tabs>
    </w:pPr>
  </w:style>
  <w:style w:type="paragraph" w:styleId="Footer">
    <w:name w:val="footer"/>
    <w:basedOn w:val="Normal"/>
    <w:rsid w:val="009E62D1"/>
    <w:pPr>
      <w:tabs>
        <w:tab w:val="center" w:pos="4320"/>
        <w:tab w:val="right" w:pos="8640"/>
      </w:tabs>
    </w:pPr>
  </w:style>
  <w:style w:type="character" w:styleId="CommentReference">
    <w:name w:val="annotation reference"/>
    <w:basedOn w:val="DefaultParagraphFont"/>
    <w:semiHidden/>
    <w:unhideWhenUsed/>
    <w:rsid w:val="00C7638E"/>
    <w:rPr>
      <w:sz w:val="16"/>
      <w:szCs w:val="16"/>
    </w:rPr>
  </w:style>
  <w:style w:type="paragraph" w:styleId="CommentText">
    <w:name w:val="annotation text"/>
    <w:basedOn w:val="Normal"/>
    <w:link w:val="CommentTextChar"/>
    <w:semiHidden/>
    <w:unhideWhenUsed/>
    <w:rsid w:val="00C7638E"/>
    <w:rPr>
      <w:sz w:val="20"/>
      <w:szCs w:val="20"/>
    </w:rPr>
  </w:style>
  <w:style w:type="character" w:customStyle="1" w:styleId="CommentTextChar">
    <w:name w:val="Comment Text Char"/>
    <w:basedOn w:val="DefaultParagraphFont"/>
    <w:link w:val="CommentText"/>
    <w:semiHidden/>
    <w:rsid w:val="00C7638E"/>
  </w:style>
  <w:style w:type="paragraph" w:styleId="CommentSubject">
    <w:name w:val="annotation subject"/>
    <w:basedOn w:val="CommentText"/>
    <w:next w:val="CommentText"/>
    <w:link w:val="CommentSubjectChar"/>
    <w:semiHidden/>
    <w:unhideWhenUsed/>
    <w:rsid w:val="00C7638E"/>
    <w:rPr>
      <w:b/>
      <w:bCs/>
    </w:rPr>
  </w:style>
  <w:style w:type="character" w:customStyle="1" w:styleId="CommentSubjectChar">
    <w:name w:val="Comment Subject Char"/>
    <w:basedOn w:val="CommentTextChar"/>
    <w:link w:val="CommentSubject"/>
    <w:semiHidden/>
    <w:rsid w:val="00C7638E"/>
    <w:rPr>
      <w:b/>
      <w:bCs/>
    </w:rPr>
  </w:style>
  <w:style w:type="paragraph" w:styleId="BalloonText">
    <w:name w:val="Balloon Text"/>
    <w:basedOn w:val="Normal"/>
    <w:link w:val="BalloonTextChar"/>
    <w:semiHidden/>
    <w:unhideWhenUsed/>
    <w:rsid w:val="00C7638E"/>
    <w:rPr>
      <w:rFonts w:ascii="Segoe UI" w:hAnsi="Segoe UI" w:cs="Segoe UI"/>
      <w:sz w:val="18"/>
      <w:szCs w:val="18"/>
    </w:rPr>
  </w:style>
  <w:style w:type="character" w:customStyle="1" w:styleId="BalloonTextChar">
    <w:name w:val="Balloon Text Char"/>
    <w:basedOn w:val="DefaultParagraphFont"/>
    <w:link w:val="BalloonText"/>
    <w:semiHidden/>
    <w:rsid w:val="00C7638E"/>
    <w:rPr>
      <w:rFonts w:ascii="Segoe UI" w:hAnsi="Segoe UI" w:cs="Segoe UI"/>
      <w:sz w:val="18"/>
      <w:szCs w:val="18"/>
    </w:rPr>
  </w:style>
  <w:style w:type="paragraph" w:styleId="Revision">
    <w:name w:val="Revision"/>
    <w:hidden/>
    <w:uiPriority w:val="99"/>
    <w:semiHidden/>
    <w:rsid w:val="008C62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2019-08-23T01:40:00Z</dcterms:created>
  <dcterms:modified xsi:type="dcterms:W3CDTF">2019-11-06T21:57:00Z</dcterms:modified>
</cp:coreProperties>
</file>