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589A2" w14:textId="77777777" w:rsidR="005265CE" w:rsidRPr="00BE533A" w:rsidRDefault="00AD7418" w:rsidP="006B0CF3">
      <w:pPr>
        <w:autoSpaceDE w:val="0"/>
        <w:autoSpaceDN w:val="0"/>
        <w:adjustRightInd w:val="0"/>
        <w:spacing w:before="120"/>
        <w:jc w:val="center"/>
        <w:rPr>
          <w:sz w:val="22"/>
          <w:szCs w:val="22"/>
        </w:rPr>
      </w:pPr>
      <w:r>
        <w:rPr>
          <w:noProof/>
          <w:sz w:val="22"/>
          <w:szCs w:val="22"/>
          <w:lang w:val="en-AU" w:eastAsia="en-AU"/>
        </w:rPr>
        <w:drawing>
          <wp:inline distT="0" distB="0" distL="0" distR="0" wp14:anchorId="789EF359" wp14:editId="4E16F0A9">
            <wp:extent cx="1397000" cy="10312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419DDCED" w14:textId="77777777" w:rsidR="005265CE" w:rsidRPr="006B0CF3" w:rsidRDefault="005265CE" w:rsidP="006B0CF3">
      <w:pPr>
        <w:autoSpaceDE w:val="0"/>
        <w:autoSpaceDN w:val="0"/>
        <w:adjustRightInd w:val="0"/>
        <w:spacing w:before="720"/>
        <w:jc w:val="center"/>
        <w:rPr>
          <w:sz w:val="36"/>
          <w:szCs w:val="22"/>
        </w:rPr>
      </w:pPr>
      <w:r w:rsidRPr="006B0CF3">
        <w:rPr>
          <w:b/>
          <w:bCs/>
          <w:sz w:val="36"/>
          <w:szCs w:val="22"/>
        </w:rPr>
        <w:t>Horticultural Export Charge</w:t>
      </w:r>
      <w:r w:rsidR="006B0CF3">
        <w:rPr>
          <w:b/>
          <w:bCs/>
          <w:sz w:val="36"/>
          <w:szCs w:val="22"/>
        </w:rPr>
        <w:br/>
      </w:r>
      <w:r w:rsidRPr="006B0CF3">
        <w:rPr>
          <w:b/>
          <w:bCs/>
          <w:sz w:val="36"/>
          <w:szCs w:val="22"/>
        </w:rPr>
        <w:t>Amendment Act 1994</w:t>
      </w:r>
    </w:p>
    <w:p w14:paraId="6031381A" w14:textId="138469C9" w:rsidR="006B0CF3" w:rsidRPr="009B318B" w:rsidRDefault="005265CE" w:rsidP="006B0CF3">
      <w:pPr>
        <w:autoSpaceDE w:val="0"/>
        <w:autoSpaceDN w:val="0"/>
        <w:adjustRightInd w:val="0"/>
        <w:spacing w:before="720"/>
        <w:jc w:val="center"/>
        <w:rPr>
          <w:b/>
          <w:bCs/>
          <w:szCs w:val="22"/>
        </w:rPr>
      </w:pPr>
      <w:r w:rsidRPr="009B318B">
        <w:rPr>
          <w:b/>
          <w:bCs/>
          <w:szCs w:val="22"/>
        </w:rPr>
        <w:t>No. 114 of 1994</w:t>
      </w:r>
    </w:p>
    <w:p w14:paraId="5B422CA3" w14:textId="77777777" w:rsidR="005265CE" w:rsidRPr="00BE533A" w:rsidRDefault="005265CE" w:rsidP="006B0CF3">
      <w:pPr>
        <w:pBdr>
          <w:bottom w:val="double" w:sz="4" w:space="1" w:color="auto"/>
        </w:pBdr>
        <w:autoSpaceDE w:val="0"/>
        <w:autoSpaceDN w:val="0"/>
        <w:adjustRightInd w:val="0"/>
        <w:spacing w:before="720"/>
        <w:jc w:val="center"/>
        <w:rPr>
          <w:sz w:val="22"/>
          <w:szCs w:val="22"/>
        </w:rPr>
      </w:pPr>
    </w:p>
    <w:p w14:paraId="14B75856" w14:textId="1CB745DF" w:rsidR="005265CE" w:rsidRPr="006B0CF3" w:rsidRDefault="005265CE" w:rsidP="006B0CF3">
      <w:pPr>
        <w:autoSpaceDE w:val="0"/>
        <w:autoSpaceDN w:val="0"/>
        <w:adjustRightInd w:val="0"/>
        <w:spacing w:before="720"/>
        <w:jc w:val="center"/>
        <w:rPr>
          <w:sz w:val="26"/>
          <w:szCs w:val="22"/>
        </w:rPr>
      </w:pPr>
      <w:r w:rsidRPr="006B0CF3">
        <w:rPr>
          <w:b/>
          <w:bCs/>
          <w:sz w:val="26"/>
          <w:szCs w:val="22"/>
        </w:rPr>
        <w:t xml:space="preserve">An Act to amend the </w:t>
      </w:r>
      <w:r w:rsidRPr="006B0CF3">
        <w:rPr>
          <w:b/>
          <w:bCs/>
          <w:i/>
          <w:iCs/>
          <w:sz w:val="26"/>
          <w:szCs w:val="22"/>
        </w:rPr>
        <w:t>Horticultural Export Charge Act 1987</w:t>
      </w:r>
      <w:r w:rsidRPr="00CF58FA">
        <w:rPr>
          <w:b/>
          <w:bCs/>
          <w:iCs/>
          <w:sz w:val="26"/>
          <w:szCs w:val="22"/>
        </w:rPr>
        <w:t>,</w:t>
      </w:r>
      <w:r w:rsidR="006B0CF3">
        <w:rPr>
          <w:b/>
          <w:bCs/>
          <w:i/>
          <w:iCs/>
          <w:sz w:val="26"/>
          <w:szCs w:val="22"/>
        </w:rPr>
        <w:br/>
      </w:r>
      <w:r w:rsidRPr="006B0CF3">
        <w:rPr>
          <w:b/>
          <w:bCs/>
          <w:sz w:val="26"/>
          <w:szCs w:val="22"/>
        </w:rPr>
        <w:t>and for related purposes</w:t>
      </w:r>
    </w:p>
    <w:p w14:paraId="58C49D07" w14:textId="77777777" w:rsidR="005265CE" w:rsidRPr="00BE533A" w:rsidRDefault="005265CE" w:rsidP="006B0CF3">
      <w:pPr>
        <w:autoSpaceDE w:val="0"/>
        <w:autoSpaceDN w:val="0"/>
        <w:adjustRightInd w:val="0"/>
        <w:spacing w:before="120"/>
        <w:jc w:val="right"/>
        <w:rPr>
          <w:sz w:val="22"/>
          <w:szCs w:val="22"/>
        </w:rPr>
      </w:pPr>
      <w:r w:rsidRPr="00BE533A">
        <w:rPr>
          <w:iCs/>
          <w:sz w:val="22"/>
          <w:szCs w:val="22"/>
        </w:rPr>
        <w:t>[</w:t>
      </w:r>
      <w:r w:rsidRPr="00BE533A">
        <w:rPr>
          <w:i/>
          <w:iCs/>
          <w:sz w:val="22"/>
          <w:szCs w:val="22"/>
        </w:rPr>
        <w:t>Assented to 16 September 1994</w:t>
      </w:r>
      <w:r w:rsidRPr="00BE533A">
        <w:rPr>
          <w:iCs/>
          <w:sz w:val="22"/>
          <w:szCs w:val="22"/>
        </w:rPr>
        <w:t>]</w:t>
      </w:r>
    </w:p>
    <w:p w14:paraId="09C901D1" w14:textId="77777777" w:rsidR="005265CE" w:rsidRPr="00BE533A" w:rsidRDefault="005265CE" w:rsidP="005265CE">
      <w:pPr>
        <w:autoSpaceDE w:val="0"/>
        <w:autoSpaceDN w:val="0"/>
        <w:adjustRightInd w:val="0"/>
        <w:spacing w:before="120"/>
        <w:ind w:left="374"/>
        <w:jc w:val="both"/>
        <w:rPr>
          <w:sz w:val="22"/>
          <w:szCs w:val="22"/>
        </w:rPr>
      </w:pPr>
      <w:r w:rsidRPr="00BE533A">
        <w:rPr>
          <w:sz w:val="22"/>
          <w:szCs w:val="22"/>
        </w:rPr>
        <w:t>The Parliament of Australia enacts:</w:t>
      </w:r>
    </w:p>
    <w:p w14:paraId="7F577475" w14:textId="77777777" w:rsidR="005265CE" w:rsidRPr="00BE533A" w:rsidRDefault="005265CE" w:rsidP="005265CE">
      <w:pPr>
        <w:autoSpaceDE w:val="0"/>
        <w:autoSpaceDN w:val="0"/>
        <w:adjustRightInd w:val="0"/>
        <w:spacing w:before="120" w:after="60"/>
        <w:jc w:val="both"/>
        <w:rPr>
          <w:sz w:val="22"/>
          <w:szCs w:val="22"/>
        </w:rPr>
      </w:pPr>
      <w:r w:rsidRPr="00BE533A">
        <w:rPr>
          <w:b/>
          <w:bCs/>
          <w:sz w:val="22"/>
          <w:szCs w:val="22"/>
        </w:rPr>
        <w:t>Short title etc.</w:t>
      </w:r>
    </w:p>
    <w:p w14:paraId="591B9BEC" w14:textId="41062C31" w:rsidR="005265CE" w:rsidRPr="00BE533A" w:rsidRDefault="005265CE" w:rsidP="005265CE">
      <w:pPr>
        <w:autoSpaceDE w:val="0"/>
        <w:autoSpaceDN w:val="0"/>
        <w:adjustRightInd w:val="0"/>
        <w:spacing w:before="120"/>
        <w:ind w:firstLine="346"/>
        <w:jc w:val="both"/>
        <w:rPr>
          <w:sz w:val="22"/>
          <w:szCs w:val="22"/>
        </w:rPr>
      </w:pPr>
      <w:r w:rsidRPr="00BE533A">
        <w:rPr>
          <w:b/>
          <w:bCs/>
          <w:sz w:val="22"/>
          <w:szCs w:val="22"/>
        </w:rPr>
        <w:t>1</w:t>
      </w:r>
      <w:r w:rsidRPr="00CF58FA">
        <w:rPr>
          <w:b/>
          <w:sz w:val="22"/>
          <w:szCs w:val="22"/>
        </w:rPr>
        <w:t>.(</w:t>
      </w:r>
      <w:r w:rsidRPr="00CF58FA">
        <w:rPr>
          <w:b/>
          <w:bCs/>
          <w:sz w:val="22"/>
          <w:szCs w:val="22"/>
        </w:rPr>
        <w:t>1</w:t>
      </w:r>
      <w:r w:rsidRPr="00CF58FA">
        <w:rPr>
          <w:b/>
          <w:sz w:val="22"/>
          <w:szCs w:val="22"/>
        </w:rPr>
        <w:t>)</w:t>
      </w:r>
      <w:r w:rsidR="00CF58FA">
        <w:rPr>
          <w:sz w:val="22"/>
          <w:szCs w:val="22"/>
        </w:rPr>
        <w:t xml:space="preserve"> </w:t>
      </w:r>
      <w:r w:rsidRPr="00BE533A">
        <w:rPr>
          <w:sz w:val="22"/>
          <w:szCs w:val="22"/>
        </w:rPr>
        <w:t xml:space="preserve">This Act may be cited as the </w:t>
      </w:r>
      <w:r w:rsidRPr="00BE533A">
        <w:rPr>
          <w:i/>
          <w:iCs/>
          <w:sz w:val="22"/>
          <w:szCs w:val="22"/>
        </w:rPr>
        <w:t>Horticultural Export Charge Amendment Act 1994.</w:t>
      </w:r>
    </w:p>
    <w:p w14:paraId="13398A79" w14:textId="77777777" w:rsidR="005265CE" w:rsidRPr="00BE533A" w:rsidRDefault="005265CE" w:rsidP="005265CE">
      <w:pPr>
        <w:autoSpaceDE w:val="0"/>
        <w:autoSpaceDN w:val="0"/>
        <w:adjustRightInd w:val="0"/>
        <w:spacing w:before="120"/>
        <w:ind w:firstLine="336"/>
        <w:jc w:val="both"/>
        <w:rPr>
          <w:sz w:val="22"/>
          <w:szCs w:val="22"/>
        </w:rPr>
      </w:pPr>
      <w:r w:rsidRPr="002E70C5">
        <w:rPr>
          <w:b/>
          <w:sz w:val="22"/>
          <w:szCs w:val="22"/>
        </w:rPr>
        <w:t>(2)</w:t>
      </w:r>
      <w:r>
        <w:rPr>
          <w:sz w:val="22"/>
          <w:szCs w:val="22"/>
        </w:rPr>
        <w:tab/>
      </w:r>
      <w:r w:rsidRPr="00BE533A">
        <w:rPr>
          <w:sz w:val="22"/>
          <w:szCs w:val="22"/>
        </w:rPr>
        <w:t xml:space="preserve">In this Act, </w:t>
      </w:r>
      <w:r w:rsidRPr="00BE533A">
        <w:rPr>
          <w:b/>
          <w:bCs/>
          <w:sz w:val="22"/>
          <w:szCs w:val="22"/>
        </w:rPr>
        <w:t xml:space="preserve">“Principal Act” </w:t>
      </w:r>
      <w:r w:rsidRPr="00BE533A">
        <w:rPr>
          <w:sz w:val="22"/>
          <w:szCs w:val="22"/>
        </w:rPr>
        <w:t xml:space="preserve">means the </w:t>
      </w:r>
      <w:r w:rsidRPr="00BE533A">
        <w:rPr>
          <w:i/>
          <w:iCs/>
          <w:sz w:val="22"/>
          <w:szCs w:val="22"/>
        </w:rPr>
        <w:t>Horticultural Export Charge Act 1987</w:t>
      </w:r>
      <w:r w:rsidRPr="00BE533A">
        <w:rPr>
          <w:sz w:val="22"/>
          <w:szCs w:val="22"/>
          <w:vertAlign w:val="superscript"/>
        </w:rPr>
        <w:t>1</w:t>
      </w:r>
      <w:r w:rsidRPr="00BE533A">
        <w:rPr>
          <w:sz w:val="22"/>
          <w:szCs w:val="22"/>
        </w:rPr>
        <w:t>.</w:t>
      </w:r>
    </w:p>
    <w:p w14:paraId="2182005A" w14:textId="77777777" w:rsidR="005265CE" w:rsidRPr="00BE533A" w:rsidRDefault="005265CE" w:rsidP="005265CE">
      <w:pPr>
        <w:autoSpaceDE w:val="0"/>
        <w:autoSpaceDN w:val="0"/>
        <w:adjustRightInd w:val="0"/>
        <w:spacing w:before="120" w:after="60"/>
        <w:jc w:val="both"/>
        <w:rPr>
          <w:sz w:val="22"/>
          <w:szCs w:val="22"/>
        </w:rPr>
      </w:pPr>
      <w:r w:rsidRPr="00BE533A">
        <w:rPr>
          <w:b/>
          <w:bCs/>
          <w:sz w:val="22"/>
          <w:szCs w:val="22"/>
        </w:rPr>
        <w:t>Commencement</w:t>
      </w:r>
    </w:p>
    <w:p w14:paraId="13543F9C" w14:textId="77777777" w:rsidR="005265CE" w:rsidRPr="00BE533A" w:rsidRDefault="005265CE" w:rsidP="005265CE">
      <w:pPr>
        <w:autoSpaceDE w:val="0"/>
        <w:autoSpaceDN w:val="0"/>
        <w:adjustRightInd w:val="0"/>
        <w:spacing w:before="120"/>
        <w:ind w:firstLine="331"/>
        <w:jc w:val="both"/>
        <w:rPr>
          <w:sz w:val="22"/>
          <w:szCs w:val="22"/>
        </w:rPr>
      </w:pPr>
      <w:r w:rsidRPr="00BE533A">
        <w:rPr>
          <w:b/>
          <w:bCs/>
          <w:sz w:val="22"/>
          <w:szCs w:val="22"/>
        </w:rPr>
        <w:t>2.</w:t>
      </w:r>
      <w:r>
        <w:rPr>
          <w:b/>
          <w:bCs/>
          <w:sz w:val="22"/>
          <w:szCs w:val="22"/>
        </w:rPr>
        <w:tab/>
      </w:r>
      <w:r w:rsidRPr="00BE533A">
        <w:rPr>
          <w:sz w:val="22"/>
          <w:szCs w:val="22"/>
        </w:rPr>
        <w:t xml:space="preserve">This Act commences on the day on which the </w:t>
      </w:r>
      <w:r w:rsidRPr="00BE533A">
        <w:rPr>
          <w:i/>
          <w:iCs/>
          <w:sz w:val="22"/>
          <w:szCs w:val="22"/>
        </w:rPr>
        <w:t xml:space="preserve">Horticultural Levy Amendment Act 1994 </w:t>
      </w:r>
      <w:r w:rsidRPr="00BE533A">
        <w:rPr>
          <w:sz w:val="22"/>
          <w:szCs w:val="22"/>
        </w:rPr>
        <w:t>commences.</w:t>
      </w:r>
    </w:p>
    <w:p w14:paraId="2218FF04" w14:textId="77777777" w:rsidR="005265CE" w:rsidRPr="00BE533A" w:rsidRDefault="005265CE" w:rsidP="005265CE">
      <w:pPr>
        <w:autoSpaceDE w:val="0"/>
        <w:autoSpaceDN w:val="0"/>
        <w:adjustRightInd w:val="0"/>
        <w:spacing w:before="120" w:after="60"/>
        <w:jc w:val="both"/>
        <w:rPr>
          <w:sz w:val="22"/>
          <w:szCs w:val="22"/>
        </w:rPr>
      </w:pPr>
      <w:r w:rsidRPr="00BE533A">
        <w:rPr>
          <w:b/>
          <w:bCs/>
          <w:sz w:val="22"/>
          <w:szCs w:val="22"/>
        </w:rPr>
        <w:t>Repeal and substitution of section 13</w:t>
      </w:r>
    </w:p>
    <w:p w14:paraId="33FC10E6" w14:textId="26701BD5" w:rsidR="005265CE" w:rsidRPr="00BE533A" w:rsidRDefault="005265CE" w:rsidP="005265CE">
      <w:pPr>
        <w:autoSpaceDE w:val="0"/>
        <w:autoSpaceDN w:val="0"/>
        <w:adjustRightInd w:val="0"/>
        <w:spacing w:before="120"/>
        <w:ind w:firstLine="312"/>
        <w:jc w:val="both"/>
        <w:rPr>
          <w:sz w:val="22"/>
          <w:szCs w:val="22"/>
        </w:rPr>
      </w:pPr>
      <w:r w:rsidRPr="00BE533A">
        <w:rPr>
          <w:b/>
          <w:bCs/>
          <w:sz w:val="22"/>
          <w:szCs w:val="22"/>
        </w:rPr>
        <w:t>3</w:t>
      </w:r>
      <w:r w:rsidRPr="00CF58FA">
        <w:rPr>
          <w:b/>
          <w:sz w:val="22"/>
          <w:szCs w:val="22"/>
        </w:rPr>
        <w:t>.(</w:t>
      </w:r>
      <w:r w:rsidRPr="00CF58FA">
        <w:rPr>
          <w:b/>
          <w:bCs/>
          <w:sz w:val="22"/>
          <w:szCs w:val="22"/>
        </w:rPr>
        <w:t>1</w:t>
      </w:r>
      <w:r w:rsidRPr="00CF58FA">
        <w:rPr>
          <w:b/>
          <w:sz w:val="22"/>
          <w:szCs w:val="22"/>
        </w:rPr>
        <w:t>)</w:t>
      </w:r>
      <w:r w:rsidR="00CF58FA">
        <w:rPr>
          <w:sz w:val="22"/>
          <w:szCs w:val="22"/>
        </w:rPr>
        <w:t xml:space="preserve"> </w:t>
      </w:r>
      <w:r w:rsidRPr="00BE533A">
        <w:rPr>
          <w:sz w:val="22"/>
          <w:szCs w:val="22"/>
        </w:rPr>
        <w:t>Section 13 of the Principal Act is repealed and the following section is substituted:</w:t>
      </w:r>
    </w:p>
    <w:p w14:paraId="6821163A" w14:textId="6F0C9EFF" w:rsidR="005265CE" w:rsidRPr="00BE533A" w:rsidRDefault="005265CE" w:rsidP="006B0CF3">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 xml:space="preserve">Exemptions from </w:t>
      </w:r>
      <w:bookmarkStart w:id="0" w:name="_GoBack"/>
      <w:bookmarkEnd w:id="0"/>
      <w:r w:rsidRPr="00BE533A">
        <w:rPr>
          <w:b/>
          <w:bCs/>
          <w:sz w:val="22"/>
          <w:szCs w:val="22"/>
        </w:rPr>
        <w:t>charge</w:t>
      </w:r>
    </w:p>
    <w:p w14:paraId="585EA4A2" w14:textId="77777777" w:rsidR="005265CE" w:rsidRPr="00BE533A" w:rsidRDefault="005265CE" w:rsidP="005265CE">
      <w:pPr>
        <w:autoSpaceDE w:val="0"/>
        <w:autoSpaceDN w:val="0"/>
        <w:adjustRightInd w:val="0"/>
        <w:spacing w:before="120"/>
        <w:ind w:firstLine="341"/>
        <w:jc w:val="both"/>
        <w:rPr>
          <w:sz w:val="22"/>
          <w:szCs w:val="22"/>
        </w:rPr>
      </w:pPr>
      <w:r w:rsidRPr="00BE533A">
        <w:rPr>
          <w:sz w:val="22"/>
          <w:szCs w:val="22"/>
        </w:rPr>
        <w:t>“13.(1)</w:t>
      </w:r>
      <w:r>
        <w:rPr>
          <w:sz w:val="22"/>
          <w:szCs w:val="22"/>
        </w:rPr>
        <w:tab/>
      </w:r>
      <w:r w:rsidRPr="00BE533A">
        <w:rPr>
          <w:sz w:val="22"/>
          <w:szCs w:val="22"/>
        </w:rPr>
        <w:t>Charge is not payable on chargeable horticultural products if the producer has paid levy on those horticultural products.</w:t>
      </w:r>
    </w:p>
    <w:p w14:paraId="41DEB477" w14:textId="77777777" w:rsidR="005265CE" w:rsidRPr="00BE533A" w:rsidRDefault="005265CE" w:rsidP="005265CE">
      <w:pPr>
        <w:autoSpaceDE w:val="0"/>
        <w:autoSpaceDN w:val="0"/>
        <w:adjustRightInd w:val="0"/>
        <w:spacing w:before="120"/>
        <w:ind w:left="355"/>
        <w:jc w:val="both"/>
        <w:rPr>
          <w:sz w:val="22"/>
          <w:szCs w:val="22"/>
        </w:rPr>
      </w:pPr>
      <w:r w:rsidRPr="00BE533A">
        <w:rPr>
          <w:sz w:val="22"/>
          <w:szCs w:val="22"/>
        </w:rPr>
        <w:t>“(2)</w:t>
      </w:r>
      <w:r>
        <w:rPr>
          <w:sz w:val="22"/>
          <w:szCs w:val="22"/>
        </w:rPr>
        <w:tab/>
      </w:r>
      <w:r w:rsidRPr="00BE533A">
        <w:rPr>
          <w:sz w:val="22"/>
          <w:szCs w:val="22"/>
        </w:rPr>
        <w:t>The regulations may exempt from charge:</w:t>
      </w:r>
    </w:p>
    <w:p w14:paraId="17BE1C5D" w14:textId="77777777" w:rsidR="005265CE" w:rsidRPr="00BE533A" w:rsidRDefault="005265CE" w:rsidP="006B0CF3">
      <w:pPr>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chargeable horticultural products exported by a specified class of persons; or</w:t>
      </w:r>
    </w:p>
    <w:p w14:paraId="7352DB2C" w14:textId="77777777" w:rsidR="005265CE" w:rsidRPr="00BE533A" w:rsidRDefault="005265CE" w:rsidP="005265CE">
      <w:pPr>
        <w:tabs>
          <w:tab w:val="left" w:pos="72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specified subclasses of a class of chargeable horticultural products.”.</w:t>
      </w:r>
    </w:p>
    <w:p w14:paraId="4CAF1A73" w14:textId="77777777" w:rsidR="005265CE" w:rsidRPr="00BE533A" w:rsidRDefault="005265CE" w:rsidP="005265CE">
      <w:pPr>
        <w:autoSpaceDE w:val="0"/>
        <w:autoSpaceDN w:val="0"/>
        <w:adjustRightInd w:val="0"/>
        <w:spacing w:before="120"/>
        <w:ind w:firstLine="317"/>
        <w:jc w:val="both"/>
        <w:rPr>
          <w:sz w:val="22"/>
          <w:szCs w:val="22"/>
        </w:rPr>
      </w:pPr>
      <w:r w:rsidRPr="002E70C5">
        <w:rPr>
          <w:b/>
          <w:sz w:val="22"/>
          <w:szCs w:val="22"/>
        </w:rPr>
        <w:t>(2)</w:t>
      </w:r>
      <w:r>
        <w:rPr>
          <w:sz w:val="22"/>
          <w:szCs w:val="22"/>
        </w:rPr>
        <w:tab/>
      </w:r>
      <w:r w:rsidRPr="00BE533A">
        <w:rPr>
          <w:sz w:val="22"/>
          <w:szCs w:val="22"/>
        </w:rPr>
        <w:t>Despite the repeal of section 13 of the Principal Act made by subsection (1), the regulations made for the purposes of that section that were in force immediately before its repeal continue in force after that repeal as if those regulations had been made for the purposes of subsection 13(2) of the Principal Act as amended by this Act.</w:t>
      </w:r>
    </w:p>
    <w:p w14:paraId="7496842B" w14:textId="77777777" w:rsidR="006B0CF3" w:rsidRDefault="00CF58FA" w:rsidP="006B0CF3">
      <w:pPr>
        <w:autoSpaceDE w:val="0"/>
        <w:autoSpaceDN w:val="0"/>
        <w:adjustRightInd w:val="0"/>
        <w:spacing w:before="120"/>
        <w:jc w:val="both"/>
        <w:rPr>
          <w:b/>
          <w:bCs/>
          <w:sz w:val="22"/>
          <w:szCs w:val="22"/>
        </w:rPr>
      </w:pPr>
      <w:r>
        <w:rPr>
          <w:b/>
          <w:bCs/>
          <w:sz w:val="22"/>
          <w:szCs w:val="22"/>
        </w:rPr>
        <w:pict w14:anchorId="37A1C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4D595005" w14:textId="77777777" w:rsidR="005265CE" w:rsidRPr="00BE533A" w:rsidRDefault="005265CE" w:rsidP="006B0CF3">
      <w:pPr>
        <w:autoSpaceDE w:val="0"/>
        <w:autoSpaceDN w:val="0"/>
        <w:adjustRightInd w:val="0"/>
        <w:spacing w:before="120"/>
        <w:jc w:val="center"/>
        <w:rPr>
          <w:sz w:val="22"/>
          <w:szCs w:val="22"/>
        </w:rPr>
      </w:pPr>
      <w:r w:rsidRPr="00BE533A">
        <w:rPr>
          <w:b/>
          <w:bCs/>
          <w:sz w:val="22"/>
          <w:szCs w:val="22"/>
        </w:rPr>
        <w:t>NOTE</w:t>
      </w:r>
    </w:p>
    <w:p w14:paraId="765FA6F4" w14:textId="77777777" w:rsidR="005265CE" w:rsidRPr="003C2ABA" w:rsidRDefault="005265CE" w:rsidP="005265CE">
      <w:pPr>
        <w:autoSpaceDE w:val="0"/>
        <w:autoSpaceDN w:val="0"/>
        <w:adjustRightInd w:val="0"/>
        <w:spacing w:before="120"/>
        <w:ind w:left="346" w:hanging="346"/>
        <w:jc w:val="both"/>
        <w:rPr>
          <w:sz w:val="20"/>
          <w:szCs w:val="22"/>
        </w:rPr>
      </w:pPr>
      <w:r w:rsidRPr="003C2ABA">
        <w:rPr>
          <w:sz w:val="20"/>
          <w:szCs w:val="22"/>
        </w:rPr>
        <w:t>1</w:t>
      </w:r>
      <w:r w:rsidRPr="003C2ABA">
        <w:rPr>
          <w:b/>
          <w:bCs/>
          <w:sz w:val="20"/>
          <w:szCs w:val="22"/>
        </w:rPr>
        <w:t>.</w:t>
      </w:r>
      <w:r w:rsidRPr="003C2ABA">
        <w:rPr>
          <w:b/>
          <w:bCs/>
          <w:sz w:val="20"/>
          <w:szCs w:val="22"/>
        </w:rPr>
        <w:tab/>
      </w:r>
      <w:r w:rsidRPr="003C2ABA">
        <w:rPr>
          <w:sz w:val="20"/>
          <w:szCs w:val="22"/>
        </w:rPr>
        <w:t>No. 170, 1987, as amended. For previous amendments, see No. 48, 1989; Nos. 26 and 42, 1991.</w:t>
      </w:r>
    </w:p>
    <w:p w14:paraId="4E94E85C" w14:textId="77777777" w:rsidR="005265CE" w:rsidRPr="003C2ABA" w:rsidRDefault="005265CE" w:rsidP="00837A04">
      <w:pPr>
        <w:autoSpaceDE w:val="0"/>
        <w:autoSpaceDN w:val="0"/>
        <w:adjustRightInd w:val="0"/>
        <w:spacing w:before="120"/>
        <w:jc w:val="both"/>
        <w:rPr>
          <w:sz w:val="20"/>
          <w:szCs w:val="22"/>
        </w:rPr>
      </w:pPr>
      <w:r w:rsidRPr="003C2ABA">
        <w:rPr>
          <w:iCs/>
          <w:sz w:val="20"/>
          <w:szCs w:val="22"/>
        </w:rPr>
        <w:t>[</w:t>
      </w:r>
      <w:r w:rsidRPr="003C2ABA">
        <w:rPr>
          <w:i/>
          <w:iCs/>
          <w:sz w:val="20"/>
          <w:szCs w:val="22"/>
        </w:rPr>
        <w:t>Minister’s second reading speech made in</w:t>
      </w:r>
      <w:r w:rsidRPr="003C2ABA">
        <w:rPr>
          <w:sz w:val="20"/>
          <w:szCs w:val="22"/>
        </w:rPr>
        <w:t>—</w:t>
      </w:r>
    </w:p>
    <w:p w14:paraId="41A2E5DE" w14:textId="77777777" w:rsidR="005265CE" w:rsidRPr="003C2ABA" w:rsidRDefault="005265CE" w:rsidP="006B0CF3">
      <w:pPr>
        <w:autoSpaceDE w:val="0"/>
        <w:autoSpaceDN w:val="0"/>
        <w:adjustRightInd w:val="0"/>
        <w:ind w:left="792"/>
        <w:jc w:val="both"/>
        <w:rPr>
          <w:sz w:val="20"/>
          <w:szCs w:val="22"/>
        </w:rPr>
      </w:pPr>
      <w:r w:rsidRPr="003C2ABA">
        <w:rPr>
          <w:i/>
          <w:iCs/>
          <w:sz w:val="20"/>
          <w:szCs w:val="22"/>
        </w:rPr>
        <w:t>House of Representatives on 24 August 1994</w:t>
      </w:r>
    </w:p>
    <w:p w14:paraId="21594453" w14:textId="77777777" w:rsidR="005265CE" w:rsidRPr="003C2ABA" w:rsidRDefault="005265CE" w:rsidP="006B0CF3">
      <w:pPr>
        <w:autoSpaceDE w:val="0"/>
        <w:autoSpaceDN w:val="0"/>
        <w:adjustRightInd w:val="0"/>
        <w:ind w:left="792"/>
        <w:jc w:val="both"/>
        <w:rPr>
          <w:sz w:val="20"/>
          <w:szCs w:val="22"/>
        </w:rPr>
      </w:pPr>
      <w:r w:rsidRPr="003C2ABA">
        <w:rPr>
          <w:i/>
          <w:iCs/>
          <w:sz w:val="20"/>
          <w:szCs w:val="22"/>
        </w:rPr>
        <w:t>Senate on 25 August 1994</w:t>
      </w:r>
      <w:r w:rsidR="00AB32E8">
        <w:rPr>
          <w:iCs/>
          <w:sz w:val="20"/>
          <w:szCs w:val="22"/>
        </w:rPr>
        <w:t>]</w:t>
      </w:r>
    </w:p>
    <w:sectPr w:rsidR="005265CE" w:rsidRPr="003C2ABA" w:rsidSect="00AD7418">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F8F33B" w15:done="0"/>
  <w15:commentEx w15:paraId="555EB386" w15:done="0"/>
  <w15:commentEx w15:paraId="341A5AA6" w15:done="0"/>
  <w15:commentEx w15:paraId="13362B04" w15:done="0"/>
  <w15:commentEx w15:paraId="3D1B5FD9" w15:done="0"/>
  <w15:commentEx w15:paraId="695133FB" w15:done="0"/>
  <w15:commentEx w15:paraId="70C34529" w15:done="0"/>
  <w15:commentEx w15:paraId="262910E8" w15:done="0"/>
  <w15:commentEx w15:paraId="7099B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8F33B" w16cid:durableId="211A5C82"/>
  <w16cid:commentId w16cid:paraId="555EB386" w16cid:durableId="211A5C8C"/>
  <w16cid:commentId w16cid:paraId="341A5AA6" w16cid:durableId="211A5C96"/>
  <w16cid:commentId w16cid:paraId="13362B04" w16cid:durableId="211A5C9E"/>
  <w16cid:commentId w16cid:paraId="3D1B5FD9" w16cid:durableId="211A5CAB"/>
  <w16cid:commentId w16cid:paraId="695133FB" w16cid:durableId="211A5CA3"/>
  <w16cid:commentId w16cid:paraId="70C34529" w16cid:durableId="211A5CA7"/>
  <w16cid:commentId w16cid:paraId="262910E8" w16cid:durableId="211A5CB0"/>
  <w16cid:commentId w16cid:paraId="7099BFC8" w16cid:durableId="211A5C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A579E" w14:textId="77777777" w:rsidR="002C3462" w:rsidRDefault="002C3462">
      <w:r>
        <w:separator/>
      </w:r>
    </w:p>
  </w:endnote>
  <w:endnote w:type="continuationSeparator" w:id="0">
    <w:p w14:paraId="678150CF" w14:textId="77777777" w:rsidR="002C3462" w:rsidRDefault="002C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97AFF" w14:textId="77777777" w:rsidR="002C3462" w:rsidRDefault="002C3462">
      <w:r>
        <w:separator/>
      </w:r>
    </w:p>
  </w:footnote>
  <w:footnote w:type="continuationSeparator" w:id="0">
    <w:p w14:paraId="6B32C8AF" w14:textId="77777777" w:rsidR="002C3462" w:rsidRDefault="002C3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E803" w14:textId="7677DAAA" w:rsidR="006B0CF3" w:rsidRDefault="006B0CF3" w:rsidP="006B0CF3">
    <w:pPr>
      <w:pStyle w:val="Header"/>
      <w:jc w:val="center"/>
    </w:pPr>
    <w:r w:rsidRPr="00BE533A">
      <w:rPr>
        <w:i/>
        <w:iCs/>
        <w:sz w:val="22"/>
        <w:szCs w:val="22"/>
      </w:rPr>
      <w:t xml:space="preserve">Horticultural Export Charge Amendment </w:t>
    </w:r>
    <w:r w:rsidR="00CF58FA">
      <w:rPr>
        <w:i/>
        <w:iCs/>
        <w:sz w:val="22"/>
        <w:szCs w:val="22"/>
      </w:rPr>
      <w:tab/>
      <w:t xml:space="preserve">       </w:t>
    </w:r>
    <w:r w:rsidRPr="00BE533A">
      <w:rPr>
        <w:i/>
        <w:iCs/>
        <w:sz w:val="22"/>
        <w:szCs w:val="22"/>
      </w:rPr>
      <w:t>No. 114,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CE"/>
    <w:rsid w:val="000B1A3B"/>
    <w:rsid w:val="001B0F6F"/>
    <w:rsid w:val="001C0037"/>
    <w:rsid w:val="00277644"/>
    <w:rsid w:val="00297CA1"/>
    <w:rsid w:val="002C3462"/>
    <w:rsid w:val="00380CF4"/>
    <w:rsid w:val="0039649B"/>
    <w:rsid w:val="003C2ABA"/>
    <w:rsid w:val="004054F4"/>
    <w:rsid w:val="00437345"/>
    <w:rsid w:val="004A1E14"/>
    <w:rsid w:val="00522A0B"/>
    <w:rsid w:val="005265CE"/>
    <w:rsid w:val="00582DF8"/>
    <w:rsid w:val="00592380"/>
    <w:rsid w:val="005F24FB"/>
    <w:rsid w:val="00697913"/>
    <w:rsid w:val="006B0CF3"/>
    <w:rsid w:val="008179AB"/>
    <w:rsid w:val="00837A04"/>
    <w:rsid w:val="00915283"/>
    <w:rsid w:val="009223C3"/>
    <w:rsid w:val="009B318B"/>
    <w:rsid w:val="009F099C"/>
    <w:rsid w:val="00AA05EF"/>
    <w:rsid w:val="00AB32E8"/>
    <w:rsid w:val="00AD7418"/>
    <w:rsid w:val="00B36217"/>
    <w:rsid w:val="00B421ED"/>
    <w:rsid w:val="00B80A16"/>
    <w:rsid w:val="00BF0174"/>
    <w:rsid w:val="00CA1489"/>
    <w:rsid w:val="00CF58FA"/>
    <w:rsid w:val="00D06A09"/>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BA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CF3"/>
    <w:pPr>
      <w:tabs>
        <w:tab w:val="center" w:pos="4320"/>
        <w:tab w:val="right" w:pos="8640"/>
      </w:tabs>
    </w:pPr>
  </w:style>
  <w:style w:type="paragraph" w:styleId="Footer">
    <w:name w:val="footer"/>
    <w:basedOn w:val="Normal"/>
    <w:rsid w:val="006B0CF3"/>
    <w:pPr>
      <w:tabs>
        <w:tab w:val="center" w:pos="4320"/>
        <w:tab w:val="right" w:pos="8640"/>
      </w:tabs>
    </w:pPr>
  </w:style>
  <w:style w:type="character" w:styleId="CommentReference">
    <w:name w:val="annotation reference"/>
    <w:basedOn w:val="DefaultParagraphFont"/>
    <w:semiHidden/>
    <w:unhideWhenUsed/>
    <w:rsid w:val="00277644"/>
    <w:rPr>
      <w:sz w:val="16"/>
      <w:szCs w:val="16"/>
    </w:rPr>
  </w:style>
  <w:style w:type="paragraph" w:styleId="CommentText">
    <w:name w:val="annotation text"/>
    <w:basedOn w:val="Normal"/>
    <w:link w:val="CommentTextChar"/>
    <w:semiHidden/>
    <w:unhideWhenUsed/>
    <w:rsid w:val="00277644"/>
    <w:rPr>
      <w:sz w:val="20"/>
      <w:szCs w:val="20"/>
    </w:rPr>
  </w:style>
  <w:style w:type="character" w:customStyle="1" w:styleId="CommentTextChar">
    <w:name w:val="Comment Text Char"/>
    <w:basedOn w:val="DefaultParagraphFont"/>
    <w:link w:val="CommentText"/>
    <w:semiHidden/>
    <w:rsid w:val="00277644"/>
  </w:style>
  <w:style w:type="paragraph" w:styleId="CommentSubject">
    <w:name w:val="annotation subject"/>
    <w:basedOn w:val="CommentText"/>
    <w:next w:val="CommentText"/>
    <w:link w:val="CommentSubjectChar"/>
    <w:semiHidden/>
    <w:unhideWhenUsed/>
    <w:rsid w:val="00277644"/>
    <w:rPr>
      <w:b/>
      <w:bCs/>
    </w:rPr>
  </w:style>
  <w:style w:type="character" w:customStyle="1" w:styleId="CommentSubjectChar">
    <w:name w:val="Comment Subject Char"/>
    <w:basedOn w:val="CommentTextChar"/>
    <w:link w:val="CommentSubject"/>
    <w:semiHidden/>
    <w:rsid w:val="00277644"/>
    <w:rPr>
      <w:b/>
      <w:bCs/>
    </w:rPr>
  </w:style>
  <w:style w:type="paragraph" w:styleId="BalloonText">
    <w:name w:val="Balloon Text"/>
    <w:basedOn w:val="Normal"/>
    <w:link w:val="BalloonTextChar"/>
    <w:semiHidden/>
    <w:unhideWhenUsed/>
    <w:rsid w:val="00277644"/>
    <w:rPr>
      <w:rFonts w:ascii="Segoe UI" w:hAnsi="Segoe UI" w:cs="Segoe UI"/>
      <w:sz w:val="18"/>
      <w:szCs w:val="18"/>
    </w:rPr>
  </w:style>
  <w:style w:type="character" w:customStyle="1" w:styleId="BalloonTextChar">
    <w:name w:val="Balloon Text Char"/>
    <w:basedOn w:val="DefaultParagraphFont"/>
    <w:link w:val="BalloonText"/>
    <w:semiHidden/>
    <w:rsid w:val="00277644"/>
    <w:rPr>
      <w:rFonts w:ascii="Segoe UI" w:hAnsi="Segoe UI" w:cs="Segoe UI"/>
      <w:sz w:val="18"/>
      <w:szCs w:val="18"/>
    </w:rPr>
  </w:style>
  <w:style w:type="paragraph" w:styleId="Revision">
    <w:name w:val="Revision"/>
    <w:hidden/>
    <w:uiPriority w:val="99"/>
    <w:semiHidden/>
    <w:rsid w:val="00CF58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CF3"/>
    <w:pPr>
      <w:tabs>
        <w:tab w:val="center" w:pos="4320"/>
        <w:tab w:val="right" w:pos="8640"/>
      </w:tabs>
    </w:pPr>
  </w:style>
  <w:style w:type="paragraph" w:styleId="Footer">
    <w:name w:val="footer"/>
    <w:basedOn w:val="Normal"/>
    <w:rsid w:val="006B0CF3"/>
    <w:pPr>
      <w:tabs>
        <w:tab w:val="center" w:pos="4320"/>
        <w:tab w:val="right" w:pos="8640"/>
      </w:tabs>
    </w:pPr>
  </w:style>
  <w:style w:type="character" w:styleId="CommentReference">
    <w:name w:val="annotation reference"/>
    <w:basedOn w:val="DefaultParagraphFont"/>
    <w:semiHidden/>
    <w:unhideWhenUsed/>
    <w:rsid w:val="00277644"/>
    <w:rPr>
      <w:sz w:val="16"/>
      <w:szCs w:val="16"/>
    </w:rPr>
  </w:style>
  <w:style w:type="paragraph" w:styleId="CommentText">
    <w:name w:val="annotation text"/>
    <w:basedOn w:val="Normal"/>
    <w:link w:val="CommentTextChar"/>
    <w:semiHidden/>
    <w:unhideWhenUsed/>
    <w:rsid w:val="00277644"/>
    <w:rPr>
      <w:sz w:val="20"/>
      <w:szCs w:val="20"/>
    </w:rPr>
  </w:style>
  <w:style w:type="character" w:customStyle="1" w:styleId="CommentTextChar">
    <w:name w:val="Comment Text Char"/>
    <w:basedOn w:val="DefaultParagraphFont"/>
    <w:link w:val="CommentText"/>
    <w:semiHidden/>
    <w:rsid w:val="00277644"/>
  </w:style>
  <w:style w:type="paragraph" w:styleId="CommentSubject">
    <w:name w:val="annotation subject"/>
    <w:basedOn w:val="CommentText"/>
    <w:next w:val="CommentText"/>
    <w:link w:val="CommentSubjectChar"/>
    <w:semiHidden/>
    <w:unhideWhenUsed/>
    <w:rsid w:val="00277644"/>
    <w:rPr>
      <w:b/>
      <w:bCs/>
    </w:rPr>
  </w:style>
  <w:style w:type="character" w:customStyle="1" w:styleId="CommentSubjectChar">
    <w:name w:val="Comment Subject Char"/>
    <w:basedOn w:val="CommentTextChar"/>
    <w:link w:val="CommentSubject"/>
    <w:semiHidden/>
    <w:rsid w:val="00277644"/>
    <w:rPr>
      <w:b/>
      <w:bCs/>
    </w:rPr>
  </w:style>
  <w:style w:type="paragraph" w:styleId="BalloonText">
    <w:name w:val="Balloon Text"/>
    <w:basedOn w:val="Normal"/>
    <w:link w:val="BalloonTextChar"/>
    <w:semiHidden/>
    <w:unhideWhenUsed/>
    <w:rsid w:val="00277644"/>
    <w:rPr>
      <w:rFonts w:ascii="Segoe UI" w:hAnsi="Segoe UI" w:cs="Segoe UI"/>
      <w:sz w:val="18"/>
      <w:szCs w:val="18"/>
    </w:rPr>
  </w:style>
  <w:style w:type="character" w:customStyle="1" w:styleId="BalloonTextChar">
    <w:name w:val="Balloon Text Char"/>
    <w:basedOn w:val="DefaultParagraphFont"/>
    <w:link w:val="BalloonText"/>
    <w:semiHidden/>
    <w:rsid w:val="00277644"/>
    <w:rPr>
      <w:rFonts w:ascii="Segoe UI" w:hAnsi="Segoe UI" w:cs="Segoe UI"/>
      <w:sz w:val="18"/>
      <w:szCs w:val="18"/>
    </w:rPr>
  </w:style>
  <w:style w:type="paragraph" w:styleId="Revision">
    <w:name w:val="Revision"/>
    <w:hidden/>
    <w:uiPriority w:val="99"/>
    <w:semiHidden/>
    <w:rsid w:val="00CF5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1300</Characters>
  <Application>Microsoft Office Word</Application>
  <DocSecurity>0</DocSecurity>
  <Lines>162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4</cp:revision>
  <dcterms:created xsi:type="dcterms:W3CDTF">2019-09-04T05:55:00Z</dcterms:created>
  <dcterms:modified xsi:type="dcterms:W3CDTF">2019-11-07T03:44:00Z</dcterms:modified>
</cp:coreProperties>
</file>