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E9C43" w14:textId="40CD24F2" w:rsidR="00BE7709" w:rsidRPr="00FD431F" w:rsidRDefault="00256A33" w:rsidP="00FD431F">
      <w:pPr>
        <w:jc w:val="center"/>
        <w:rPr>
          <w:rFonts w:ascii="Times New Roman" w:hAnsi="Times New Roman" w:cs="Times New Roman"/>
          <w:sz w:val="22"/>
          <w:szCs w:val="22"/>
        </w:rPr>
      </w:pPr>
      <w:r>
        <w:rPr>
          <w:rFonts w:ascii="Times New Roman" w:hAnsi="Times New Roman" w:cs="Times New Roman"/>
          <w:sz w:val="22"/>
          <w:szCs w:val="22"/>
        </w:rPr>
        <w:pict w14:anchorId="443DDD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7.5pt;height:89.3pt">
            <v:imagedata r:id="rId8" o:title=""/>
          </v:shape>
        </w:pict>
      </w:r>
    </w:p>
    <w:p w14:paraId="653D6757" w14:textId="77777777" w:rsidR="00BE7709" w:rsidRPr="00FD431F" w:rsidRDefault="00477D53" w:rsidP="00FD431F">
      <w:pPr>
        <w:pStyle w:val="Bodytext60"/>
        <w:spacing w:before="960" w:line="240" w:lineRule="auto"/>
        <w:rPr>
          <w:sz w:val="36"/>
          <w:szCs w:val="36"/>
        </w:rPr>
      </w:pPr>
      <w:bookmarkStart w:id="0" w:name="bookmark0"/>
      <w:r w:rsidRPr="00FD431F">
        <w:rPr>
          <w:sz w:val="36"/>
          <w:szCs w:val="36"/>
        </w:rPr>
        <w:t>M</w:t>
      </w:r>
      <w:r w:rsidR="00EE0685" w:rsidRPr="00FD431F">
        <w:rPr>
          <w:sz w:val="36"/>
          <w:szCs w:val="36"/>
        </w:rPr>
        <w:t>igration Legislation Amendment Act (No. 5) 1995</w:t>
      </w:r>
      <w:bookmarkEnd w:id="0"/>
    </w:p>
    <w:p w14:paraId="7FB26CDD" w14:textId="77777777" w:rsidR="00BE7709" w:rsidRPr="00FD431F" w:rsidRDefault="00EE0685" w:rsidP="00FD431F">
      <w:pPr>
        <w:pStyle w:val="Bodytext60"/>
        <w:spacing w:before="960" w:line="240" w:lineRule="auto"/>
        <w:rPr>
          <w:sz w:val="28"/>
          <w:szCs w:val="28"/>
        </w:rPr>
      </w:pPr>
      <w:r w:rsidRPr="00FD431F">
        <w:rPr>
          <w:sz w:val="28"/>
          <w:szCs w:val="28"/>
        </w:rPr>
        <w:t>No. 100 of 1995</w:t>
      </w:r>
    </w:p>
    <w:p w14:paraId="7B074894" w14:textId="77777777" w:rsidR="002364C1" w:rsidRPr="00FD431F" w:rsidRDefault="002364C1" w:rsidP="00FD431F">
      <w:pPr>
        <w:pStyle w:val="Bodytext60"/>
        <w:pBdr>
          <w:bottom w:val="thickThinLargeGap" w:sz="18" w:space="1" w:color="auto"/>
        </w:pBdr>
        <w:spacing w:before="840" w:line="240" w:lineRule="auto"/>
        <w:jc w:val="left"/>
        <w:rPr>
          <w:sz w:val="28"/>
          <w:szCs w:val="28"/>
        </w:rPr>
      </w:pPr>
    </w:p>
    <w:p w14:paraId="61783DFD" w14:textId="77777777" w:rsidR="00BE7709" w:rsidRPr="00FD431F" w:rsidRDefault="00EE0685" w:rsidP="00FD431F">
      <w:pPr>
        <w:pStyle w:val="Bodytext60"/>
        <w:spacing w:before="960" w:line="240" w:lineRule="auto"/>
        <w:rPr>
          <w:sz w:val="28"/>
          <w:szCs w:val="28"/>
        </w:rPr>
      </w:pPr>
      <w:bookmarkStart w:id="1" w:name="bookmark1"/>
      <w:r w:rsidRPr="00FD431F">
        <w:rPr>
          <w:sz w:val="28"/>
          <w:szCs w:val="28"/>
        </w:rPr>
        <w:t>An Act to amend the law relating to migration</w:t>
      </w:r>
      <w:bookmarkEnd w:id="1"/>
    </w:p>
    <w:p w14:paraId="5CEF0639" w14:textId="77777777" w:rsidR="00BE7709" w:rsidRPr="00FD431F" w:rsidRDefault="00EE0685" w:rsidP="00FD431F">
      <w:pPr>
        <w:pStyle w:val="Bodytext30"/>
        <w:spacing w:before="120" w:line="240" w:lineRule="auto"/>
        <w:rPr>
          <w:sz w:val="22"/>
          <w:szCs w:val="22"/>
        </w:rPr>
      </w:pPr>
      <w:r w:rsidRPr="00FD431F">
        <w:rPr>
          <w:rStyle w:val="Bodytext31"/>
          <w:iCs/>
          <w:sz w:val="22"/>
          <w:szCs w:val="22"/>
        </w:rPr>
        <w:t>[</w:t>
      </w:r>
      <w:r w:rsidRPr="00FD431F">
        <w:rPr>
          <w:rStyle w:val="Bodytext31"/>
          <w:i/>
          <w:iCs/>
          <w:sz w:val="22"/>
          <w:szCs w:val="22"/>
        </w:rPr>
        <w:t>Assented to 15 September 1995</w:t>
      </w:r>
      <w:r w:rsidRPr="00FD431F">
        <w:rPr>
          <w:rStyle w:val="Bodytext3NotItalic"/>
          <w:sz w:val="22"/>
          <w:szCs w:val="22"/>
        </w:rPr>
        <w:t>]</w:t>
      </w:r>
    </w:p>
    <w:p w14:paraId="58CEA773" w14:textId="77777777" w:rsidR="00BE7709" w:rsidRPr="00FD431F" w:rsidRDefault="00EE0685" w:rsidP="00FD431F">
      <w:pPr>
        <w:pStyle w:val="BodyText2"/>
        <w:spacing w:before="120" w:line="240" w:lineRule="auto"/>
        <w:ind w:firstLine="270"/>
        <w:jc w:val="both"/>
        <w:rPr>
          <w:sz w:val="22"/>
          <w:szCs w:val="22"/>
        </w:rPr>
      </w:pPr>
      <w:r w:rsidRPr="00FD431F">
        <w:rPr>
          <w:rStyle w:val="BodyText1"/>
          <w:sz w:val="22"/>
          <w:szCs w:val="22"/>
        </w:rPr>
        <w:t>The Parliament of Australia enacts:</w:t>
      </w:r>
    </w:p>
    <w:p w14:paraId="0AFAD274" w14:textId="77777777" w:rsidR="00BE7709" w:rsidRPr="00FD431F" w:rsidRDefault="00EE0685" w:rsidP="00FD431F">
      <w:pPr>
        <w:pStyle w:val="Bodytext60"/>
        <w:spacing w:before="120" w:after="60" w:line="240" w:lineRule="auto"/>
        <w:jc w:val="both"/>
        <w:rPr>
          <w:sz w:val="22"/>
          <w:szCs w:val="22"/>
        </w:rPr>
      </w:pPr>
      <w:r w:rsidRPr="00FD431F">
        <w:rPr>
          <w:sz w:val="22"/>
          <w:szCs w:val="22"/>
        </w:rPr>
        <w:t>Short title</w:t>
      </w:r>
    </w:p>
    <w:p w14:paraId="5368604A" w14:textId="77777777" w:rsidR="00BE7709" w:rsidRPr="00FD431F" w:rsidRDefault="002364C1" w:rsidP="00FD431F">
      <w:pPr>
        <w:pStyle w:val="Bodytext30"/>
        <w:tabs>
          <w:tab w:val="left" w:pos="630"/>
        </w:tabs>
        <w:spacing w:before="120" w:line="240" w:lineRule="auto"/>
        <w:ind w:firstLine="270"/>
        <w:jc w:val="both"/>
        <w:rPr>
          <w:sz w:val="22"/>
          <w:szCs w:val="22"/>
        </w:rPr>
      </w:pPr>
      <w:r w:rsidRPr="00FD431F">
        <w:rPr>
          <w:rStyle w:val="Bodytext3NotItalic"/>
          <w:b/>
          <w:sz w:val="22"/>
          <w:szCs w:val="22"/>
        </w:rPr>
        <w:t>1.</w:t>
      </w:r>
      <w:r w:rsidRPr="00FD431F">
        <w:rPr>
          <w:rStyle w:val="Bodytext3NotItalic"/>
          <w:sz w:val="22"/>
          <w:szCs w:val="22"/>
        </w:rPr>
        <w:tab/>
      </w:r>
      <w:r w:rsidR="00EE0685" w:rsidRPr="00FD431F">
        <w:rPr>
          <w:rStyle w:val="Bodytext3NotItalic"/>
          <w:sz w:val="22"/>
          <w:szCs w:val="22"/>
        </w:rPr>
        <w:t xml:space="preserve">This Act may be cited as the </w:t>
      </w:r>
      <w:r w:rsidR="00EE0685" w:rsidRPr="00FD431F">
        <w:rPr>
          <w:rStyle w:val="Bodytext31"/>
          <w:i/>
          <w:iCs/>
          <w:sz w:val="22"/>
          <w:szCs w:val="22"/>
        </w:rPr>
        <w:t>Migration Legislation Amendment Act (No. 5) 1995.</w:t>
      </w:r>
    </w:p>
    <w:p w14:paraId="6642E0E8" w14:textId="77777777" w:rsidR="00BE7709" w:rsidRPr="00FD431F" w:rsidRDefault="00EE0685" w:rsidP="00FD431F">
      <w:pPr>
        <w:pStyle w:val="Bodytext60"/>
        <w:spacing w:before="120" w:after="60" w:line="240" w:lineRule="auto"/>
        <w:jc w:val="both"/>
        <w:rPr>
          <w:sz w:val="22"/>
          <w:szCs w:val="22"/>
        </w:rPr>
      </w:pPr>
      <w:r w:rsidRPr="00FD431F">
        <w:rPr>
          <w:sz w:val="22"/>
          <w:szCs w:val="22"/>
        </w:rPr>
        <w:t>Commencement</w:t>
      </w:r>
    </w:p>
    <w:p w14:paraId="2EBAFEF2" w14:textId="77777777" w:rsidR="00BE7709" w:rsidRPr="00FD431F" w:rsidRDefault="002364C1" w:rsidP="00FD431F">
      <w:pPr>
        <w:spacing w:before="120"/>
        <w:ind w:firstLine="270"/>
        <w:jc w:val="both"/>
        <w:rPr>
          <w:rFonts w:ascii="Times New Roman" w:hAnsi="Times New Roman" w:cs="Times New Roman"/>
          <w:sz w:val="22"/>
          <w:szCs w:val="22"/>
        </w:rPr>
      </w:pPr>
      <w:r w:rsidRPr="00FD431F">
        <w:rPr>
          <w:rStyle w:val="BodyText1"/>
          <w:rFonts w:eastAsia="Courier New"/>
          <w:b/>
          <w:sz w:val="22"/>
          <w:szCs w:val="22"/>
        </w:rPr>
        <w:t>2.(1)</w:t>
      </w:r>
      <w:r w:rsidRPr="00FD431F">
        <w:rPr>
          <w:rStyle w:val="BodyText1"/>
          <w:rFonts w:eastAsia="Courier New"/>
          <w:sz w:val="22"/>
          <w:szCs w:val="22"/>
        </w:rPr>
        <w:t xml:space="preserve"> </w:t>
      </w:r>
      <w:r w:rsidR="00EE0685" w:rsidRPr="00FD431F">
        <w:rPr>
          <w:rStyle w:val="BodyText1"/>
          <w:rFonts w:eastAsia="Courier New"/>
          <w:sz w:val="22"/>
          <w:szCs w:val="22"/>
        </w:rPr>
        <w:t>Subject to this section, this Act commences on the day on which it receives the Royal Assent.</w:t>
      </w:r>
    </w:p>
    <w:p w14:paraId="56D35B83" w14:textId="77777777" w:rsidR="002364C1" w:rsidRPr="00FD431F" w:rsidRDefault="002364C1" w:rsidP="00FD431F">
      <w:pPr>
        <w:rPr>
          <w:rStyle w:val="Bodytext31"/>
          <w:rFonts w:eastAsia="Courier New"/>
          <w:sz w:val="22"/>
          <w:szCs w:val="22"/>
        </w:rPr>
      </w:pPr>
      <w:r w:rsidRPr="00FD431F">
        <w:rPr>
          <w:rStyle w:val="Bodytext31"/>
          <w:rFonts w:eastAsia="Courier New"/>
          <w:i w:val="0"/>
          <w:iCs w:val="0"/>
          <w:sz w:val="22"/>
          <w:szCs w:val="22"/>
        </w:rPr>
        <w:br w:type="page"/>
      </w:r>
    </w:p>
    <w:p w14:paraId="056A8304" w14:textId="05FE2322" w:rsidR="00BE7709" w:rsidRPr="00FD431F" w:rsidRDefault="008F5D29" w:rsidP="00FD431F">
      <w:pPr>
        <w:pStyle w:val="BodyText2"/>
        <w:spacing w:before="120" w:line="240" w:lineRule="auto"/>
        <w:ind w:firstLine="270"/>
        <w:jc w:val="both"/>
        <w:rPr>
          <w:sz w:val="22"/>
          <w:szCs w:val="22"/>
        </w:rPr>
      </w:pPr>
      <w:r w:rsidRPr="00FD431F">
        <w:rPr>
          <w:rStyle w:val="BodyText1"/>
          <w:b/>
          <w:sz w:val="22"/>
          <w:szCs w:val="22"/>
        </w:rPr>
        <w:lastRenderedPageBreak/>
        <w:t>(2)</w:t>
      </w:r>
      <w:r w:rsidRPr="00FD431F">
        <w:rPr>
          <w:rStyle w:val="BodyText1"/>
          <w:sz w:val="22"/>
          <w:szCs w:val="22"/>
        </w:rPr>
        <w:t xml:space="preserve"> </w:t>
      </w:r>
      <w:r w:rsidR="00EE0685" w:rsidRPr="00FD431F">
        <w:rPr>
          <w:rStyle w:val="BodyText1"/>
          <w:sz w:val="22"/>
          <w:szCs w:val="22"/>
        </w:rPr>
        <w:t xml:space="preserve">Items 2, 3, 4, 6, 7, 11 and 12 of Schedule 1 are taken to have commenced immediately after the commencement of section 83 of the </w:t>
      </w:r>
      <w:r w:rsidR="00EE0685" w:rsidRPr="00FD431F">
        <w:rPr>
          <w:rStyle w:val="BodytextItalic"/>
          <w:sz w:val="22"/>
          <w:szCs w:val="22"/>
        </w:rPr>
        <w:t>Migration Legislation Amendment Act 1994.</w:t>
      </w:r>
    </w:p>
    <w:p w14:paraId="6230DC6F" w14:textId="77777777" w:rsidR="00BE7709" w:rsidRPr="00FD431F" w:rsidRDefault="00EE0685" w:rsidP="00FD431F">
      <w:pPr>
        <w:pStyle w:val="Bodytext40"/>
        <w:spacing w:before="120" w:line="240" w:lineRule="auto"/>
        <w:ind w:firstLine="0"/>
        <w:jc w:val="both"/>
        <w:rPr>
          <w:b w:val="0"/>
          <w:sz w:val="20"/>
          <w:szCs w:val="20"/>
        </w:rPr>
      </w:pPr>
      <w:r w:rsidRPr="00FD431F">
        <w:rPr>
          <w:b w:val="0"/>
          <w:sz w:val="20"/>
          <w:szCs w:val="20"/>
        </w:rPr>
        <w:t xml:space="preserve">Note: Section 83 of the </w:t>
      </w:r>
      <w:r w:rsidRPr="00FD431F">
        <w:rPr>
          <w:rStyle w:val="Bodytext4Italic"/>
          <w:bCs/>
          <w:sz w:val="20"/>
          <w:szCs w:val="20"/>
        </w:rPr>
        <w:t>Migration Legislation Amendment Act 1994</w:t>
      </w:r>
      <w:r w:rsidRPr="00FD431F">
        <w:rPr>
          <w:b w:val="0"/>
          <w:sz w:val="20"/>
          <w:szCs w:val="20"/>
        </w:rPr>
        <w:t xml:space="preserve"> commenced on 1 September 1994.</w:t>
      </w:r>
    </w:p>
    <w:p w14:paraId="07858012" w14:textId="77777777" w:rsidR="00BE7709" w:rsidRPr="00FD431F" w:rsidRDefault="008F5D29" w:rsidP="00FD431F">
      <w:pPr>
        <w:pStyle w:val="BodyText2"/>
        <w:spacing w:before="120" w:line="240" w:lineRule="auto"/>
        <w:ind w:firstLine="270"/>
        <w:jc w:val="both"/>
        <w:rPr>
          <w:sz w:val="22"/>
          <w:szCs w:val="22"/>
        </w:rPr>
      </w:pPr>
      <w:r w:rsidRPr="00FD431F">
        <w:rPr>
          <w:rStyle w:val="BodyText1"/>
          <w:b/>
          <w:sz w:val="22"/>
          <w:szCs w:val="22"/>
        </w:rPr>
        <w:t>(3)</w:t>
      </w:r>
      <w:r w:rsidRPr="00FD431F">
        <w:rPr>
          <w:rStyle w:val="BodyText1"/>
          <w:sz w:val="22"/>
          <w:szCs w:val="22"/>
        </w:rPr>
        <w:t xml:space="preserve"> </w:t>
      </w:r>
      <w:r w:rsidR="00EE0685" w:rsidRPr="00FD431F">
        <w:rPr>
          <w:rStyle w:val="BodyText1"/>
          <w:sz w:val="22"/>
          <w:szCs w:val="22"/>
        </w:rPr>
        <w:t xml:space="preserve">Item 17 of Schedule 1 is taken to have commenced immediately after the commencement of the </w:t>
      </w:r>
      <w:r w:rsidR="00EE0685" w:rsidRPr="00FD431F">
        <w:rPr>
          <w:rStyle w:val="BodytextItalic"/>
          <w:sz w:val="22"/>
          <w:szCs w:val="22"/>
        </w:rPr>
        <w:t>Migration (Delayed Visa Applications) Tax Act 1992.</w:t>
      </w:r>
    </w:p>
    <w:p w14:paraId="278EDBAD" w14:textId="543D5D29" w:rsidR="00BE7709" w:rsidRPr="00FD431F" w:rsidRDefault="00EE0685" w:rsidP="00FD431F">
      <w:pPr>
        <w:pStyle w:val="Bodytext40"/>
        <w:spacing w:before="120" w:line="240" w:lineRule="auto"/>
        <w:ind w:firstLine="0"/>
        <w:jc w:val="both"/>
        <w:rPr>
          <w:b w:val="0"/>
          <w:sz w:val="20"/>
          <w:szCs w:val="20"/>
        </w:rPr>
      </w:pPr>
      <w:r w:rsidRPr="00FD431F">
        <w:rPr>
          <w:b w:val="0"/>
          <w:sz w:val="20"/>
          <w:szCs w:val="20"/>
        </w:rPr>
        <w:t xml:space="preserve">Note: The </w:t>
      </w:r>
      <w:r w:rsidRPr="00256A33">
        <w:rPr>
          <w:b w:val="0"/>
          <w:i/>
          <w:sz w:val="20"/>
          <w:szCs w:val="20"/>
        </w:rPr>
        <w:t xml:space="preserve">Migration (Delayed Visa Applications) Tax Act 1992 </w:t>
      </w:r>
      <w:r w:rsidRPr="00FD431F">
        <w:rPr>
          <w:b w:val="0"/>
          <w:sz w:val="20"/>
          <w:szCs w:val="20"/>
        </w:rPr>
        <w:t>commenced on 1 September 1994.</w:t>
      </w:r>
    </w:p>
    <w:p w14:paraId="2E8E4AF9" w14:textId="77777777" w:rsidR="00BE7709" w:rsidRPr="00FD431F" w:rsidRDefault="008F5D29" w:rsidP="00FD431F">
      <w:pPr>
        <w:pStyle w:val="BodyText2"/>
        <w:spacing w:before="120" w:line="240" w:lineRule="auto"/>
        <w:ind w:firstLine="270"/>
        <w:jc w:val="both"/>
        <w:rPr>
          <w:sz w:val="22"/>
          <w:szCs w:val="22"/>
        </w:rPr>
      </w:pPr>
      <w:r w:rsidRPr="00FD431F">
        <w:rPr>
          <w:rStyle w:val="BodyText1"/>
          <w:b/>
          <w:sz w:val="22"/>
          <w:szCs w:val="22"/>
        </w:rPr>
        <w:t>(4)</w:t>
      </w:r>
      <w:r w:rsidRPr="00FD431F">
        <w:rPr>
          <w:rStyle w:val="BodyText1"/>
          <w:sz w:val="22"/>
          <w:szCs w:val="22"/>
        </w:rPr>
        <w:t xml:space="preserve"> </w:t>
      </w:r>
      <w:r w:rsidR="00EE0685" w:rsidRPr="00FD431F">
        <w:rPr>
          <w:rStyle w:val="BodyText1"/>
          <w:sz w:val="22"/>
          <w:szCs w:val="22"/>
        </w:rPr>
        <w:t>Subject to subsection (5), item 19 of Schedule 1 to this Act commences on the day on which this Act receives the Royal Assent.</w:t>
      </w:r>
    </w:p>
    <w:p w14:paraId="23DF051B" w14:textId="77777777" w:rsidR="00BE7709" w:rsidRPr="00FD431F" w:rsidRDefault="008F5D29" w:rsidP="00FD431F">
      <w:pPr>
        <w:pStyle w:val="BodyText2"/>
        <w:spacing w:before="120" w:line="240" w:lineRule="auto"/>
        <w:ind w:firstLine="270"/>
        <w:jc w:val="both"/>
        <w:rPr>
          <w:sz w:val="22"/>
          <w:szCs w:val="22"/>
        </w:rPr>
      </w:pPr>
      <w:r w:rsidRPr="00FD431F">
        <w:rPr>
          <w:rStyle w:val="BodyText1"/>
          <w:b/>
          <w:sz w:val="22"/>
          <w:szCs w:val="22"/>
        </w:rPr>
        <w:t>(5)</w:t>
      </w:r>
      <w:r w:rsidRPr="00FD431F">
        <w:rPr>
          <w:rStyle w:val="BodyText1"/>
          <w:sz w:val="22"/>
          <w:szCs w:val="22"/>
        </w:rPr>
        <w:t xml:space="preserve"> </w:t>
      </w:r>
      <w:r w:rsidR="00EE0685" w:rsidRPr="00FD431F">
        <w:rPr>
          <w:rStyle w:val="BodyText1"/>
          <w:sz w:val="22"/>
          <w:szCs w:val="22"/>
        </w:rPr>
        <w:t xml:space="preserve">If this Act receives the Royal Assent after the day on which the </w:t>
      </w:r>
      <w:r w:rsidR="00EE0685" w:rsidRPr="00FD431F">
        <w:rPr>
          <w:rStyle w:val="BodytextItalic"/>
          <w:sz w:val="22"/>
          <w:szCs w:val="22"/>
        </w:rPr>
        <w:t>Migration Legislation Amendment Act (No. 6) 1995</w:t>
      </w:r>
      <w:r w:rsidR="00EE0685" w:rsidRPr="00FD431F">
        <w:rPr>
          <w:rStyle w:val="BodyText1"/>
          <w:sz w:val="22"/>
          <w:szCs w:val="22"/>
        </w:rPr>
        <w:t xml:space="preserve"> receives the Royal Assent, items 19 and 20 of Schedule 1 to this Act are repealed on that day.</w:t>
      </w:r>
    </w:p>
    <w:p w14:paraId="3DD39DB2" w14:textId="77777777" w:rsidR="00BE7709" w:rsidRPr="00FD431F" w:rsidRDefault="00EE0685" w:rsidP="00FD431F">
      <w:pPr>
        <w:pStyle w:val="Bodytext60"/>
        <w:spacing w:before="120" w:after="60" w:line="240" w:lineRule="auto"/>
        <w:jc w:val="both"/>
        <w:rPr>
          <w:sz w:val="22"/>
          <w:szCs w:val="22"/>
        </w:rPr>
      </w:pPr>
      <w:bookmarkStart w:id="2" w:name="bookmark2"/>
      <w:r w:rsidRPr="00FD431F">
        <w:rPr>
          <w:sz w:val="22"/>
          <w:szCs w:val="22"/>
        </w:rPr>
        <w:t>Schedule 1</w:t>
      </w:r>
      <w:bookmarkEnd w:id="2"/>
    </w:p>
    <w:p w14:paraId="7A559B0A" w14:textId="77777777" w:rsidR="008F5D29" w:rsidRPr="00FD431F" w:rsidRDefault="008F5D29" w:rsidP="00FD431F">
      <w:pPr>
        <w:tabs>
          <w:tab w:val="left" w:pos="630"/>
        </w:tabs>
        <w:spacing w:before="120"/>
        <w:ind w:firstLine="270"/>
        <w:jc w:val="both"/>
        <w:rPr>
          <w:rStyle w:val="BodyText1"/>
          <w:rFonts w:eastAsia="Courier New"/>
          <w:sz w:val="22"/>
          <w:szCs w:val="22"/>
        </w:rPr>
      </w:pPr>
      <w:r w:rsidRPr="00FD431F">
        <w:rPr>
          <w:rStyle w:val="BodyText1"/>
          <w:rFonts w:eastAsia="Courier New"/>
          <w:b/>
          <w:sz w:val="22"/>
          <w:szCs w:val="22"/>
        </w:rPr>
        <w:t>3.</w:t>
      </w:r>
      <w:r w:rsidRPr="00FD431F">
        <w:rPr>
          <w:rStyle w:val="BodyText1"/>
          <w:rFonts w:eastAsia="Courier New"/>
          <w:sz w:val="22"/>
          <w:szCs w:val="22"/>
        </w:rPr>
        <w:tab/>
      </w:r>
      <w:r w:rsidR="00EE0685" w:rsidRPr="00FD431F">
        <w:rPr>
          <w:rStyle w:val="BodyText1"/>
          <w:rFonts w:eastAsia="Courier New"/>
          <w:sz w:val="22"/>
          <w:szCs w:val="22"/>
        </w:rPr>
        <w:t>The Acts specified in Schedule 1 to this Act are amended in accordance with the applicable items in that Schedule, and the other items in that Schedule have effect according to their terms.</w:t>
      </w:r>
    </w:p>
    <w:p w14:paraId="4129C59F" w14:textId="77777777" w:rsidR="008F5D29" w:rsidRPr="00FD431F" w:rsidRDefault="008F5D29" w:rsidP="00FD431F">
      <w:pPr>
        <w:tabs>
          <w:tab w:val="left" w:pos="630"/>
        </w:tabs>
        <w:spacing w:before="60"/>
        <w:ind w:firstLine="270"/>
        <w:jc w:val="center"/>
        <w:rPr>
          <w:rStyle w:val="BodyText1"/>
          <w:rFonts w:eastAsia="Courier New"/>
          <w:sz w:val="22"/>
          <w:szCs w:val="22"/>
        </w:rPr>
      </w:pPr>
      <w:r w:rsidRPr="00FD431F">
        <w:rPr>
          <w:rStyle w:val="BodyText1"/>
          <w:rFonts w:eastAsia="Courier New"/>
          <w:sz w:val="22"/>
          <w:szCs w:val="22"/>
        </w:rPr>
        <w:t>––––––––––––</w:t>
      </w:r>
    </w:p>
    <w:p w14:paraId="7A8F2951" w14:textId="77777777" w:rsidR="008F5D29" w:rsidRPr="00FD431F" w:rsidRDefault="008F5D29" w:rsidP="00FD431F">
      <w:pPr>
        <w:rPr>
          <w:rStyle w:val="BodyText1"/>
          <w:rFonts w:eastAsia="Courier New"/>
          <w:sz w:val="22"/>
          <w:szCs w:val="22"/>
        </w:rPr>
      </w:pPr>
      <w:r w:rsidRPr="00FD431F">
        <w:rPr>
          <w:rStyle w:val="BodyText1"/>
          <w:rFonts w:eastAsia="Courier New"/>
          <w:sz w:val="22"/>
          <w:szCs w:val="22"/>
        </w:rPr>
        <w:br w:type="page"/>
      </w:r>
    </w:p>
    <w:p w14:paraId="61311058" w14:textId="21644F1B" w:rsidR="00BE7709" w:rsidRPr="00FD431F" w:rsidRDefault="008F5D29" w:rsidP="00FD431F">
      <w:pPr>
        <w:pStyle w:val="BodyText2"/>
        <w:tabs>
          <w:tab w:val="right" w:pos="9360"/>
        </w:tabs>
        <w:spacing w:line="240" w:lineRule="auto"/>
        <w:ind w:left="4050" w:firstLine="0"/>
        <w:jc w:val="both"/>
        <w:rPr>
          <w:b/>
          <w:sz w:val="22"/>
          <w:szCs w:val="22"/>
        </w:rPr>
      </w:pPr>
      <w:r w:rsidRPr="00FD431F">
        <w:rPr>
          <w:rStyle w:val="BodyText1"/>
          <w:b/>
          <w:sz w:val="22"/>
          <w:szCs w:val="22"/>
        </w:rPr>
        <w:lastRenderedPageBreak/>
        <w:t>SCHEDULE 1</w:t>
      </w:r>
      <w:r w:rsidRPr="00FD431F">
        <w:rPr>
          <w:rStyle w:val="BodyText1"/>
          <w:sz w:val="22"/>
          <w:szCs w:val="22"/>
        </w:rPr>
        <w:tab/>
      </w:r>
      <w:r w:rsidR="00EE0685" w:rsidRPr="00256A33">
        <w:rPr>
          <w:rStyle w:val="Bodytext8pt"/>
          <w:b w:val="0"/>
          <w:sz w:val="20"/>
          <w:szCs w:val="22"/>
        </w:rPr>
        <w:t>Section</w:t>
      </w:r>
      <w:r w:rsidRPr="00256A33">
        <w:rPr>
          <w:rStyle w:val="Bodytext8pt"/>
          <w:b w:val="0"/>
          <w:sz w:val="20"/>
          <w:szCs w:val="22"/>
        </w:rPr>
        <w:t xml:space="preserve"> </w:t>
      </w:r>
      <w:r w:rsidR="00EE0685" w:rsidRPr="00256A33">
        <w:rPr>
          <w:rStyle w:val="Bodytext8pt"/>
          <w:b w:val="0"/>
          <w:sz w:val="20"/>
          <w:szCs w:val="22"/>
        </w:rPr>
        <w:t>3</w:t>
      </w:r>
    </w:p>
    <w:p w14:paraId="324CECFE" w14:textId="77777777" w:rsidR="00BE7709" w:rsidRPr="00FD431F" w:rsidRDefault="00EE0685" w:rsidP="00FD431F">
      <w:pPr>
        <w:pStyle w:val="Bodytext30"/>
        <w:spacing w:before="120" w:line="240" w:lineRule="auto"/>
        <w:jc w:val="center"/>
        <w:rPr>
          <w:b/>
          <w:sz w:val="22"/>
          <w:szCs w:val="22"/>
        </w:rPr>
      </w:pPr>
      <w:r w:rsidRPr="00FD431F">
        <w:rPr>
          <w:rStyle w:val="Bodytext31"/>
          <w:b/>
          <w:i/>
          <w:iCs/>
          <w:sz w:val="22"/>
          <w:szCs w:val="22"/>
        </w:rPr>
        <w:t>Immigration (Education) Act 1971</w:t>
      </w:r>
    </w:p>
    <w:p w14:paraId="4C2C8AC3" w14:textId="77777777" w:rsidR="00BE7709" w:rsidRPr="00FD431F" w:rsidRDefault="007E0DC0" w:rsidP="00FD431F">
      <w:pPr>
        <w:pStyle w:val="Bodytext60"/>
        <w:spacing w:before="120" w:line="240" w:lineRule="auto"/>
        <w:jc w:val="both"/>
        <w:rPr>
          <w:sz w:val="22"/>
          <w:szCs w:val="22"/>
        </w:rPr>
      </w:pPr>
      <w:r w:rsidRPr="00FD431F">
        <w:rPr>
          <w:sz w:val="22"/>
          <w:szCs w:val="22"/>
        </w:rPr>
        <w:t xml:space="preserve">1. </w:t>
      </w:r>
      <w:r w:rsidR="00EE0685" w:rsidRPr="00FD431F">
        <w:rPr>
          <w:sz w:val="22"/>
          <w:szCs w:val="22"/>
        </w:rPr>
        <w:t>Certain persons not entitled to tuition</w:t>
      </w:r>
    </w:p>
    <w:p w14:paraId="63D44769" w14:textId="05B01416" w:rsidR="00BE7709" w:rsidRPr="00FD431F" w:rsidRDefault="008F5D29" w:rsidP="00FD431F">
      <w:pPr>
        <w:pStyle w:val="BodyText2"/>
        <w:spacing w:before="120" w:line="240" w:lineRule="auto"/>
        <w:ind w:firstLine="360"/>
        <w:jc w:val="both"/>
        <w:rPr>
          <w:sz w:val="22"/>
          <w:szCs w:val="22"/>
        </w:rPr>
      </w:pPr>
      <w:r w:rsidRPr="00FD431F">
        <w:rPr>
          <w:rStyle w:val="BodyText1"/>
          <w:b/>
          <w:sz w:val="22"/>
          <w:szCs w:val="22"/>
        </w:rPr>
        <w:t>(1)</w:t>
      </w:r>
      <w:r w:rsidRPr="00FD431F">
        <w:rPr>
          <w:rStyle w:val="BodyText1"/>
          <w:sz w:val="22"/>
          <w:szCs w:val="22"/>
        </w:rPr>
        <w:t xml:space="preserve"> </w:t>
      </w:r>
      <w:r w:rsidR="00EE0685" w:rsidRPr="00FD431F">
        <w:rPr>
          <w:rStyle w:val="BodyText1"/>
          <w:sz w:val="22"/>
          <w:szCs w:val="22"/>
        </w:rPr>
        <w:t xml:space="preserve">Despite section 4C of the </w:t>
      </w:r>
      <w:r w:rsidR="00EE0685" w:rsidRPr="00FD431F">
        <w:rPr>
          <w:rStyle w:val="BodytextItalic"/>
          <w:sz w:val="22"/>
          <w:szCs w:val="22"/>
        </w:rPr>
        <w:t>Immigration (Education) Act 1971</w:t>
      </w:r>
      <w:r w:rsidR="00EE0685" w:rsidRPr="00256A33">
        <w:rPr>
          <w:rStyle w:val="BodytextItalic"/>
          <w:i w:val="0"/>
          <w:sz w:val="22"/>
          <w:szCs w:val="22"/>
        </w:rPr>
        <w:t>,</w:t>
      </w:r>
      <w:r w:rsidR="00EE0685" w:rsidRPr="00FD431F">
        <w:rPr>
          <w:rStyle w:val="BodyText1"/>
          <w:sz w:val="22"/>
          <w:szCs w:val="22"/>
        </w:rPr>
        <w:t xml:space="preserve"> the Commonwealth is not obliged to provide, or arrange for the provision of, any tuition in an approved English course to a person if the person was granted a visa, whether or not after the commencement of this item, because the person satisfied paragraph 816.721(</w:t>
      </w:r>
      <w:r w:rsidR="00256A33">
        <w:rPr>
          <w:rStyle w:val="BodyText1"/>
          <w:sz w:val="22"/>
          <w:szCs w:val="22"/>
        </w:rPr>
        <w:t>1</w:t>
      </w:r>
      <w:r w:rsidR="00EE0685" w:rsidRPr="00FD431F">
        <w:rPr>
          <w:rStyle w:val="BodyText1"/>
          <w:sz w:val="22"/>
          <w:szCs w:val="22"/>
        </w:rPr>
        <w:t>)(a) or 818.721(</w:t>
      </w:r>
      <w:r w:rsidR="00256A33">
        <w:rPr>
          <w:rStyle w:val="BodyText1"/>
          <w:sz w:val="22"/>
          <w:szCs w:val="22"/>
        </w:rPr>
        <w:t>1</w:t>
      </w:r>
      <w:r w:rsidR="00EE0685" w:rsidRPr="00FD431F">
        <w:rPr>
          <w:rStyle w:val="BodyText1"/>
          <w:sz w:val="22"/>
          <w:szCs w:val="22"/>
        </w:rPr>
        <w:t>)(a) of the Migration (1993) Regulations.</w:t>
      </w:r>
    </w:p>
    <w:p w14:paraId="61C4688D" w14:textId="77777777" w:rsidR="00BE7709" w:rsidRPr="00FD431F" w:rsidRDefault="008F5D29" w:rsidP="00FD431F">
      <w:pPr>
        <w:pStyle w:val="BodyText2"/>
        <w:spacing w:before="120" w:line="240" w:lineRule="auto"/>
        <w:ind w:firstLine="360"/>
        <w:jc w:val="both"/>
        <w:rPr>
          <w:sz w:val="22"/>
          <w:szCs w:val="22"/>
        </w:rPr>
      </w:pPr>
      <w:r w:rsidRPr="00FD431F">
        <w:rPr>
          <w:rStyle w:val="BodyText1"/>
          <w:b/>
          <w:sz w:val="22"/>
          <w:szCs w:val="22"/>
        </w:rPr>
        <w:t>(2)</w:t>
      </w:r>
      <w:r w:rsidRPr="00FD431F">
        <w:rPr>
          <w:rStyle w:val="BodyText1"/>
          <w:sz w:val="22"/>
          <w:szCs w:val="22"/>
        </w:rPr>
        <w:t xml:space="preserve"> </w:t>
      </w:r>
      <w:r w:rsidR="00EE0685" w:rsidRPr="00FD431F">
        <w:rPr>
          <w:rStyle w:val="BodyText1"/>
          <w:sz w:val="22"/>
          <w:szCs w:val="22"/>
        </w:rPr>
        <w:t>If, immediately before the commencement of this item, the Commonwealth had an obligation under that Act to a person covered by subitem (1), that obligation ceases at the commencement of this item.</w:t>
      </w:r>
    </w:p>
    <w:p w14:paraId="46EBC828" w14:textId="77777777" w:rsidR="00BE7709" w:rsidRPr="00FD431F" w:rsidRDefault="00EE0685" w:rsidP="00FD431F">
      <w:pPr>
        <w:pStyle w:val="Bodytext30"/>
        <w:spacing w:before="120" w:line="240" w:lineRule="auto"/>
        <w:jc w:val="center"/>
        <w:rPr>
          <w:b/>
          <w:sz w:val="22"/>
          <w:szCs w:val="22"/>
        </w:rPr>
      </w:pPr>
      <w:r w:rsidRPr="00FD431F">
        <w:rPr>
          <w:rStyle w:val="Bodytext31"/>
          <w:b/>
          <w:i/>
          <w:iCs/>
          <w:sz w:val="22"/>
          <w:szCs w:val="22"/>
        </w:rPr>
        <w:t>Migration Act 1958</w:t>
      </w:r>
    </w:p>
    <w:p w14:paraId="5E6A85B0" w14:textId="77777777" w:rsidR="00BE7709" w:rsidRPr="00FD431F" w:rsidRDefault="008F5D29" w:rsidP="00FD431F">
      <w:pPr>
        <w:pStyle w:val="Bodytext60"/>
        <w:spacing w:before="120" w:line="240" w:lineRule="auto"/>
        <w:jc w:val="both"/>
        <w:rPr>
          <w:sz w:val="22"/>
          <w:szCs w:val="22"/>
        </w:rPr>
      </w:pPr>
      <w:r w:rsidRPr="00FD431F">
        <w:rPr>
          <w:sz w:val="22"/>
          <w:szCs w:val="22"/>
        </w:rPr>
        <w:t>2.</w:t>
      </w:r>
      <w:r w:rsidR="007E0DC0" w:rsidRPr="00FD431F">
        <w:rPr>
          <w:sz w:val="22"/>
          <w:szCs w:val="22"/>
        </w:rPr>
        <w:t xml:space="preserve"> </w:t>
      </w:r>
      <w:r w:rsidR="00EE0685" w:rsidRPr="00FD431F">
        <w:rPr>
          <w:sz w:val="22"/>
          <w:szCs w:val="22"/>
        </w:rPr>
        <w:t>Subsection 5(1) (definition of “visa tax”):</w:t>
      </w:r>
    </w:p>
    <w:p w14:paraId="3797A501" w14:textId="77777777" w:rsidR="00BE7709" w:rsidRPr="00FD431F" w:rsidRDefault="00EE0685" w:rsidP="00FD431F">
      <w:pPr>
        <w:pStyle w:val="BodyText2"/>
        <w:spacing w:before="120" w:line="240" w:lineRule="auto"/>
        <w:ind w:firstLine="270"/>
        <w:jc w:val="both"/>
        <w:rPr>
          <w:sz w:val="22"/>
          <w:szCs w:val="22"/>
        </w:rPr>
      </w:pPr>
      <w:r w:rsidRPr="00FD431F">
        <w:rPr>
          <w:rStyle w:val="BodyText1"/>
          <w:sz w:val="22"/>
          <w:szCs w:val="22"/>
        </w:rPr>
        <w:t>Omit the definition.</w:t>
      </w:r>
    </w:p>
    <w:p w14:paraId="4FA1D8B3" w14:textId="77777777" w:rsidR="00BE7709" w:rsidRPr="00FD431F" w:rsidRDefault="008F5D29" w:rsidP="00FD431F">
      <w:pPr>
        <w:pStyle w:val="Bodytext60"/>
        <w:spacing w:before="120" w:line="240" w:lineRule="auto"/>
        <w:jc w:val="both"/>
        <w:rPr>
          <w:sz w:val="22"/>
          <w:szCs w:val="22"/>
        </w:rPr>
      </w:pPr>
      <w:r w:rsidRPr="00FD431F">
        <w:rPr>
          <w:sz w:val="22"/>
          <w:szCs w:val="22"/>
        </w:rPr>
        <w:t>3.</w:t>
      </w:r>
      <w:r w:rsidR="007E0DC0" w:rsidRPr="00FD431F">
        <w:rPr>
          <w:sz w:val="22"/>
          <w:szCs w:val="22"/>
        </w:rPr>
        <w:t xml:space="preserve"> </w:t>
      </w:r>
      <w:r w:rsidR="00EE0685" w:rsidRPr="00FD431F">
        <w:rPr>
          <w:sz w:val="22"/>
          <w:szCs w:val="22"/>
        </w:rPr>
        <w:t>Subsection 64(4):</w:t>
      </w:r>
    </w:p>
    <w:p w14:paraId="0F0333DB" w14:textId="77777777" w:rsidR="00BE7709" w:rsidRPr="00FD431F" w:rsidRDefault="00EE0685" w:rsidP="00FD431F">
      <w:pPr>
        <w:pStyle w:val="BodyText2"/>
        <w:spacing w:before="120" w:line="240" w:lineRule="auto"/>
        <w:ind w:firstLine="270"/>
        <w:jc w:val="both"/>
        <w:rPr>
          <w:sz w:val="22"/>
          <w:szCs w:val="22"/>
        </w:rPr>
      </w:pPr>
      <w:r w:rsidRPr="00FD431F">
        <w:rPr>
          <w:rStyle w:val="BodyText1"/>
          <w:sz w:val="22"/>
          <w:szCs w:val="22"/>
        </w:rPr>
        <w:t>Omit the subsection.</w:t>
      </w:r>
    </w:p>
    <w:p w14:paraId="08E91075" w14:textId="77777777" w:rsidR="00BE7709" w:rsidRPr="00FD431F" w:rsidRDefault="008F5D29" w:rsidP="00FD431F">
      <w:pPr>
        <w:pStyle w:val="Bodytext60"/>
        <w:spacing w:before="120" w:line="240" w:lineRule="auto"/>
        <w:jc w:val="both"/>
        <w:rPr>
          <w:sz w:val="22"/>
          <w:szCs w:val="22"/>
        </w:rPr>
      </w:pPr>
      <w:r w:rsidRPr="00FD431F">
        <w:rPr>
          <w:sz w:val="22"/>
          <w:szCs w:val="22"/>
        </w:rPr>
        <w:t>4.</w:t>
      </w:r>
      <w:r w:rsidR="007E0DC0" w:rsidRPr="00FD431F">
        <w:rPr>
          <w:sz w:val="22"/>
          <w:szCs w:val="22"/>
        </w:rPr>
        <w:t xml:space="preserve"> </w:t>
      </w:r>
      <w:r w:rsidR="00EE0685" w:rsidRPr="00FD431F">
        <w:rPr>
          <w:sz w:val="22"/>
          <w:szCs w:val="22"/>
        </w:rPr>
        <w:t>Subparagraph 65(l)(a)(iv):</w:t>
      </w:r>
    </w:p>
    <w:p w14:paraId="70291F4F" w14:textId="77777777" w:rsidR="00BE7709" w:rsidRPr="00FD431F" w:rsidRDefault="00EE0685" w:rsidP="00FD431F">
      <w:pPr>
        <w:pStyle w:val="BodyText2"/>
        <w:spacing w:before="120" w:line="240" w:lineRule="auto"/>
        <w:ind w:firstLine="270"/>
        <w:jc w:val="both"/>
        <w:rPr>
          <w:sz w:val="22"/>
          <w:szCs w:val="22"/>
        </w:rPr>
      </w:pPr>
      <w:r w:rsidRPr="00FD431F">
        <w:rPr>
          <w:rStyle w:val="BodyText1"/>
          <w:sz w:val="22"/>
          <w:szCs w:val="22"/>
        </w:rPr>
        <w:t>Omit “any visa tax,”.</w:t>
      </w:r>
    </w:p>
    <w:p w14:paraId="74A30C7D" w14:textId="77777777" w:rsidR="00BE7709" w:rsidRPr="00FD431F" w:rsidRDefault="007E0DC0" w:rsidP="00FD431F">
      <w:pPr>
        <w:pStyle w:val="Bodytext60"/>
        <w:spacing w:before="120" w:line="240" w:lineRule="auto"/>
        <w:jc w:val="both"/>
        <w:rPr>
          <w:sz w:val="22"/>
          <w:szCs w:val="22"/>
        </w:rPr>
      </w:pPr>
      <w:r w:rsidRPr="00FD431F">
        <w:rPr>
          <w:sz w:val="22"/>
          <w:szCs w:val="22"/>
        </w:rPr>
        <w:t xml:space="preserve">5. </w:t>
      </w:r>
      <w:r w:rsidR="00EE0685" w:rsidRPr="00FD431F">
        <w:rPr>
          <w:sz w:val="22"/>
          <w:szCs w:val="22"/>
        </w:rPr>
        <w:t>Section 72:</w:t>
      </w:r>
    </w:p>
    <w:p w14:paraId="2E22FBBE" w14:textId="77777777" w:rsidR="00BE7709" w:rsidRPr="00FD431F" w:rsidRDefault="00EE0685" w:rsidP="00FD431F">
      <w:pPr>
        <w:pStyle w:val="BodyText2"/>
        <w:spacing w:before="120" w:line="240" w:lineRule="auto"/>
        <w:ind w:firstLine="270"/>
        <w:jc w:val="both"/>
        <w:rPr>
          <w:sz w:val="22"/>
          <w:szCs w:val="22"/>
        </w:rPr>
      </w:pPr>
      <w:r w:rsidRPr="00FD431F">
        <w:rPr>
          <w:rStyle w:val="BodyText1"/>
          <w:sz w:val="22"/>
          <w:szCs w:val="22"/>
        </w:rPr>
        <w:t>Add at the end:</w:t>
      </w:r>
    </w:p>
    <w:p w14:paraId="0F2063E5" w14:textId="77777777" w:rsidR="00BE7709" w:rsidRPr="00FD431F" w:rsidRDefault="00707F7A" w:rsidP="00FD431F">
      <w:pPr>
        <w:pStyle w:val="BodyText2"/>
        <w:spacing w:before="120" w:line="240" w:lineRule="auto"/>
        <w:ind w:firstLine="0"/>
        <w:jc w:val="both"/>
        <w:rPr>
          <w:sz w:val="22"/>
          <w:szCs w:val="22"/>
        </w:rPr>
      </w:pPr>
      <w:r w:rsidRPr="00FD431F">
        <w:rPr>
          <w:rStyle w:val="BodyText1"/>
          <w:sz w:val="22"/>
          <w:szCs w:val="22"/>
        </w:rPr>
        <w:t xml:space="preserve">“; </w:t>
      </w:r>
      <w:r w:rsidR="00EE0685" w:rsidRPr="00FD431F">
        <w:rPr>
          <w:rStyle w:val="BodyText1"/>
          <w:sz w:val="22"/>
          <w:szCs w:val="22"/>
        </w:rPr>
        <w:t>or (c) the Minister has determined to be an eligible non-citizen.</w:t>
      </w:r>
    </w:p>
    <w:p w14:paraId="68A500AF" w14:textId="77777777" w:rsidR="00BE7709" w:rsidRPr="00FD431F" w:rsidRDefault="00EE0685" w:rsidP="00FD431F">
      <w:pPr>
        <w:pStyle w:val="BodyText2"/>
        <w:spacing w:before="120" w:line="240" w:lineRule="auto"/>
        <w:ind w:firstLine="270"/>
        <w:jc w:val="both"/>
        <w:rPr>
          <w:sz w:val="22"/>
          <w:szCs w:val="22"/>
        </w:rPr>
      </w:pPr>
      <w:r w:rsidRPr="00FD431F">
        <w:rPr>
          <w:rStyle w:val="BodyText1"/>
          <w:sz w:val="22"/>
          <w:szCs w:val="22"/>
        </w:rPr>
        <w:t>“(2) The Minister may make a determination under paragraph (1)(c) that a non-citizen is an eligible non-citizen if:</w:t>
      </w:r>
    </w:p>
    <w:p w14:paraId="1D183821" w14:textId="77777777" w:rsidR="00707F7A" w:rsidRPr="00FD431F" w:rsidRDefault="00707F7A" w:rsidP="00FD431F">
      <w:pPr>
        <w:spacing w:before="120"/>
        <w:ind w:left="585" w:hanging="297"/>
        <w:rPr>
          <w:rStyle w:val="Bodytext31"/>
          <w:rFonts w:eastAsia="Courier New"/>
          <w:i w:val="0"/>
          <w:iCs w:val="0"/>
          <w:sz w:val="22"/>
          <w:szCs w:val="22"/>
        </w:rPr>
      </w:pPr>
      <w:r w:rsidRPr="00FD431F">
        <w:rPr>
          <w:rStyle w:val="Bodytext31"/>
          <w:rFonts w:eastAsia="Courier New"/>
          <w:i w:val="0"/>
          <w:iCs w:val="0"/>
          <w:sz w:val="22"/>
          <w:szCs w:val="22"/>
        </w:rPr>
        <w:t>(a) the non-citizen was an unlawful non-citizen when he or she entered the migration zone; and</w:t>
      </w:r>
    </w:p>
    <w:p w14:paraId="452E1BCF" w14:textId="77777777" w:rsidR="00707F7A" w:rsidRPr="00FD431F" w:rsidRDefault="00707F7A" w:rsidP="00FD431F">
      <w:pPr>
        <w:spacing w:before="120"/>
        <w:ind w:left="585" w:hanging="297"/>
        <w:rPr>
          <w:rStyle w:val="Bodytext31"/>
          <w:rFonts w:eastAsia="Courier New"/>
          <w:i w:val="0"/>
          <w:iCs w:val="0"/>
          <w:sz w:val="22"/>
          <w:szCs w:val="22"/>
        </w:rPr>
      </w:pPr>
      <w:r w:rsidRPr="00FD431F">
        <w:rPr>
          <w:rStyle w:val="Bodytext31"/>
          <w:rFonts w:eastAsia="Courier New"/>
          <w:i w:val="0"/>
          <w:iCs w:val="0"/>
          <w:sz w:val="22"/>
          <w:szCs w:val="22"/>
        </w:rPr>
        <w:t>(b) the non-citizen made a valid application for a protection visa after he or she arrived in Australia; and</w:t>
      </w:r>
    </w:p>
    <w:p w14:paraId="14EDBB87" w14:textId="77777777" w:rsidR="00707F7A" w:rsidRPr="00FD431F" w:rsidRDefault="00707F7A" w:rsidP="00FD431F">
      <w:pPr>
        <w:spacing w:before="120"/>
        <w:ind w:left="585" w:hanging="297"/>
        <w:rPr>
          <w:rStyle w:val="Bodytext31"/>
          <w:rFonts w:eastAsia="Courier New"/>
          <w:i w:val="0"/>
          <w:iCs w:val="0"/>
          <w:sz w:val="22"/>
          <w:szCs w:val="22"/>
        </w:rPr>
      </w:pPr>
      <w:r w:rsidRPr="00FD431F">
        <w:rPr>
          <w:rStyle w:val="Bodytext31"/>
          <w:rFonts w:eastAsia="Courier New"/>
          <w:i w:val="0"/>
          <w:iCs w:val="0"/>
          <w:sz w:val="22"/>
          <w:szCs w:val="22"/>
        </w:rPr>
        <w:t>(c) the non-citizen has been in immigration detention for a period of more than 6 months after the application for a protection visa was made; and</w:t>
      </w:r>
    </w:p>
    <w:p w14:paraId="7F3FF006" w14:textId="77777777" w:rsidR="00707F7A" w:rsidRPr="00FD431F" w:rsidRDefault="00707F7A" w:rsidP="00FD431F">
      <w:pPr>
        <w:spacing w:before="120"/>
        <w:ind w:left="585" w:hanging="297"/>
        <w:rPr>
          <w:rStyle w:val="Bodytext31"/>
          <w:rFonts w:eastAsia="Courier New"/>
          <w:i w:val="0"/>
          <w:iCs w:val="0"/>
          <w:sz w:val="22"/>
          <w:szCs w:val="22"/>
        </w:rPr>
      </w:pPr>
      <w:r w:rsidRPr="00FD431F">
        <w:rPr>
          <w:rStyle w:val="Bodytext31"/>
          <w:rFonts w:eastAsia="Courier New"/>
          <w:i w:val="0"/>
          <w:iCs w:val="0"/>
          <w:sz w:val="22"/>
          <w:szCs w:val="22"/>
        </w:rPr>
        <w:t>(d) the Minister has not made a primary decision in relation to the application for a protection visa; and</w:t>
      </w:r>
    </w:p>
    <w:p w14:paraId="52E8090B" w14:textId="77777777" w:rsidR="00707F7A" w:rsidRPr="00FD431F" w:rsidRDefault="00707F7A" w:rsidP="00FD431F">
      <w:pPr>
        <w:spacing w:before="120"/>
        <w:ind w:left="585" w:hanging="297"/>
        <w:rPr>
          <w:rStyle w:val="Bodytext31"/>
          <w:rFonts w:eastAsia="Courier New"/>
          <w:i w:val="0"/>
          <w:iCs w:val="0"/>
          <w:sz w:val="22"/>
          <w:szCs w:val="22"/>
        </w:rPr>
      </w:pPr>
      <w:r w:rsidRPr="00FD431F">
        <w:rPr>
          <w:rStyle w:val="Bodytext31"/>
          <w:rFonts w:eastAsia="Courier New"/>
          <w:i w:val="0"/>
          <w:iCs w:val="0"/>
          <w:sz w:val="22"/>
          <w:szCs w:val="22"/>
        </w:rPr>
        <w:t>(e) the Minister thinks that the determination would be in the public interest.</w:t>
      </w:r>
    </w:p>
    <w:p w14:paraId="2AAFD65F" w14:textId="77777777" w:rsidR="00707F7A" w:rsidRPr="00FD431F" w:rsidRDefault="00707F7A" w:rsidP="00FD431F">
      <w:pPr>
        <w:rPr>
          <w:rStyle w:val="Bodytext31"/>
          <w:rFonts w:eastAsia="Courier New"/>
          <w:sz w:val="22"/>
          <w:szCs w:val="22"/>
        </w:rPr>
      </w:pPr>
      <w:r w:rsidRPr="00FD431F">
        <w:rPr>
          <w:rStyle w:val="Bodytext31"/>
          <w:rFonts w:eastAsia="Courier New"/>
          <w:i w:val="0"/>
          <w:iCs w:val="0"/>
          <w:sz w:val="22"/>
          <w:szCs w:val="22"/>
        </w:rPr>
        <w:br w:type="page"/>
      </w:r>
    </w:p>
    <w:p w14:paraId="36BFB927" w14:textId="77777777" w:rsidR="00BE7709" w:rsidRPr="00FD431F" w:rsidRDefault="00EE0685" w:rsidP="00FD431F">
      <w:pPr>
        <w:pStyle w:val="BodyText2"/>
        <w:spacing w:line="240" w:lineRule="auto"/>
        <w:ind w:firstLine="0"/>
        <w:jc w:val="center"/>
        <w:rPr>
          <w:sz w:val="22"/>
          <w:szCs w:val="22"/>
        </w:rPr>
      </w:pPr>
      <w:r w:rsidRPr="00FD431F">
        <w:rPr>
          <w:rStyle w:val="BodyText1"/>
          <w:b/>
          <w:sz w:val="22"/>
          <w:szCs w:val="22"/>
        </w:rPr>
        <w:lastRenderedPageBreak/>
        <w:t>SCHEDULE 1</w:t>
      </w:r>
      <w:r w:rsidRPr="00FD431F">
        <w:rPr>
          <w:rStyle w:val="BodyText1"/>
          <w:sz w:val="22"/>
          <w:szCs w:val="22"/>
        </w:rPr>
        <w:t>—continued</w:t>
      </w:r>
    </w:p>
    <w:p w14:paraId="742EE14F" w14:textId="77777777" w:rsidR="00BE7709" w:rsidRPr="00FD431F" w:rsidRDefault="00EE0685" w:rsidP="00FD431F">
      <w:pPr>
        <w:pStyle w:val="BodyText2"/>
        <w:spacing w:before="120" w:line="240" w:lineRule="auto"/>
        <w:ind w:firstLine="270"/>
        <w:jc w:val="both"/>
        <w:rPr>
          <w:sz w:val="22"/>
          <w:szCs w:val="22"/>
        </w:rPr>
      </w:pPr>
      <w:r w:rsidRPr="00FD431F">
        <w:rPr>
          <w:rStyle w:val="BodyText1"/>
          <w:sz w:val="22"/>
          <w:szCs w:val="22"/>
        </w:rPr>
        <w:t>“(3) The power to make a determination under paragraph (1)(c) may only be exercised by the Minister personally.</w:t>
      </w:r>
    </w:p>
    <w:p w14:paraId="4586933A" w14:textId="77777777" w:rsidR="00BE7709" w:rsidRPr="00FD431F" w:rsidRDefault="00EE0685" w:rsidP="00FD431F">
      <w:pPr>
        <w:pStyle w:val="BodyText2"/>
        <w:spacing w:before="120" w:line="240" w:lineRule="auto"/>
        <w:ind w:firstLine="270"/>
        <w:jc w:val="both"/>
        <w:rPr>
          <w:sz w:val="22"/>
          <w:szCs w:val="22"/>
        </w:rPr>
      </w:pPr>
      <w:r w:rsidRPr="00FD431F">
        <w:rPr>
          <w:rStyle w:val="BodyText1"/>
          <w:sz w:val="22"/>
          <w:szCs w:val="22"/>
        </w:rPr>
        <w:t>“(4) If the Minister makes a determination under paragraph (1)(c), he or she is to cause to be laid before each House of the Parliament a statement that:</w:t>
      </w:r>
    </w:p>
    <w:p w14:paraId="56CAF7E7" w14:textId="77777777" w:rsidR="00BE7709" w:rsidRPr="00FD431F" w:rsidRDefault="00707F7A" w:rsidP="00FD431F">
      <w:pPr>
        <w:spacing w:before="120"/>
        <w:ind w:left="562" w:hanging="274"/>
        <w:rPr>
          <w:rFonts w:ascii="Times New Roman" w:hAnsi="Times New Roman" w:cs="Times New Roman"/>
          <w:sz w:val="22"/>
          <w:szCs w:val="22"/>
        </w:rPr>
      </w:pPr>
      <w:r w:rsidRPr="00FD431F">
        <w:rPr>
          <w:rStyle w:val="BodyText1"/>
          <w:rFonts w:eastAsia="Courier New"/>
          <w:sz w:val="22"/>
          <w:szCs w:val="22"/>
        </w:rPr>
        <w:t xml:space="preserve">(a) </w:t>
      </w:r>
      <w:r w:rsidR="00EE0685" w:rsidRPr="00FD431F">
        <w:rPr>
          <w:rStyle w:val="BodyText1"/>
          <w:rFonts w:eastAsia="Courier New"/>
          <w:sz w:val="22"/>
          <w:szCs w:val="22"/>
        </w:rPr>
        <w:t>sets out the determination; and</w:t>
      </w:r>
    </w:p>
    <w:p w14:paraId="43953EF8" w14:textId="77777777" w:rsidR="00BE7709" w:rsidRPr="00FD431F" w:rsidRDefault="00707F7A" w:rsidP="00FD431F">
      <w:pPr>
        <w:spacing w:before="120"/>
        <w:ind w:left="562" w:hanging="274"/>
        <w:rPr>
          <w:rFonts w:ascii="Times New Roman" w:hAnsi="Times New Roman" w:cs="Times New Roman"/>
          <w:sz w:val="22"/>
          <w:szCs w:val="22"/>
        </w:rPr>
      </w:pPr>
      <w:r w:rsidRPr="00FD431F">
        <w:rPr>
          <w:rStyle w:val="BodyText1"/>
          <w:rFonts w:eastAsia="Courier New"/>
          <w:sz w:val="22"/>
          <w:szCs w:val="22"/>
        </w:rPr>
        <w:t xml:space="preserve">(b) </w:t>
      </w:r>
      <w:r w:rsidR="00EE0685" w:rsidRPr="00FD431F">
        <w:rPr>
          <w:rStyle w:val="BodyText1"/>
          <w:rFonts w:eastAsia="Courier New"/>
          <w:sz w:val="22"/>
          <w:szCs w:val="22"/>
        </w:rPr>
        <w:t>sets out the reasons for the determination, referring in particular to the Minister’s reasons for thinking that his or her actions are in the public interest.</w:t>
      </w:r>
    </w:p>
    <w:p w14:paraId="4F9D9911" w14:textId="77777777" w:rsidR="00BE7709" w:rsidRPr="00FD431F" w:rsidRDefault="00EE0685" w:rsidP="00FD431F">
      <w:pPr>
        <w:pStyle w:val="BodyText2"/>
        <w:spacing w:before="120" w:line="240" w:lineRule="auto"/>
        <w:ind w:firstLine="270"/>
        <w:jc w:val="both"/>
        <w:rPr>
          <w:sz w:val="22"/>
          <w:szCs w:val="22"/>
        </w:rPr>
      </w:pPr>
      <w:r w:rsidRPr="00FD431F">
        <w:rPr>
          <w:rStyle w:val="BodyText1"/>
          <w:sz w:val="22"/>
          <w:szCs w:val="22"/>
        </w:rPr>
        <w:t>“(5) A statement made under subsection (4) is not to include:</w:t>
      </w:r>
    </w:p>
    <w:p w14:paraId="6C060D5F" w14:textId="77777777" w:rsidR="00BE7709" w:rsidRPr="00FD431F" w:rsidRDefault="00707F7A" w:rsidP="00FD431F">
      <w:pPr>
        <w:spacing w:before="120"/>
        <w:ind w:left="562" w:hanging="274"/>
        <w:rPr>
          <w:rFonts w:ascii="Times New Roman" w:hAnsi="Times New Roman" w:cs="Times New Roman"/>
          <w:sz w:val="22"/>
          <w:szCs w:val="22"/>
        </w:rPr>
      </w:pPr>
      <w:r w:rsidRPr="00FD431F">
        <w:rPr>
          <w:rStyle w:val="BodyText1"/>
          <w:rFonts w:eastAsia="Courier New"/>
          <w:sz w:val="22"/>
          <w:szCs w:val="22"/>
        </w:rPr>
        <w:t xml:space="preserve">(a) </w:t>
      </w:r>
      <w:r w:rsidR="00EE0685" w:rsidRPr="00FD431F">
        <w:rPr>
          <w:rStyle w:val="BodyText1"/>
          <w:rFonts w:eastAsia="Courier New"/>
          <w:sz w:val="22"/>
          <w:szCs w:val="22"/>
        </w:rPr>
        <w:t>the name of any non-citizen who is the subject of the determination; or</w:t>
      </w:r>
    </w:p>
    <w:p w14:paraId="3F3BDA71" w14:textId="77777777" w:rsidR="00BE7709" w:rsidRPr="00FD431F" w:rsidRDefault="00707F7A" w:rsidP="00FD431F">
      <w:pPr>
        <w:spacing w:before="120"/>
        <w:ind w:left="562" w:hanging="274"/>
        <w:rPr>
          <w:rFonts w:ascii="Times New Roman" w:hAnsi="Times New Roman" w:cs="Times New Roman"/>
          <w:sz w:val="22"/>
          <w:szCs w:val="22"/>
        </w:rPr>
      </w:pPr>
      <w:r w:rsidRPr="00FD431F">
        <w:rPr>
          <w:rStyle w:val="BodyText1"/>
          <w:rFonts w:eastAsia="Courier New"/>
          <w:sz w:val="22"/>
          <w:szCs w:val="22"/>
        </w:rPr>
        <w:t xml:space="preserve">(b) </w:t>
      </w:r>
      <w:r w:rsidR="00EE0685" w:rsidRPr="00FD431F">
        <w:rPr>
          <w:rStyle w:val="BodyText1"/>
          <w:rFonts w:eastAsia="Courier New"/>
          <w:sz w:val="22"/>
          <w:szCs w:val="22"/>
        </w:rPr>
        <w:t>any information that may identify the non-citizen; or</w:t>
      </w:r>
    </w:p>
    <w:p w14:paraId="7637EE4D" w14:textId="77777777" w:rsidR="00BE7709" w:rsidRPr="00FD431F" w:rsidRDefault="00707F7A" w:rsidP="00FD431F">
      <w:pPr>
        <w:spacing w:before="120"/>
        <w:ind w:left="562" w:hanging="274"/>
        <w:rPr>
          <w:rFonts w:ascii="Times New Roman" w:hAnsi="Times New Roman" w:cs="Times New Roman"/>
          <w:sz w:val="22"/>
          <w:szCs w:val="22"/>
        </w:rPr>
      </w:pPr>
      <w:r w:rsidRPr="00FD431F">
        <w:rPr>
          <w:rStyle w:val="BodyText1"/>
          <w:rFonts w:eastAsia="Courier New"/>
          <w:sz w:val="22"/>
          <w:szCs w:val="22"/>
        </w:rPr>
        <w:t xml:space="preserve">(c) </w:t>
      </w:r>
      <w:r w:rsidR="00EE0685" w:rsidRPr="00FD431F">
        <w:rPr>
          <w:rStyle w:val="BodyText1"/>
          <w:rFonts w:eastAsia="Courier New"/>
          <w:sz w:val="22"/>
          <w:szCs w:val="22"/>
        </w:rPr>
        <w:t>if the Minister thinks that it would not be in the public interest to publish the name of another person connected in any way with the matter concerned—the name of that other person, or any information that may identify the person.</w:t>
      </w:r>
    </w:p>
    <w:p w14:paraId="5ABDE43A" w14:textId="77777777" w:rsidR="00BE7709" w:rsidRPr="00FD431F" w:rsidRDefault="00EE0685" w:rsidP="00FD431F">
      <w:pPr>
        <w:pStyle w:val="BodyText2"/>
        <w:spacing w:before="120" w:line="240" w:lineRule="auto"/>
        <w:ind w:firstLine="270"/>
        <w:jc w:val="both"/>
        <w:rPr>
          <w:sz w:val="22"/>
          <w:szCs w:val="22"/>
        </w:rPr>
      </w:pPr>
      <w:r w:rsidRPr="00FD431F">
        <w:rPr>
          <w:rStyle w:val="BodyText1"/>
          <w:sz w:val="22"/>
          <w:szCs w:val="22"/>
        </w:rPr>
        <w:t>“(6) A statement under subsection (4) is to be laid before each House of the Parliament within 15 sitting days of that House after:</w:t>
      </w:r>
    </w:p>
    <w:p w14:paraId="41E96068" w14:textId="77777777" w:rsidR="00BE7709" w:rsidRPr="00FD431F" w:rsidRDefault="00707F7A" w:rsidP="00FD431F">
      <w:pPr>
        <w:spacing w:before="120"/>
        <w:ind w:left="562" w:hanging="274"/>
        <w:rPr>
          <w:rFonts w:ascii="Times New Roman" w:hAnsi="Times New Roman" w:cs="Times New Roman"/>
          <w:sz w:val="22"/>
          <w:szCs w:val="22"/>
        </w:rPr>
      </w:pPr>
      <w:r w:rsidRPr="00FD431F">
        <w:rPr>
          <w:rStyle w:val="BodyText1"/>
          <w:rFonts w:eastAsia="Courier New"/>
          <w:sz w:val="22"/>
          <w:szCs w:val="22"/>
        </w:rPr>
        <w:t xml:space="preserve">(a) </w:t>
      </w:r>
      <w:r w:rsidR="00EE0685" w:rsidRPr="00FD431F">
        <w:rPr>
          <w:rStyle w:val="BodyText1"/>
          <w:rFonts w:eastAsia="Courier New"/>
          <w:sz w:val="22"/>
          <w:szCs w:val="22"/>
        </w:rPr>
        <w:t>if the determination is made between 1 January and 30 June (inclusive) in a year—1 July in that year; or</w:t>
      </w:r>
    </w:p>
    <w:p w14:paraId="31245FBB" w14:textId="77777777" w:rsidR="00BE7709" w:rsidRPr="00FD431F" w:rsidRDefault="00707F7A" w:rsidP="00FD431F">
      <w:pPr>
        <w:spacing w:before="120"/>
        <w:ind w:left="562" w:hanging="274"/>
        <w:rPr>
          <w:rFonts w:ascii="Times New Roman" w:hAnsi="Times New Roman" w:cs="Times New Roman"/>
          <w:sz w:val="22"/>
          <w:szCs w:val="22"/>
        </w:rPr>
      </w:pPr>
      <w:r w:rsidRPr="00FD431F">
        <w:rPr>
          <w:rStyle w:val="BodyText1"/>
          <w:rFonts w:eastAsia="Courier New"/>
          <w:sz w:val="22"/>
          <w:szCs w:val="22"/>
        </w:rPr>
        <w:t xml:space="preserve">(b) </w:t>
      </w:r>
      <w:r w:rsidR="00EE0685" w:rsidRPr="00FD431F">
        <w:rPr>
          <w:rStyle w:val="BodyText1"/>
          <w:rFonts w:eastAsia="Courier New"/>
          <w:sz w:val="22"/>
          <w:szCs w:val="22"/>
        </w:rPr>
        <w:t>if the determination is made between 1 July and 31 December (inclusive) in a year—1 January in the following year.</w:t>
      </w:r>
    </w:p>
    <w:p w14:paraId="5B795CA1" w14:textId="2A3AF49B" w:rsidR="00BE7709" w:rsidRPr="00FD431F" w:rsidRDefault="00EE0685" w:rsidP="00FD431F">
      <w:pPr>
        <w:pStyle w:val="BodyText2"/>
        <w:spacing w:before="120" w:line="240" w:lineRule="auto"/>
        <w:ind w:firstLine="270"/>
        <w:jc w:val="both"/>
        <w:rPr>
          <w:sz w:val="22"/>
          <w:szCs w:val="22"/>
        </w:rPr>
      </w:pPr>
      <w:r w:rsidRPr="00FD431F">
        <w:rPr>
          <w:rStyle w:val="BodyText1"/>
          <w:sz w:val="22"/>
          <w:szCs w:val="22"/>
        </w:rPr>
        <w:t>“(7) The Minister does not have a duty to consider whether to make a determination under paragraph (</w:t>
      </w:r>
      <w:r w:rsidR="00256A33">
        <w:rPr>
          <w:rStyle w:val="BodyText1"/>
          <w:sz w:val="22"/>
          <w:szCs w:val="22"/>
        </w:rPr>
        <w:t>1</w:t>
      </w:r>
      <w:r w:rsidRPr="00FD431F">
        <w:rPr>
          <w:rStyle w:val="BodyText1"/>
          <w:sz w:val="22"/>
          <w:szCs w:val="22"/>
        </w:rPr>
        <w:t>)(c) in respect of any non-citizen, whether he or she is requested to do so by the non-citizen or any other person, or in any other circumstances.”.</w:t>
      </w:r>
    </w:p>
    <w:p w14:paraId="59E36234" w14:textId="77777777" w:rsidR="00BE7709" w:rsidRPr="00FD431F" w:rsidRDefault="001C6ACB" w:rsidP="00FD431F">
      <w:pPr>
        <w:pStyle w:val="Bodytext60"/>
        <w:spacing w:before="120" w:line="240" w:lineRule="auto"/>
        <w:jc w:val="both"/>
        <w:rPr>
          <w:sz w:val="22"/>
          <w:szCs w:val="22"/>
        </w:rPr>
      </w:pPr>
      <w:r w:rsidRPr="00FD431F">
        <w:rPr>
          <w:sz w:val="22"/>
          <w:szCs w:val="22"/>
        </w:rPr>
        <w:t xml:space="preserve">6. </w:t>
      </w:r>
      <w:r w:rsidR="00EE0685" w:rsidRPr="00FD431F">
        <w:rPr>
          <w:sz w:val="22"/>
          <w:szCs w:val="22"/>
        </w:rPr>
        <w:t>Paragraph 84(3)(b):</w:t>
      </w:r>
    </w:p>
    <w:p w14:paraId="033B5D4E" w14:textId="77777777" w:rsidR="00BE7709" w:rsidRPr="00FD431F" w:rsidRDefault="00EE0685" w:rsidP="00FD431F">
      <w:pPr>
        <w:pStyle w:val="BodyText2"/>
        <w:spacing w:before="120" w:line="240" w:lineRule="auto"/>
        <w:ind w:firstLine="270"/>
        <w:jc w:val="both"/>
        <w:rPr>
          <w:sz w:val="22"/>
          <w:szCs w:val="22"/>
        </w:rPr>
      </w:pPr>
      <w:r w:rsidRPr="00FD431F">
        <w:rPr>
          <w:rStyle w:val="BodyText1"/>
          <w:sz w:val="22"/>
          <w:szCs w:val="22"/>
        </w:rPr>
        <w:t>Omit “valid permanent visa”, substitute “permanent visa that is in effect”.</w:t>
      </w:r>
    </w:p>
    <w:p w14:paraId="177728D8" w14:textId="77777777" w:rsidR="00BE7709" w:rsidRPr="00FD431F" w:rsidRDefault="00707F7A" w:rsidP="00FD431F">
      <w:pPr>
        <w:pStyle w:val="Bodytext60"/>
        <w:spacing w:before="120" w:line="240" w:lineRule="auto"/>
        <w:jc w:val="both"/>
        <w:rPr>
          <w:sz w:val="22"/>
          <w:szCs w:val="22"/>
        </w:rPr>
      </w:pPr>
      <w:r w:rsidRPr="00FD431F">
        <w:rPr>
          <w:sz w:val="22"/>
          <w:szCs w:val="22"/>
        </w:rPr>
        <w:t>7.</w:t>
      </w:r>
      <w:r w:rsidR="001C6ACB" w:rsidRPr="00FD431F">
        <w:rPr>
          <w:sz w:val="22"/>
          <w:szCs w:val="22"/>
        </w:rPr>
        <w:t xml:space="preserve"> </w:t>
      </w:r>
      <w:r w:rsidR="00EE0685" w:rsidRPr="00FD431F">
        <w:rPr>
          <w:sz w:val="22"/>
          <w:szCs w:val="22"/>
        </w:rPr>
        <w:t>Paragraph 222(7)(a):</w:t>
      </w:r>
    </w:p>
    <w:p w14:paraId="5166A017" w14:textId="77777777" w:rsidR="00BE7709" w:rsidRPr="00FD431F" w:rsidRDefault="00EE0685" w:rsidP="00FD431F">
      <w:pPr>
        <w:pStyle w:val="BodyText2"/>
        <w:spacing w:before="120" w:line="240" w:lineRule="auto"/>
        <w:ind w:firstLine="270"/>
        <w:jc w:val="both"/>
        <w:rPr>
          <w:sz w:val="22"/>
          <w:szCs w:val="22"/>
        </w:rPr>
      </w:pPr>
      <w:r w:rsidRPr="00FD431F">
        <w:rPr>
          <w:rStyle w:val="BodyText1"/>
          <w:sz w:val="22"/>
          <w:szCs w:val="22"/>
        </w:rPr>
        <w:t>Omit “deportee’s” (wherever occurring), substitute “non-citizen’s”.</w:t>
      </w:r>
    </w:p>
    <w:p w14:paraId="691876FB" w14:textId="77777777" w:rsidR="00BE7709" w:rsidRPr="00FD431F" w:rsidRDefault="00707F7A" w:rsidP="00FD431F">
      <w:pPr>
        <w:pStyle w:val="Bodytext60"/>
        <w:spacing w:before="120" w:line="240" w:lineRule="auto"/>
        <w:jc w:val="both"/>
        <w:rPr>
          <w:sz w:val="22"/>
          <w:szCs w:val="22"/>
        </w:rPr>
      </w:pPr>
      <w:r w:rsidRPr="00FD431F">
        <w:rPr>
          <w:sz w:val="22"/>
          <w:szCs w:val="22"/>
        </w:rPr>
        <w:t>8.</w:t>
      </w:r>
      <w:r w:rsidR="001C6ACB" w:rsidRPr="00FD431F">
        <w:rPr>
          <w:sz w:val="22"/>
          <w:szCs w:val="22"/>
        </w:rPr>
        <w:t xml:space="preserve"> </w:t>
      </w:r>
      <w:r w:rsidR="00EE0685" w:rsidRPr="00FD431F">
        <w:rPr>
          <w:sz w:val="22"/>
          <w:szCs w:val="22"/>
        </w:rPr>
        <w:t>Division 7 of Part 3 (heading):</w:t>
      </w:r>
    </w:p>
    <w:p w14:paraId="6A997936" w14:textId="4C5DF8A7" w:rsidR="00BE7709" w:rsidRPr="00FD431F" w:rsidRDefault="00EE0685" w:rsidP="00FD431F">
      <w:pPr>
        <w:pStyle w:val="BodyText2"/>
        <w:spacing w:before="120" w:line="240" w:lineRule="auto"/>
        <w:ind w:firstLine="270"/>
        <w:jc w:val="both"/>
        <w:rPr>
          <w:sz w:val="22"/>
          <w:szCs w:val="22"/>
        </w:rPr>
      </w:pPr>
      <w:r w:rsidRPr="00FD431F">
        <w:rPr>
          <w:rStyle w:val="BodyText1"/>
          <w:sz w:val="22"/>
          <w:szCs w:val="22"/>
        </w:rPr>
        <w:t>Omit “</w:t>
      </w:r>
      <w:r w:rsidRPr="00256A33">
        <w:rPr>
          <w:rStyle w:val="BodyText1"/>
          <w:b/>
          <w:i/>
          <w:sz w:val="22"/>
          <w:szCs w:val="22"/>
        </w:rPr>
        <w:t>3</w:t>
      </w:r>
      <w:r w:rsidRPr="00256A33">
        <w:rPr>
          <w:rStyle w:val="BodyText1"/>
          <w:b/>
          <w:sz w:val="22"/>
          <w:szCs w:val="22"/>
        </w:rPr>
        <w:t xml:space="preserve"> </w:t>
      </w:r>
      <w:r w:rsidRPr="00256A33">
        <w:rPr>
          <w:rStyle w:val="BodytextItalic"/>
          <w:b/>
          <w:sz w:val="22"/>
          <w:szCs w:val="22"/>
        </w:rPr>
        <w:t>years</w:t>
      </w:r>
      <w:r w:rsidRPr="00FD431F">
        <w:rPr>
          <w:rStyle w:val="BodytextItalic"/>
          <w:sz w:val="22"/>
          <w:szCs w:val="22"/>
        </w:rPr>
        <w:t>",</w:t>
      </w:r>
      <w:r w:rsidRPr="00FD431F">
        <w:rPr>
          <w:rStyle w:val="BodyText1"/>
          <w:sz w:val="22"/>
          <w:szCs w:val="22"/>
        </w:rPr>
        <w:t xml:space="preserve"> substitute </w:t>
      </w:r>
      <w:r w:rsidRPr="00FD431F">
        <w:rPr>
          <w:rStyle w:val="BodytextItalic"/>
          <w:sz w:val="22"/>
          <w:szCs w:val="22"/>
        </w:rPr>
        <w:t>"</w:t>
      </w:r>
      <w:r w:rsidRPr="00256A33">
        <w:rPr>
          <w:rStyle w:val="BodytextItalic"/>
          <w:b/>
          <w:sz w:val="22"/>
          <w:szCs w:val="22"/>
        </w:rPr>
        <w:t>4 years</w:t>
      </w:r>
      <w:r w:rsidRPr="00FD431F">
        <w:rPr>
          <w:rStyle w:val="BodytextItalic"/>
          <w:sz w:val="22"/>
          <w:szCs w:val="22"/>
        </w:rPr>
        <w:t>”.</w:t>
      </w:r>
    </w:p>
    <w:p w14:paraId="1CCBFA64" w14:textId="77777777" w:rsidR="00BE7709" w:rsidRPr="00FD431F" w:rsidRDefault="00707F7A" w:rsidP="00FD431F">
      <w:pPr>
        <w:pStyle w:val="Bodytext60"/>
        <w:spacing w:before="120" w:line="240" w:lineRule="auto"/>
        <w:jc w:val="both"/>
        <w:rPr>
          <w:sz w:val="22"/>
          <w:szCs w:val="22"/>
        </w:rPr>
      </w:pPr>
      <w:r w:rsidRPr="00FD431F">
        <w:rPr>
          <w:sz w:val="22"/>
          <w:szCs w:val="22"/>
        </w:rPr>
        <w:t>9.</w:t>
      </w:r>
      <w:r w:rsidR="001C6ACB" w:rsidRPr="00FD431F">
        <w:rPr>
          <w:sz w:val="22"/>
          <w:szCs w:val="22"/>
        </w:rPr>
        <w:t xml:space="preserve"> </w:t>
      </w:r>
      <w:r w:rsidR="00EE0685" w:rsidRPr="00FD431F">
        <w:rPr>
          <w:sz w:val="22"/>
          <w:szCs w:val="22"/>
        </w:rPr>
        <w:t>Subsection 333(1):</w:t>
      </w:r>
    </w:p>
    <w:p w14:paraId="585185C6" w14:textId="77777777" w:rsidR="00BE7709" w:rsidRPr="00FD431F" w:rsidRDefault="00EE0685" w:rsidP="00FD431F">
      <w:pPr>
        <w:pStyle w:val="BodyText2"/>
        <w:spacing w:before="120" w:line="240" w:lineRule="auto"/>
        <w:ind w:firstLine="270"/>
        <w:jc w:val="both"/>
        <w:rPr>
          <w:sz w:val="22"/>
          <w:szCs w:val="22"/>
        </w:rPr>
      </w:pPr>
      <w:r w:rsidRPr="00FD431F">
        <w:rPr>
          <w:rStyle w:val="BodyText1"/>
          <w:sz w:val="22"/>
          <w:szCs w:val="22"/>
        </w:rPr>
        <w:t>Omit “3 years”, substitute “4 years”.</w:t>
      </w:r>
    </w:p>
    <w:p w14:paraId="4A85E6A7" w14:textId="750C9FF0" w:rsidR="00A55E14" w:rsidRPr="00FD431F" w:rsidRDefault="00EE0685" w:rsidP="00FD431F">
      <w:pPr>
        <w:pStyle w:val="Bodytext40"/>
        <w:spacing w:before="120" w:line="240" w:lineRule="auto"/>
        <w:ind w:firstLine="0"/>
        <w:jc w:val="both"/>
        <w:rPr>
          <w:b w:val="0"/>
          <w:sz w:val="20"/>
          <w:szCs w:val="20"/>
        </w:rPr>
      </w:pPr>
      <w:r w:rsidRPr="00FD431F">
        <w:rPr>
          <w:b w:val="0"/>
          <w:sz w:val="20"/>
          <w:szCs w:val="20"/>
        </w:rPr>
        <w:t>Note: The heading to section 333 is altered by omitting “</w:t>
      </w:r>
      <w:r w:rsidRPr="00256A33">
        <w:rPr>
          <w:sz w:val="20"/>
          <w:szCs w:val="20"/>
        </w:rPr>
        <w:t>3 years</w:t>
      </w:r>
      <w:r w:rsidRPr="00FD431F">
        <w:rPr>
          <w:b w:val="0"/>
          <w:sz w:val="20"/>
          <w:szCs w:val="20"/>
        </w:rPr>
        <w:t>” and substituting “</w:t>
      </w:r>
      <w:r w:rsidRPr="00256A33">
        <w:rPr>
          <w:sz w:val="20"/>
          <w:szCs w:val="20"/>
        </w:rPr>
        <w:t>4 years</w:t>
      </w:r>
      <w:r w:rsidRPr="00FD431F">
        <w:rPr>
          <w:b w:val="0"/>
          <w:sz w:val="20"/>
          <w:szCs w:val="20"/>
        </w:rPr>
        <w:t>”.</w:t>
      </w:r>
    </w:p>
    <w:p w14:paraId="0DEE79D3" w14:textId="77777777" w:rsidR="00A55E14" w:rsidRPr="00FD431F" w:rsidRDefault="00A55E14" w:rsidP="00FD431F">
      <w:pPr>
        <w:rPr>
          <w:rFonts w:ascii="Times New Roman" w:eastAsia="Times New Roman" w:hAnsi="Times New Roman" w:cs="Times New Roman"/>
          <w:bCs/>
          <w:sz w:val="20"/>
          <w:szCs w:val="20"/>
        </w:rPr>
      </w:pPr>
      <w:r w:rsidRPr="00FD431F">
        <w:rPr>
          <w:b/>
          <w:sz w:val="20"/>
          <w:szCs w:val="20"/>
        </w:rPr>
        <w:br w:type="page"/>
      </w:r>
    </w:p>
    <w:p w14:paraId="10C44F60" w14:textId="77777777" w:rsidR="00BE7709" w:rsidRPr="00FD431F" w:rsidRDefault="00EE0685" w:rsidP="00FD431F">
      <w:pPr>
        <w:pStyle w:val="Bodytext40"/>
        <w:spacing w:line="240" w:lineRule="auto"/>
        <w:ind w:firstLine="0"/>
        <w:jc w:val="center"/>
        <w:rPr>
          <w:b w:val="0"/>
          <w:sz w:val="22"/>
          <w:szCs w:val="22"/>
        </w:rPr>
      </w:pPr>
      <w:r w:rsidRPr="00FD431F">
        <w:rPr>
          <w:rStyle w:val="BodyText1"/>
          <w:sz w:val="22"/>
          <w:szCs w:val="22"/>
        </w:rPr>
        <w:lastRenderedPageBreak/>
        <w:t>SCHEDULE 1—</w:t>
      </w:r>
      <w:r w:rsidRPr="00FD431F">
        <w:rPr>
          <w:rStyle w:val="BodyText1"/>
          <w:b w:val="0"/>
          <w:sz w:val="22"/>
          <w:szCs w:val="22"/>
        </w:rPr>
        <w:t>continued</w:t>
      </w:r>
    </w:p>
    <w:p w14:paraId="5625C06F" w14:textId="77777777" w:rsidR="00BE7709" w:rsidRPr="00FD431F" w:rsidRDefault="00301C4F" w:rsidP="00FD431F">
      <w:pPr>
        <w:pStyle w:val="Bodytext60"/>
        <w:spacing w:before="120" w:line="240" w:lineRule="auto"/>
        <w:jc w:val="both"/>
        <w:rPr>
          <w:sz w:val="22"/>
          <w:szCs w:val="22"/>
        </w:rPr>
      </w:pPr>
      <w:r w:rsidRPr="00FD431F">
        <w:rPr>
          <w:rStyle w:val="BodyText1"/>
          <w:sz w:val="22"/>
          <w:szCs w:val="22"/>
        </w:rPr>
        <w:t xml:space="preserve">10. </w:t>
      </w:r>
      <w:r w:rsidR="00EE0685" w:rsidRPr="00FD431F">
        <w:rPr>
          <w:rStyle w:val="BodyText1"/>
          <w:sz w:val="22"/>
          <w:szCs w:val="22"/>
        </w:rPr>
        <w:t>Subsection 333(4):</w:t>
      </w:r>
    </w:p>
    <w:p w14:paraId="015442C3" w14:textId="77777777" w:rsidR="00BE7709" w:rsidRPr="00FD431F" w:rsidRDefault="00EE0685" w:rsidP="00FD431F">
      <w:pPr>
        <w:pStyle w:val="BodyText2"/>
        <w:spacing w:before="120" w:line="240" w:lineRule="auto"/>
        <w:ind w:firstLine="270"/>
        <w:jc w:val="both"/>
        <w:rPr>
          <w:sz w:val="22"/>
          <w:szCs w:val="22"/>
        </w:rPr>
      </w:pPr>
      <w:r w:rsidRPr="00FD431F">
        <w:rPr>
          <w:rStyle w:val="BodyText1"/>
          <w:sz w:val="22"/>
          <w:szCs w:val="22"/>
        </w:rPr>
        <w:t>Omit “2 years”, substitute “3 years”.</w:t>
      </w:r>
    </w:p>
    <w:p w14:paraId="1891DD8D" w14:textId="77777777" w:rsidR="00BE7709" w:rsidRPr="00FD431F" w:rsidRDefault="00BB1BDD" w:rsidP="00FD431F">
      <w:pPr>
        <w:pStyle w:val="Bodytext60"/>
        <w:spacing w:before="120" w:line="240" w:lineRule="auto"/>
        <w:jc w:val="both"/>
        <w:rPr>
          <w:sz w:val="22"/>
          <w:szCs w:val="22"/>
        </w:rPr>
      </w:pPr>
      <w:r w:rsidRPr="00FD431F">
        <w:rPr>
          <w:rStyle w:val="BodyText1"/>
          <w:sz w:val="22"/>
          <w:szCs w:val="22"/>
        </w:rPr>
        <w:t>11.</w:t>
      </w:r>
      <w:r w:rsidR="00301C4F" w:rsidRPr="00FD431F">
        <w:rPr>
          <w:rStyle w:val="BodyText1"/>
          <w:sz w:val="22"/>
          <w:szCs w:val="22"/>
        </w:rPr>
        <w:t xml:space="preserve"> </w:t>
      </w:r>
      <w:r w:rsidR="00EE0685" w:rsidRPr="00FD431F">
        <w:rPr>
          <w:rStyle w:val="BodyText1"/>
          <w:sz w:val="22"/>
          <w:szCs w:val="22"/>
        </w:rPr>
        <w:t>Subsection 424(1):</w:t>
      </w:r>
    </w:p>
    <w:p w14:paraId="2EED323B" w14:textId="77777777" w:rsidR="00BE7709" w:rsidRPr="00FD431F" w:rsidRDefault="00EE0685" w:rsidP="00FD431F">
      <w:pPr>
        <w:pStyle w:val="BodyText2"/>
        <w:spacing w:before="120" w:line="240" w:lineRule="auto"/>
        <w:ind w:firstLine="270"/>
        <w:jc w:val="both"/>
        <w:rPr>
          <w:sz w:val="22"/>
          <w:szCs w:val="22"/>
        </w:rPr>
      </w:pPr>
      <w:r w:rsidRPr="00FD431F">
        <w:rPr>
          <w:rStyle w:val="BodyText1"/>
          <w:sz w:val="22"/>
          <w:szCs w:val="22"/>
        </w:rPr>
        <w:t>Omit “sections 417”, substitute “sections 418”.</w:t>
      </w:r>
    </w:p>
    <w:p w14:paraId="5CACD5C4" w14:textId="77777777" w:rsidR="00BE7709" w:rsidRPr="00FD431F" w:rsidRDefault="00BB1BDD" w:rsidP="00FD431F">
      <w:pPr>
        <w:pStyle w:val="Bodytext60"/>
        <w:spacing w:before="120" w:line="240" w:lineRule="auto"/>
        <w:jc w:val="both"/>
        <w:rPr>
          <w:sz w:val="22"/>
          <w:szCs w:val="22"/>
        </w:rPr>
      </w:pPr>
      <w:r w:rsidRPr="00FD431F">
        <w:rPr>
          <w:rStyle w:val="BodyText1"/>
          <w:sz w:val="22"/>
          <w:szCs w:val="22"/>
        </w:rPr>
        <w:t>12.</w:t>
      </w:r>
      <w:r w:rsidR="00301C4F" w:rsidRPr="00FD431F">
        <w:rPr>
          <w:rStyle w:val="BodyText1"/>
          <w:sz w:val="22"/>
          <w:szCs w:val="22"/>
        </w:rPr>
        <w:t xml:space="preserve"> </w:t>
      </w:r>
      <w:r w:rsidR="00EE0685" w:rsidRPr="00FD431F">
        <w:rPr>
          <w:rStyle w:val="BodyText1"/>
          <w:sz w:val="22"/>
          <w:szCs w:val="22"/>
        </w:rPr>
        <w:t>Section 451:</w:t>
      </w:r>
    </w:p>
    <w:p w14:paraId="6D91979B" w14:textId="77777777" w:rsidR="00BE7709" w:rsidRPr="00FD431F" w:rsidRDefault="00EE0685" w:rsidP="00FD431F">
      <w:pPr>
        <w:pStyle w:val="BodyText2"/>
        <w:spacing w:before="120" w:line="240" w:lineRule="auto"/>
        <w:ind w:firstLine="270"/>
        <w:jc w:val="both"/>
        <w:rPr>
          <w:sz w:val="22"/>
          <w:szCs w:val="22"/>
        </w:rPr>
      </w:pPr>
      <w:r w:rsidRPr="00FD431F">
        <w:rPr>
          <w:rStyle w:val="BodyText1"/>
          <w:sz w:val="22"/>
          <w:szCs w:val="22"/>
        </w:rPr>
        <w:t>Omit “section 417”, substitute “section 418”.</w:t>
      </w:r>
    </w:p>
    <w:p w14:paraId="0571FDEA" w14:textId="77777777" w:rsidR="00BE7709" w:rsidRPr="00FD431F" w:rsidRDefault="00BB1BDD" w:rsidP="00FD431F">
      <w:pPr>
        <w:pStyle w:val="Bodytext60"/>
        <w:spacing w:before="120" w:line="240" w:lineRule="auto"/>
        <w:jc w:val="both"/>
        <w:rPr>
          <w:sz w:val="22"/>
          <w:szCs w:val="22"/>
        </w:rPr>
      </w:pPr>
      <w:r w:rsidRPr="00FD431F">
        <w:rPr>
          <w:rStyle w:val="BodyText1"/>
          <w:sz w:val="22"/>
          <w:szCs w:val="22"/>
        </w:rPr>
        <w:t>13.</w:t>
      </w:r>
      <w:r w:rsidR="00301C4F" w:rsidRPr="00FD431F">
        <w:rPr>
          <w:rStyle w:val="BodyText1"/>
          <w:sz w:val="22"/>
          <w:szCs w:val="22"/>
        </w:rPr>
        <w:t xml:space="preserve"> </w:t>
      </w:r>
      <w:r w:rsidR="00EE0685" w:rsidRPr="00FD431F">
        <w:rPr>
          <w:rStyle w:val="BodyText1"/>
          <w:sz w:val="22"/>
          <w:szCs w:val="22"/>
        </w:rPr>
        <w:t>Paragraph 475(2) (e):</w:t>
      </w:r>
    </w:p>
    <w:p w14:paraId="01269D01" w14:textId="77777777" w:rsidR="00BE7709" w:rsidRPr="00FD431F" w:rsidRDefault="00EE0685" w:rsidP="00FD431F">
      <w:pPr>
        <w:pStyle w:val="BodyText2"/>
        <w:spacing w:before="120" w:line="240" w:lineRule="auto"/>
        <w:ind w:firstLine="270"/>
        <w:jc w:val="both"/>
        <w:rPr>
          <w:sz w:val="22"/>
          <w:szCs w:val="22"/>
        </w:rPr>
      </w:pPr>
      <w:r w:rsidRPr="00FD431F">
        <w:rPr>
          <w:rStyle w:val="BodyText1"/>
          <w:sz w:val="22"/>
          <w:szCs w:val="22"/>
        </w:rPr>
        <w:t>Omit the paragraph, substitute:</w:t>
      </w:r>
    </w:p>
    <w:p w14:paraId="4161DC2C" w14:textId="2ECD4D47" w:rsidR="00BE7709" w:rsidRPr="00FD431F" w:rsidRDefault="00EE0685" w:rsidP="00FD431F">
      <w:pPr>
        <w:pStyle w:val="BodyText2"/>
        <w:spacing w:before="120" w:line="240" w:lineRule="auto"/>
        <w:ind w:left="603" w:hanging="378"/>
        <w:jc w:val="both"/>
        <w:rPr>
          <w:sz w:val="22"/>
          <w:szCs w:val="22"/>
        </w:rPr>
      </w:pPr>
      <w:r w:rsidRPr="00FD431F">
        <w:rPr>
          <w:rStyle w:val="BodyText1"/>
          <w:sz w:val="22"/>
          <w:szCs w:val="22"/>
        </w:rPr>
        <w:t>“(e) a decision of the Minister not to exercise, or not to consider the exercise of, his or her power under section 48B, paragraph 72(</w:t>
      </w:r>
      <w:r w:rsidR="00256A33">
        <w:rPr>
          <w:rStyle w:val="BodyText1"/>
          <w:sz w:val="22"/>
          <w:szCs w:val="22"/>
        </w:rPr>
        <w:t>1</w:t>
      </w:r>
      <w:r w:rsidRPr="00FD431F">
        <w:rPr>
          <w:rStyle w:val="BodyText1"/>
          <w:sz w:val="22"/>
          <w:szCs w:val="22"/>
        </w:rPr>
        <w:t>)(c), section 91F, 345,351, 391,417 or 454;”.</w:t>
      </w:r>
    </w:p>
    <w:p w14:paraId="62484F49" w14:textId="77777777" w:rsidR="00BE7709" w:rsidRPr="00FD431F" w:rsidRDefault="00BB1BDD" w:rsidP="00FD431F">
      <w:pPr>
        <w:pStyle w:val="Bodytext60"/>
        <w:spacing w:before="120" w:line="240" w:lineRule="auto"/>
        <w:jc w:val="both"/>
        <w:rPr>
          <w:sz w:val="22"/>
          <w:szCs w:val="22"/>
        </w:rPr>
      </w:pPr>
      <w:r w:rsidRPr="00FD431F">
        <w:rPr>
          <w:rStyle w:val="BodyText1"/>
          <w:sz w:val="22"/>
          <w:szCs w:val="22"/>
        </w:rPr>
        <w:t>14.</w:t>
      </w:r>
      <w:r w:rsidR="00301C4F" w:rsidRPr="00FD431F">
        <w:rPr>
          <w:rStyle w:val="BodyText1"/>
          <w:sz w:val="22"/>
          <w:szCs w:val="22"/>
        </w:rPr>
        <w:t xml:space="preserve"> </w:t>
      </w:r>
      <w:r w:rsidR="00EE0685" w:rsidRPr="00FD431F">
        <w:rPr>
          <w:rStyle w:val="BodyText1"/>
          <w:sz w:val="22"/>
          <w:szCs w:val="22"/>
        </w:rPr>
        <w:t>Subsection 506(3):</w:t>
      </w:r>
    </w:p>
    <w:p w14:paraId="0B169DE2" w14:textId="77777777" w:rsidR="00BE7709" w:rsidRPr="00FD431F" w:rsidRDefault="00EE0685" w:rsidP="00FD431F">
      <w:pPr>
        <w:pStyle w:val="BodyText2"/>
        <w:spacing w:before="120" w:line="240" w:lineRule="auto"/>
        <w:ind w:firstLine="270"/>
        <w:jc w:val="both"/>
        <w:rPr>
          <w:sz w:val="22"/>
          <w:szCs w:val="22"/>
        </w:rPr>
      </w:pPr>
      <w:r w:rsidRPr="00FD431F">
        <w:rPr>
          <w:rStyle w:val="BodyText1"/>
          <w:sz w:val="22"/>
          <w:szCs w:val="22"/>
        </w:rPr>
        <w:t>Omit “are to include”, substitute “may include, but are not limited to,”.</w:t>
      </w:r>
    </w:p>
    <w:p w14:paraId="7DB38BF6" w14:textId="77777777" w:rsidR="00BE7709" w:rsidRPr="00FD431F" w:rsidRDefault="00301C4F" w:rsidP="00FD431F">
      <w:pPr>
        <w:pStyle w:val="Bodytext60"/>
        <w:spacing w:before="120" w:line="240" w:lineRule="auto"/>
        <w:jc w:val="both"/>
        <w:rPr>
          <w:sz w:val="22"/>
          <w:szCs w:val="22"/>
        </w:rPr>
      </w:pPr>
      <w:r w:rsidRPr="00FD431F">
        <w:rPr>
          <w:rStyle w:val="BodyText1"/>
          <w:sz w:val="22"/>
          <w:szCs w:val="22"/>
        </w:rPr>
        <w:t xml:space="preserve">15. </w:t>
      </w:r>
      <w:r w:rsidR="00EE0685" w:rsidRPr="00FD431F">
        <w:rPr>
          <w:rStyle w:val="BodyText1"/>
          <w:sz w:val="22"/>
          <w:szCs w:val="22"/>
        </w:rPr>
        <w:t>Subsection 506(3):</w:t>
      </w:r>
    </w:p>
    <w:p w14:paraId="6C0D6AA7" w14:textId="77777777" w:rsidR="00BE7709" w:rsidRPr="00FD431F" w:rsidRDefault="00EE0685" w:rsidP="00FD431F">
      <w:pPr>
        <w:pStyle w:val="BodyText2"/>
        <w:spacing w:before="120" w:line="240" w:lineRule="auto"/>
        <w:ind w:firstLine="270"/>
        <w:jc w:val="both"/>
        <w:rPr>
          <w:sz w:val="22"/>
          <w:szCs w:val="22"/>
        </w:rPr>
      </w:pPr>
      <w:r w:rsidRPr="00FD431F">
        <w:rPr>
          <w:rStyle w:val="BodyText1"/>
          <w:sz w:val="22"/>
          <w:szCs w:val="22"/>
        </w:rPr>
        <w:t>After “about” insert “any or all of the following”.</w:t>
      </w:r>
    </w:p>
    <w:p w14:paraId="59C18679" w14:textId="77777777" w:rsidR="00BE7709" w:rsidRPr="00FD431F" w:rsidRDefault="00301C4F" w:rsidP="00FD431F">
      <w:pPr>
        <w:pStyle w:val="Bodytext60"/>
        <w:spacing w:before="120" w:line="240" w:lineRule="auto"/>
        <w:jc w:val="both"/>
        <w:rPr>
          <w:sz w:val="22"/>
          <w:szCs w:val="22"/>
        </w:rPr>
      </w:pPr>
      <w:r w:rsidRPr="00FD431F">
        <w:rPr>
          <w:rStyle w:val="BodyText1"/>
          <w:sz w:val="22"/>
          <w:szCs w:val="22"/>
        </w:rPr>
        <w:t xml:space="preserve">16. </w:t>
      </w:r>
      <w:r w:rsidR="00EE0685" w:rsidRPr="00FD431F">
        <w:rPr>
          <w:rStyle w:val="BodyText1"/>
          <w:sz w:val="22"/>
          <w:szCs w:val="22"/>
        </w:rPr>
        <w:t>Subsection 506(3):</w:t>
      </w:r>
    </w:p>
    <w:p w14:paraId="7050A8E5" w14:textId="77777777" w:rsidR="00BE7709" w:rsidRPr="00FD431F" w:rsidRDefault="00EE0685" w:rsidP="00FD431F">
      <w:pPr>
        <w:pStyle w:val="BodyText2"/>
        <w:spacing w:before="120" w:line="240" w:lineRule="auto"/>
        <w:ind w:firstLine="270"/>
        <w:jc w:val="both"/>
        <w:rPr>
          <w:sz w:val="22"/>
          <w:szCs w:val="22"/>
        </w:rPr>
      </w:pPr>
      <w:r w:rsidRPr="00FD431F">
        <w:rPr>
          <w:rStyle w:val="BodyText1"/>
          <w:sz w:val="22"/>
          <w:szCs w:val="22"/>
        </w:rPr>
        <w:t>Omit “and” (wherever occurring).</w:t>
      </w:r>
    </w:p>
    <w:p w14:paraId="616C4A55" w14:textId="77777777" w:rsidR="00BE7709" w:rsidRPr="00FD431F" w:rsidRDefault="00301C4F" w:rsidP="00FD431F">
      <w:pPr>
        <w:pStyle w:val="Bodytext60"/>
        <w:spacing w:before="120" w:line="240" w:lineRule="auto"/>
        <w:jc w:val="both"/>
        <w:rPr>
          <w:sz w:val="22"/>
          <w:szCs w:val="22"/>
        </w:rPr>
      </w:pPr>
      <w:r w:rsidRPr="00FD431F">
        <w:rPr>
          <w:rStyle w:val="BodyText1"/>
          <w:sz w:val="22"/>
          <w:szCs w:val="22"/>
        </w:rPr>
        <w:t xml:space="preserve">17. </w:t>
      </w:r>
      <w:r w:rsidR="00EE0685" w:rsidRPr="00FD431F">
        <w:rPr>
          <w:rStyle w:val="BodyText1"/>
          <w:sz w:val="22"/>
          <w:szCs w:val="22"/>
        </w:rPr>
        <w:t>Application of amendment of section 475:</w:t>
      </w:r>
    </w:p>
    <w:p w14:paraId="126C8383" w14:textId="77777777" w:rsidR="00BE7709" w:rsidRPr="00FD431F" w:rsidRDefault="00EE0685" w:rsidP="00FD431F">
      <w:pPr>
        <w:pStyle w:val="BodyText2"/>
        <w:spacing w:before="120" w:line="240" w:lineRule="auto"/>
        <w:ind w:firstLine="270"/>
        <w:jc w:val="both"/>
        <w:rPr>
          <w:sz w:val="22"/>
          <w:szCs w:val="22"/>
        </w:rPr>
      </w:pPr>
      <w:r w:rsidRPr="00FD431F">
        <w:rPr>
          <w:rStyle w:val="BodyText1"/>
          <w:sz w:val="22"/>
          <w:szCs w:val="22"/>
        </w:rPr>
        <w:t>The amendment made by item 13 applies to decisions whether made before or after the commencement of this item.</w:t>
      </w:r>
    </w:p>
    <w:p w14:paraId="67FDE9E4" w14:textId="77777777" w:rsidR="00BE7709" w:rsidRPr="00FD431F" w:rsidRDefault="00EE0685" w:rsidP="00FD431F">
      <w:pPr>
        <w:pStyle w:val="Bodytext30"/>
        <w:spacing w:before="120" w:line="240" w:lineRule="auto"/>
        <w:jc w:val="center"/>
        <w:rPr>
          <w:b/>
          <w:sz w:val="22"/>
          <w:szCs w:val="22"/>
        </w:rPr>
      </w:pPr>
      <w:r w:rsidRPr="00FD431F">
        <w:rPr>
          <w:rStyle w:val="Bodytext31"/>
          <w:b/>
          <w:i/>
          <w:iCs/>
          <w:sz w:val="22"/>
          <w:szCs w:val="22"/>
        </w:rPr>
        <w:t>Migration (Delayed Visa Applications) Tax Act 1992</w:t>
      </w:r>
    </w:p>
    <w:p w14:paraId="1302BD9A" w14:textId="77777777" w:rsidR="00BE7709" w:rsidRPr="00FD431F" w:rsidRDefault="00301C4F" w:rsidP="00FD431F">
      <w:pPr>
        <w:pStyle w:val="Bodytext60"/>
        <w:spacing w:before="120" w:line="240" w:lineRule="auto"/>
        <w:jc w:val="both"/>
        <w:rPr>
          <w:b w:val="0"/>
          <w:sz w:val="22"/>
          <w:szCs w:val="22"/>
        </w:rPr>
      </w:pPr>
      <w:r w:rsidRPr="00FD431F">
        <w:rPr>
          <w:rStyle w:val="BodyText1"/>
          <w:sz w:val="22"/>
          <w:szCs w:val="22"/>
        </w:rPr>
        <w:t xml:space="preserve">18. </w:t>
      </w:r>
      <w:r w:rsidR="00EE0685" w:rsidRPr="00FD431F">
        <w:rPr>
          <w:rStyle w:val="BodyText1"/>
          <w:b w:val="0"/>
          <w:sz w:val="22"/>
          <w:szCs w:val="22"/>
        </w:rPr>
        <w:t>Repeal the Act.</w:t>
      </w:r>
    </w:p>
    <w:p w14:paraId="6B307464" w14:textId="77777777" w:rsidR="00BE7709" w:rsidRPr="00FD431F" w:rsidRDefault="00301C4F" w:rsidP="00FD431F">
      <w:pPr>
        <w:pStyle w:val="Bodytext60"/>
        <w:tabs>
          <w:tab w:val="left" w:pos="414"/>
        </w:tabs>
        <w:spacing w:before="120" w:line="240" w:lineRule="auto"/>
        <w:jc w:val="both"/>
        <w:rPr>
          <w:sz w:val="22"/>
          <w:szCs w:val="22"/>
        </w:rPr>
      </w:pPr>
      <w:r w:rsidRPr="00FD431F">
        <w:rPr>
          <w:rStyle w:val="BodyText1"/>
          <w:sz w:val="22"/>
          <w:szCs w:val="22"/>
        </w:rPr>
        <w:t xml:space="preserve">19. </w:t>
      </w:r>
      <w:r w:rsidR="00EE0685" w:rsidRPr="00FD431F">
        <w:rPr>
          <w:rStyle w:val="BodyText1"/>
          <w:sz w:val="22"/>
          <w:szCs w:val="22"/>
        </w:rPr>
        <w:t>Transitional—cancellation of debts and refunds of tax paid</w:t>
      </w:r>
    </w:p>
    <w:p w14:paraId="3CEE0A0D" w14:textId="4D945328" w:rsidR="00BE7709" w:rsidRPr="00FD431F" w:rsidRDefault="00BB1BDD" w:rsidP="00FD431F">
      <w:pPr>
        <w:pStyle w:val="BodyText2"/>
        <w:spacing w:before="120" w:line="240" w:lineRule="auto"/>
        <w:ind w:firstLine="270"/>
        <w:jc w:val="both"/>
        <w:rPr>
          <w:sz w:val="22"/>
          <w:szCs w:val="22"/>
        </w:rPr>
      </w:pPr>
      <w:r w:rsidRPr="00FD431F">
        <w:rPr>
          <w:rStyle w:val="BodyText1"/>
          <w:b/>
          <w:sz w:val="22"/>
          <w:szCs w:val="22"/>
        </w:rPr>
        <w:t>(1)</w:t>
      </w:r>
      <w:r w:rsidRPr="00FD431F">
        <w:rPr>
          <w:rStyle w:val="BodyText1"/>
          <w:sz w:val="22"/>
          <w:szCs w:val="22"/>
        </w:rPr>
        <w:t xml:space="preserve"> </w:t>
      </w:r>
      <w:r w:rsidR="00EE0685" w:rsidRPr="00FD431F">
        <w:rPr>
          <w:rStyle w:val="BodyText1"/>
          <w:sz w:val="22"/>
          <w:szCs w:val="22"/>
        </w:rPr>
        <w:t xml:space="preserve">If, apart from this item, a person would be liable to pay an amount to the Commonwealth as a result of a debt arising under the </w:t>
      </w:r>
      <w:r w:rsidR="00EE0685" w:rsidRPr="00FD431F">
        <w:rPr>
          <w:rStyle w:val="BodytextItalic"/>
          <w:sz w:val="22"/>
          <w:szCs w:val="22"/>
        </w:rPr>
        <w:t>Migration (Delayed Visa Applications) Tax Act 1992</w:t>
      </w:r>
      <w:r w:rsidR="00EE0685" w:rsidRPr="00256A33">
        <w:rPr>
          <w:rStyle w:val="BodytextItalic"/>
          <w:i w:val="0"/>
          <w:sz w:val="22"/>
          <w:szCs w:val="22"/>
        </w:rPr>
        <w:t>,</w:t>
      </w:r>
      <w:r w:rsidR="00EE0685" w:rsidRPr="00256A33">
        <w:rPr>
          <w:rStyle w:val="BodyText1"/>
          <w:i/>
          <w:sz w:val="22"/>
          <w:szCs w:val="22"/>
        </w:rPr>
        <w:t xml:space="preserve"> </w:t>
      </w:r>
      <w:r w:rsidR="00EE0685" w:rsidRPr="00FD431F">
        <w:rPr>
          <w:rStyle w:val="BodyText1"/>
          <w:sz w:val="22"/>
          <w:szCs w:val="22"/>
        </w:rPr>
        <w:t>the debt ceases to be payable at the commencement of this item.</w:t>
      </w:r>
    </w:p>
    <w:p w14:paraId="130479F4" w14:textId="7033DEAE" w:rsidR="00BE7709" w:rsidRPr="00FD431F" w:rsidRDefault="00BB1BDD" w:rsidP="00FD431F">
      <w:pPr>
        <w:pStyle w:val="BodyText2"/>
        <w:spacing w:before="120" w:line="240" w:lineRule="auto"/>
        <w:ind w:firstLine="270"/>
        <w:jc w:val="both"/>
        <w:rPr>
          <w:sz w:val="22"/>
          <w:szCs w:val="22"/>
        </w:rPr>
      </w:pPr>
      <w:r w:rsidRPr="00FD431F">
        <w:rPr>
          <w:rStyle w:val="BodyText1"/>
          <w:b/>
          <w:sz w:val="22"/>
          <w:szCs w:val="22"/>
        </w:rPr>
        <w:t>(2)</w:t>
      </w:r>
      <w:r w:rsidRPr="00FD431F">
        <w:rPr>
          <w:rStyle w:val="BodyText1"/>
          <w:sz w:val="22"/>
          <w:szCs w:val="22"/>
        </w:rPr>
        <w:t xml:space="preserve"> </w:t>
      </w:r>
      <w:r w:rsidR="00EE0685" w:rsidRPr="00FD431F">
        <w:rPr>
          <w:rStyle w:val="BodyText1"/>
          <w:sz w:val="22"/>
          <w:szCs w:val="22"/>
        </w:rPr>
        <w:t xml:space="preserve">If a person has paid an amount of tax imposed, or purportedly imposed, by the </w:t>
      </w:r>
      <w:r w:rsidR="00EE0685" w:rsidRPr="00FD431F">
        <w:rPr>
          <w:rStyle w:val="BodytextItalic"/>
          <w:sz w:val="22"/>
          <w:szCs w:val="22"/>
        </w:rPr>
        <w:t>Migration (Delayed Visa Applications) Tax Act</w:t>
      </w:r>
      <w:r w:rsidR="00256A33">
        <w:rPr>
          <w:rStyle w:val="BodytextItalic"/>
          <w:sz w:val="22"/>
          <w:szCs w:val="22"/>
        </w:rPr>
        <w:t xml:space="preserve"> </w:t>
      </w:r>
      <w:r w:rsidR="00EE0685" w:rsidRPr="00FD431F">
        <w:rPr>
          <w:rStyle w:val="BodytextItalic"/>
          <w:sz w:val="22"/>
          <w:szCs w:val="22"/>
        </w:rPr>
        <w:t>1992</w:t>
      </w:r>
      <w:r w:rsidR="00EE0685" w:rsidRPr="00FD431F">
        <w:rPr>
          <w:rStyle w:val="BodyText1"/>
          <w:sz w:val="22"/>
          <w:szCs w:val="22"/>
        </w:rPr>
        <w:t xml:space="preserve"> and the person is not entitled to a refund of that amount, the person is entitled, at the commencement of this item, to be paid by the Commonwealth an amount equal to that amount. The Consolidated Revenue Fund is appropriated for the purposes of this subsection.</w:t>
      </w:r>
    </w:p>
    <w:p w14:paraId="2DC74854" w14:textId="77777777" w:rsidR="00BB1BDD" w:rsidRPr="00FD431F" w:rsidRDefault="00BB1BDD" w:rsidP="00FD431F">
      <w:pPr>
        <w:rPr>
          <w:rStyle w:val="Bodytext31"/>
          <w:rFonts w:eastAsia="Courier New"/>
          <w:sz w:val="22"/>
          <w:szCs w:val="22"/>
        </w:rPr>
      </w:pPr>
      <w:r w:rsidRPr="00FD431F">
        <w:rPr>
          <w:rStyle w:val="Bodytext31"/>
          <w:rFonts w:eastAsia="Courier New"/>
          <w:i w:val="0"/>
          <w:iCs w:val="0"/>
          <w:sz w:val="22"/>
          <w:szCs w:val="22"/>
        </w:rPr>
        <w:br w:type="page"/>
      </w:r>
    </w:p>
    <w:p w14:paraId="512E8B51" w14:textId="77777777" w:rsidR="00BE7709" w:rsidRPr="00FD431F" w:rsidRDefault="00EE0685" w:rsidP="00FD431F">
      <w:pPr>
        <w:pStyle w:val="BodyText2"/>
        <w:spacing w:line="240" w:lineRule="auto"/>
        <w:ind w:firstLine="0"/>
        <w:jc w:val="center"/>
        <w:rPr>
          <w:sz w:val="22"/>
          <w:szCs w:val="22"/>
        </w:rPr>
      </w:pPr>
      <w:r w:rsidRPr="00FD431F">
        <w:rPr>
          <w:rStyle w:val="BodyText1"/>
          <w:b/>
          <w:sz w:val="22"/>
          <w:szCs w:val="22"/>
        </w:rPr>
        <w:lastRenderedPageBreak/>
        <w:t>SCHEDULE 1</w:t>
      </w:r>
      <w:r w:rsidRPr="00FD431F">
        <w:rPr>
          <w:rStyle w:val="BodyText1"/>
          <w:sz w:val="22"/>
          <w:szCs w:val="22"/>
        </w:rPr>
        <w:t>—continued</w:t>
      </w:r>
    </w:p>
    <w:p w14:paraId="01A3833D" w14:textId="77777777" w:rsidR="00BE7709" w:rsidRPr="00FD431F" w:rsidRDefault="00EE0685" w:rsidP="00FD431F">
      <w:pPr>
        <w:pStyle w:val="Bodytext30"/>
        <w:spacing w:before="120" w:line="240" w:lineRule="auto"/>
        <w:jc w:val="center"/>
        <w:rPr>
          <w:b/>
          <w:sz w:val="22"/>
          <w:szCs w:val="22"/>
        </w:rPr>
      </w:pPr>
      <w:r w:rsidRPr="00FD431F">
        <w:rPr>
          <w:rStyle w:val="Bodytext31"/>
          <w:b/>
          <w:i/>
          <w:iCs/>
          <w:sz w:val="22"/>
          <w:szCs w:val="22"/>
        </w:rPr>
        <w:t>Migration Legislation Amendment Act (No. 6) 1995</w:t>
      </w:r>
    </w:p>
    <w:p w14:paraId="78EE6258" w14:textId="77777777" w:rsidR="00BE7709" w:rsidRPr="00FD431F" w:rsidRDefault="00301C4F" w:rsidP="00FD431F">
      <w:pPr>
        <w:pStyle w:val="Bodytext60"/>
        <w:spacing w:before="120" w:line="240" w:lineRule="auto"/>
        <w:jc w:val="both"/>
        <w:rPr>
          <w:sz w:val="22"/>
          <w:szCs w:val="22"/>
        </w:rPr>
      </w:pPr>
      <w:r w:rsidRPr="00FD431F">
        <w:rPr>
          <w:sz w:val="22"/>
          <w:szCs w:val="22"/>
        </w:rPr>
        <w:t xml:space="preserve">20. </w:t>
      </w:r>
      <w:r w:rsidR="00EE0685" w:rsidRPr="00FD431F">
        <w:rPr>
          <w:sz w:val="22"/>
          <w:szCs w:val="22"/>
        </w:rPr>
        <w:t>Section 17:</w:t>
      </w:r>
    </w:p>
    <w:p w14:paraId="6C3FCA18" w14:textId="77777777" w:rsidR="00BE7709" w:rsidRPr="00FD431F" w:rsidRDefault="00EE0685" w:rsidP="00FD431F">
      <w:pPr>
        <w:pStyle w:val="BodyText2"/>
        <w:spacing w:before="120" w:line="240" w:lineRule="auto"/>
        <w:ind w:firstLine="270"/>
        <w:jc w:val="both"/>
        <w:rPr>
          <w:sz w:val="22"/>
          <w:szCs w:val="22"/>
        </w:rPr>
      </w:pPr>
      <w:r w:rsidRPr="00FD431F">
        <w:rPr>
          <w:rStyle w:val="BodyText1"/>
          <w:sz w:val="22"/>
          <w:szCs w:val="22"/>
        </w:rPr>
        <w:t>Repeal the section.</w:t>
      </w:r>
    </w:p>
    <w:p w14:paraId="6638F753" w14:textId="77777777" w:rsidR="00BE7709" w:rsidRPr="00FD431F" w:rsidRDefault="00301C4F" w:rsidP="00FD431F">
      <w:pPr>
        <w:pStyle w:val="Bodytext60"/>
        <w:spacing w:before="120" w:line="240" w:lineRule="auto"/>
        <w:jc w:val="both"/>
        <w:rPr>
          <w:sz w:val="22"/>
          <w:szCs w:val="22"/>
        </w:rPr>
      </w:pPr>
      <w:r w:rsidRPr="00FD431F">
        <w:rPr>
          <w:sz w:val="22"/>
          <w:szCs w:val="22"/>
        </w:rPr>
        <w:t xml:space="preserve">21. </w:t>
      </w:r>
      <w:r w:rsidR="00EE0685" w:rsidRPr="00FD431F">
        <w:rPr>
          <w:sz w:val="22"/>
          <w:szCs w:val="22"/>
        </w:rPr>
        <w:t>Section 18:</w:t>
      </w:r>
    </w:p>
    <w:p w14:paraId="327507B1" w14:textId="77777777" w:rsidR="00BE7709" w:rsidRPr="00FD431F" w:rsidRDefault="00EE0685" w:rsidP="00FD431F">
      <w:pPr>
        <w:pStyle w:val="BodyText2"/>
        <w:spacing w:before="120" w:line="240" w:lineRule="auto"/>
        <w:ind w:firstLine="270"/>
        <w:jc w:val="both"/>
        <w:rPr>
          <w:rStyle w:val="BodyText1"/>
          <w:sz w:val="22"/>
          <w:szCs w:val="22"/>
        </w:rPr>
      </w:pPr>
      <w:r w:rsidRPr="00FD431F">
        <w:rPr>
          <w:rStyle w:val="BodyText1"/>
          <w:sz w:val="22"/>
          <w:szCs w:val="22"/>
        </w:rPr>
        <w:t>Repeal the section.</w:t>
      </w:r>
    </w:p>
    <w:p w14:paraId="4EB4D14A" w14:textId="77777777" w:rsidR="00BB1BDD" w:rsidRPr="00FD431F" w:rsidRDefault="00BB1BDD" w:rsidP="00FD431F">
      <w:pPr>
        <w:pStyle w:val="BodyText2"/>
        <w:pBdr>
          <w:bottom w:val="single" w:sz="12" w:space="1" w:color="auto"/>
        </w:pBdr>
        <w:spacing w:line="240" w:lineRule="auto"/>
        <w:ind w:firstLine="0"/>
        <w:jc w:val="both"/>
        <w:rPr>
          <w:sz w:val="22"/>
          <w:szCs w:val="22"/>
        </w:rPr>
      </w:pPr>
    </w:p>
    <w:p w14:paraId="09CDE25F" w14:textId="11FAAE32" w:rsidR="00BE7709" w:rsidRPr="00256A33" w:rsidRDefault="00EE0685" w:rsidP="00256A33">
      <w:pPr>
        <w:pStyle w:val="Bodytext50"/>
        <w:spacing w:before="120" w:line="240" w:lineRule="auto"/>
        <w:ind w:firstLine="0"/>
        <w:jc w:val="both"/>
        <w:rPr>
          <w:b w:val="0"/>
          <w:sz w:val="20"/>
          <w:szCs w:val="22"/>
        </w:rPr>
      </w:pPr>
      <w:r w:rsidRPr="00256A33">
        <w:rPr>
          <w:b w:val="0"/>
          <w:i w:val="0"/>
          <w:sz w:val="20"/>
          <w:szCs w:val="22"/>
        </w:rPr>
        <w:t>[</w:t>
      </w:r>
      <w:r w:rsidRPr="00256A33">
        <w:rPr>
          <w:b w:val="0"/>
          <w:sz w:val="20"/>
          <w:szCs w:val="22"/>
        </w:rPr>
        <w:t>Minister’s second reading speech made in</w:t>
      </w:r>
      <w:r w:rsidRPr="00256A33">
        <w:rPr>
          <w:rStyle w:val="Bodytext5NotItalic"/>
          <w:b/>
          <w:bCs/>
          <w:sz w:val="20"/>
          <w:szCs w:val="22"/>
        </w:rPr>
        <w:t>—</w:t>
      </w:r>
    </w:p>
    <w:p w14:paraId="3A720BDD" w14:textId="58F96E3B" w:rsidR="00BE7709" w:rsidRPr="00256A33" w:rsidRDefault="00EE0685" w:rsidP="00256A33">
      <w:pPr>
        <w:pStyle w:val="Bodytext50"/>
        <w:spacing w:line="240" w:lineRule="auto"/>
        <w:ind w:left="900" w:right="4410" w:firstLine="0"/>
        <w:jc w:val="both"/>
        <w:rPr>
          <w:b w:val="0"/>
          <w:sz w:val="20"/>
          <w:szCs w:val="22"/>
        </w:rPr>
      </w:pPr>
      <w:r w:rsidRPr="00256A33">
        <w:rPr>
          <w:b w:val="0"/>
          <w:sz w:val="20"/>
          <w:szCs w:val="22"/>
        </w:rPr>
        <w:t>House of Represent</w:t>
      </w:r>
      <w:r w:rsidR="00F10C6C" w:rsidRPr="00256A33">
        <w:rPr>
          <w:b w:val="0"/>
          <w:sz w:val="20"/>
          <w:szCs w:val="22"/>
        </w:rPr>
        <w:t>atives on 11 May 1995</w:t>
      </w:r>
      <w:r w:rsidR="003C1A12" w:rsidRPr="00256A33">
        <w:rPr>
          <w:b w:val="0"/>
          <w:sz w:val="20"/>
          <w:szCs w:val="22"/>
        </w:rPr>
        <w:t xml:space="preserve"> </w:t>
      </w:r>
      <w:bookmarkStart w:id="3" w:name="_GoBack"/>
      <w:bookmarkEnd w:id="3"/>
      <w:r w:rsidRPr="00256A33">
        <w:rPr>
          <w:b w:val="0"/>
          <w:sz w:val="20"/>
          <w:szCs w:val="22"/>
        </w:rPr>
        <w:t>Senate on 29 May 1995</w:t>
      </w:r>
      <w:r w:rsidRPr="00256A33">
        <w:rPr>
          <w:rStyle w:val="Bodytext5NotItalic"/>
          <w:bCs/>
          <w:sz w:val="20"/>
          <w:szCs w:val="22"/>
        </w:rPr>
        <w:t>]</w:t>
      </w:r>
    </w:p>
    <w:sectPr w:rsidR="00BE7709" w:rsidRPr="00256A33" w:rsidSect="00A55E14">
      <w:headerReference w:type="default" r:id="rId9"/>
      <w:pgSz w:w="12240" w:h="15840" w:code="1"/>
      <w:pgMar w:top="1440" w:right="1440" w:bottom="1440" w:left="1440" w:header="54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7523F2" w15:done="0"/>
  <w15:commentEx w15:paraId="5A872E01" w15:done="0"/>
  <w15:commentEx w15:paraId="1308B67C" w15:done="0"/>
  <w15:commentEx w15:paraId="73D73271" w15:done="0"/>
  <w15:commentEx w15:paraId="508CE2E7" w15:done="0"/>
  <w15:commentEx w15:paraId="2F0154F3" w15:done="0"/>
  <w15:commentEx w15:paraId="644FC103" w15:done="0"/>
  <w15:commentEx w15:paraId="6EA94972" w15:done="0"/>
  <w15:commentEx w15:paraId="0620D4D0" w15:done="0"/>
  <w15:commentEx w15:paraId="22812E95" w15:done="0"/>
  <w15:commentEx w15:paraId="2D8527B5" w15:done="0"/>
  <w15:commentEx w15:paraId="7C561A40" w15:done="0"/>
  <w15:commentEx w15:paraId="7C607309" w15:done="0"/>
  <w15:commentEx w15:paraId="7B0EFAD7" w15:done="0"/>
  <w15:commentEx w15:paraId="52B6E63B" w15:done="0"/>
  <w15:commentEx w15:paraId="3DB882EB" w15:done="0"/>
  <w15:commentEx w15:paraId="1144282C" w15:done="0"/>
  <w15:commentEx w15:paraId="2D221A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7523F2" w16cid:durableId="21305CB6"/>
  <w16cid:commentId w16cid:paraId="5A872E01" w16cid:durableId="21305CDD"/>
  <w16cid:commentId w16cid:paraId="1308B67C" w16cid:durableId="21305CEF"/>
  <w16cid:commentId w16cid:paraId="73D73271" w16cid:durableId="21305CFD"/>
  <w16cid:commentId w16cid:paraId="508CE2E7" w16cid:durableId="21305D09"/>
  <w16cid:commentId w16cid:paraId="2F0154F3" w16cid:durableId="21305D10"/>
  <w16cid:commentId w16cid:paraId="644FC103" w16cid:durableId="21305D34"/>
  <w16cid:commentId w16cid:paraId="6EA94972" w16cid:durableId="21305D4B"/>
  <w16cid:commentId w16cid:paraId="0620D4D0" w16cid:durableId="21305D54"/>
  <w16cid:commentId w16cid:paraId="22812E95" w16cid:durableId="21305D5B"/>
  <w16cid:commentId w16cid:paraId="2D8527B5" w16cid:durableId="21305D66"/>
  <w16cid:commentId w16cid:paraId="7C561A40" w16cid:durableId="21305D6B"/>
  <w16cid:commentId w16cid:paraId="7C607309" w16cid:durableId="21305D82"/>
  <w16cid:commentId w16cid:paraId="7B0EFAD7" w16cid:durableId="21305D9E"/>
  <w16cid:commentId w16cid:paraId="52B6E63B" w16cid:durableId="21305DA7"/>
  <w16cid:commentId w16cid:paraId="3DB882EB" w16cid:durableId="21305DBB"/>
  <w16cid:commentId w16cid:paraId="1144282C" w16cid:durableId="21305DC6"/>
  <w16cid:commentId w16cid:paraId="2D221A2C" w16cid:durableId="21305D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58724" w14:textId="77777777" w:rsidR="00955E0F" w:rsidRDefault="00955E0F">
      <w:r>
        <w:separator/>
      </w:r>
    </w:p>
  </w:endnote>
  <w:endnote w:type="continuationSeparator" w:id="0">
    <w:p w14:paraId="0284FDF4" w14:textId="77777777" w:rsidR="00955E0F" w:rsidRDefault="0095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BD494" w14:textId="77777777" w:rsidR="00955E0F" w:rsidRDefault="00955E0F"/>
  </w:footnote>
  <w:footnote w:type="continuationSeparator" w:id="0">
    <w:p w14:paraId="6DECB7FC" w14:textId="77777777" w:rsidR="00955E0F" w:rsidRDefault="00955E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03BC3" w14:textId="107E0F59" w:rsidR="00780C01" w:rsidRPr="00A55E14" w:rsidRDefault="00780C01" w:rsidP="00A55E14">
    <w:pPr>
      <w:pStyle w:val="Header"/>
      <w:jc w:val="center"/>
      <w:rPr>
        <w:sz w:val="22"/>
        <w:szCs w:val="22"/>
      </w:rPr>
    </w:pPr>
    <w:r w:rsidRPr="00A55E14">
      <w:rPr>
        <w:rFonts w:ascii="Times New Roman" w:hAnsi="Times New Roman" w:cs="Times New Roman"/>
        <w:i/>
        <w:iCs/>
        <w:color w:val="auto"/>
        <w:sz w:val="22"/>
        <w:szCs w:val="22"/>
        <w:lang w:val="en-IN"/>
      </w:rPr>
      <w:t>Migration Legislation Amendment (No. 5)</w:t>
    </w:r>
    <w:r>
      <w:rPr>
        <w:rFonts w:ascii="Times New Roman" w:hAnsi="Times New Roman" w:cs="Times New Roman"/>
        <w:i/>
        <w:iCs/>
        <w:color w:val="auto"/>
        <w:sz w:val="22"/>
        <w:szCs w:val="22"/>
        <w:lang w:val="en-IN"/>
      </w:rPr>
      <w:t>.</w:t>
    </w:r>
    <w:r w:rsidR="00256A33">
      <w:rPr>
        <w:rFonts w:ascii="Times New Roman" w:hAnsi="Times New Roman" w:cs="Times New Roman"/>
        <w:i/>
        <w:iCs/>
        <w:color w:val="auto"/>
        <w:sz w:val="22"/>
        <w:szCs w:val="22"/>
        <w:lang w:val="en-IN"/>
      </w:rPr>
      <w:tab/>
      <w:t xml:space="preserve">  </w:t>
    </w:r>
    <w:r>
      <w:rPr>
        <w:rFonts w:ascii="Times New Roman" w:hAnsi="Times New Roman" w:cs="Times New Roman"/>
        <w:i/>
        <w:iCs/>
        <w:color w:val="auto"/>
        <w:sz w:val="22"/>
        <w:szCs w:val="22"/>
        <w:lang w:val="en-IN"/>
      </w:rPr>
      <w:t xml:space="preserve"> </w:t>
    </w:r>
    <w:r w:rsidRPr="00A55E14">
      <w:rPr>
        <w:rFonts w:ascii="Times New Roman" w:hAnsi="Times New Roman" w:cs="Times New Roman"/>
        <w:i/>
        <w:iCs/>
        <w:color w:val="auto"/>
        <w:sz w:val="22"/>
        <w:szCs w:val="22"/>
        <w:lang w:val="en-IN"/>
      </w:rPr>
      <w:t>No. 100, 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39B9"/>
    <w:multiLevelType w:val="multilevel"/>
    <w:tmpl w:val="77FEE4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906DB"/>
    <w:multiLevelType w:val="multilevel"/>
    <w:tmpl w:val="6CF6A8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793628"/>
    <w:multiLevelType w:val="multilevel"/>
    <w:tmpl w:val="98546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203D7C"/>
    <w:multiLevelType w:val="multilevel"/>
    <w:tmpl w:val="0870E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8127A7"/>
    <w:multiLevelType w:val="multilevel"/>
    <w:tmpl w:val="BE2C24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917851"/>
    <w:multiLevelType w:val="multilevel"/>
    <w:tmpl w:val="03A2A2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D5212F"/>
    <w:multiLevelType w:val="multilevel"/>
    <w:tmpl w:val="9EF21D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0F491D"/>
    <w:multiLevelType w:val="multilevel"/>
    <w:tmpl w:val="49280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D3944F8"/>
    <w:multiLevelType w:val="multilevel"/>
    <w:tmpl w:val="2350F5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8"/>
  </w:num>
  <w:num w:numId="4">
    <w:abstractNumId w:val="2"/>
  </w:num>
  <w:num w:numId="5">
    <w:abstractNumId w:val="1"/>
  </w:num>
  <w:num w:numId="6">
    <w:abstractNumId w:val="5"/>
  </w:num>
  <w:num w:numId="7">
    <w:abstractNumId w:val="6"/>
  </w:num>
  <w:num w:numId="8">
    <w:abstractNumId w:val="0"/>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BE7709"/>
    <w:rsid w:val="00002AF4"/>
    <w:rsid w:val="00090F84"/>
    <w:rsid w:val="001C6ACB"/>
    <w:rsid w:val="001E686A"/>
    <w:rsid w:val="002364C1"/>
    <w:rsid w:val="00256A33"/>
    <w:rsid w:val="00301C4F"/>
    <w:rsid w:val="00382BB8"/>
    <w:rsid w:val="003C1A12"/>
    <w:rsid w:val="00477D53"/>
    <w:rsid w:val="004801BD"/>
    <w:rsid w:val="0055725A"/>
    <w:rsid w:val="005C2464"/>
    <w:rsid w:val="006F1051"/>
    <w:rsid w:val="00707F7A"/>
    <w:rsid w:val="00780C01"/>
    <w:rsid w:val="007E0DC0"/>
    <w:rsid w:val="008F5D29"/>
    <w:rsid w:val="00955E0F"/>
    <w:rsid w:val="00A11D9B"/>
    <w:rsid w:val="00A55E14"/>
    <w:rsid w:val="00AC140F"/>
    <w:rsid w:val="00AF10B4"/>
    <w:rsid w:val="00BB1BDD"/>
    <w:rsid w:val="00BE7709"/>
    <w:rsid w:val="00D662BC"/>
    <w:rsid w:val="00E54B1C"/>
    <w:rsid w:val="00EE0685"/>
    <w:rsid w:val="00F10C6C"/>
    <w:rsid w:val="00F136F1"/>
    <w:rsid w:val="00F75840"/>
    <w:rsid w:val="00FD43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2F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2">
    <w:name w:val="Heading #1 (2)_"/>
    <w:basedOn w:val="DefaultParagraphFont"/>
    <w:link w:val="Heading120"/>
    <w:rPr>
      <w:rFonts w:ascii="Times New Roman" w:eastAsia="Times New Roman" w:hAnsi="Times New Roman" w:cs="Times New Roman"/>
      <w:b/>
      <w:bCs/>
      <w:i w:val="0"/>
      <w:iCs w:val="0"/>
      <w:smallCaps w:val="0"/>
      <w:strike w:val="0"/>
      <w:sz w:val="40"/>
      <w:szCs w:val="40"/>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3"/>
      <w:szCs w:val="23"/>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7"/>
      <w:szCs w:val="27"/>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3"/>
      <w:szCs w:val="23"/>
      <w:u w:val="none"/>
    </w:rPr>
  </w:style>
  <w:style w:type="character" w:customStyle="1" w:styleId="Bodytext31">
    <w:name w:val="Body text (3)"/>
    <w:basedOn w:val="Bodytext3"/>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
    <w:name w:val="Body text_"/>
    <w:basedOn w:val="DefaultParagraphFont"/>
    <w:link w:val="BodyText2"/>
    <w:rPr>
      <w:rFonts w:ascii="Times New Roman" w:eastAsia="Times New Roman" w:hAnsi="Times New Roman" w:cs="Times New Roman"/>
      <w:b w:val="0"/>
      <w:bCs w:val="0"/>
      <w:i w:val="0"/>
      <w:iCs w:val="0"/>
      <w:smallCaps w:val="0"/>
      <w:strike w:val="0"/>
      <w:sz w:val="23"/>
      <w:szCs w:val="23"/>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16"/>
      <w:szCs w:val="16"/>
      <w:u w:val="none"/>
    </w:rPr>
  </w:style>
  <w:style w:type="character" w:customStyle="1" w:styleId="Bodytext4Italic">
    <w:name w:val="Body text (4) + Italic"/>
    <w:basedOn w:val="Bodytext4"/>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sz w:val="16"/>
      <w:szCs w:val="16"/>
      <w:u w:val="none"/>
    </w:rPr>
  </w:style>
  <w:style w:type="character" w:customStyle="1" w:styleId="Bodytext5NotItalic">
    <w:name w:val="Body text (5) + Not Italic"/>
    <w:basedOn w:val="Bodytext5"/>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Heading32">
    <w:name w:val="Heading #3 (2)_"/>
    <w:basedOn w:val="DefaultParagraphFont"/>
    <w:link w:val="Heading320"/>
    <w:rPr>
      <w:rFonts w:ascii="Times New Roman" w:eastAsia="Times New Roman" w:hAnsi="Times New Roman" w:cs="Times New Roman"/>
      <w:b/>
      <w:bCs/>
      <w:i w:val="0"/>
      <w:iCs w:val="0"/>
      <w:smallCaps w:val="0"/>
      <w:strike w:val="0"/>
      <w:sz w:val="23"/>
      <w:szCs w:val="23"/>
      <w:u w:val="none"/>
    </w:rPr>
  </w:style>
  <w:style w:type="character" w:customStyle="1" w:styleId="Bodytext8pt">
    <w:name w:val="Body text + 8 pt"/>
    <w:aliases w:val="Bold"/>
    <w:basedOn w:val="Bodytext"/>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paragraph" w:customStyle="1" w:styleId="Heading120">
    <w:name w:val="Heading #1 (2)"/>
    <w:basedOn w:val="Normal"/>
    <w:link w:val="Heading12"/>
    <w:pPr>
      <w:spacing w:line="451" w:lineRule="exact"/>
      <w:jc w:val="center"/>
      <w:outlineLvl w:val="0"/>
    </w:pPr>
    <w:rPr>
      <w:rFonts w:ascii="Times New Roman" w:eastAsia="Times New Roman" w:hAnsi="Times New Roman" w:cs="Times New Roman"/>
      <w:b/>
      <w:bCs/>
      <w:sz w:val="40"/>
      <w:szCs w:val="40"/>
    </w:rPr>
  </w:style>
  <w:style w:type="paragraph" w:customStyle="1" w:styleId="Bodytext60">
    <w:name w:val="Body text (6)"/>
    <w:basedOn w:val="Normal"/>
    <w:link w:val="Bodytext6"/>
    <w:pPr>
      <w:spacing w:line="0" w:lineRule="atLeast"/>
      <w:jc w:val="center"/>
    </w:pPr>
    <w:rPr>
      <w:rFonts w:ascii="Times New Roman" w:eastAsia="Times New Roman" w:hAnsi="Times New Roman" w:cs="Times New Roman"/>
      <w:b/>
      <w:bCs/>
      <w:sz w:val="23"/>
      <w:szCs w:val="23"/>
    </w:rPr>
  </w:style>
  <w:style w:type="paragraph" w:customStyle="1" w:styleId="Heading20">
    <w:name w:val="Heading #2"/>
    <w:basedOn w:val="Normal"/>
    <w:link w:val="Heading2"/>
    <w:pPr>
      <w:spacing w:line="0" w:lineRule="atLeast"/>
      <w:jc w:val="center"/>
      <w:outlineLvl w:val="1"/>
    </w:pPr>
    <w:rPr>
      <w:rFonts w:ascii="Times New Roman" w:eastAsia="Times New Roman" w:hAnsi="Times New Roman" w:cs="Times New Roman"/>
      <w:b/>
      <w:bCs/>
      <w:sz w:val="27"/>
      <w:szCs w:val="27"/>
    </w:rPr>
  </w:style>
  <w:style w:type="paragraph" w:customStyle="1" w:styleId="Bodytext30">
    <w:name w:val="Body text (3)"/>
    <w:basedOn w:val="Normal"/>
    <w:link w:val="Bodytext3"/>
    <w:pPr>
      <w:spacing w:line="446" w:lineRule="exact"/>
      <w:jc w:val="right"/>
    </w:pPr>
    <w:rPr>
      <w:rFonts w:ascii="Times New Roman" w:eastAsia="Times New Roman" w:hAnsi="Times New Roman" w:cs="Times New Roman"/>
      <w:i/>
      <w:iCs/>
      <w:sz w:val="23"/>
      <w:szCs w:val="23"/>
    </w:rPr>
  </w:style>
  <w:style w:type="paragraph" w:customStyle="1" w:styleId="BodyText2">
    <w:name w:val="Body Text2"/>
    <w:basedOn w:val="Normal"/>
    <w:link w:val="Bodytext"/>
    <w:pPr>
      <w:spacing w:line="446" w:lineRule="exact"/>
      <w:ind w:hanging="500"/>
    </w:pPr>
    <w:rPr>
      <w:rFonts w:ascii="Times New Roman" w:eastAsia="Times New Roman" w:hAnsi="Times New Roman" w:cs="Times New Roman"/>
      <w:sz w:val="23"/>
      <w:szCs w:val="23"/>
    </w:rPr>
  </w:style>
  <w:style w:type="paragraph" w:customStyle="1" w:styleId="Bodytext40">
    <w:name w:val="Body text (4)"/>
    <w:basedOn w:val="Normal"/>
    <w:link w:val="Bodytext4"/>
    <w:pPr>
      <w:spacing w:line="197" w:lineRule="exact"/>
      <w:ind w:hanging="360"/>
    </w:pPr>
    <w:rPr>
      <w:rFonts w:ascii="Times New Roman" w:eastAsia="Times New Roman" w:hAnsi="Times New Roman" w:cs="Times New Roman"/>
      <w:b/>
      <w:bCs/>
      <w:sz w:val="16"/>
      <w:szCs w:val="16"/>
    </w:rPr>
  </w:style>
  <w:style w:type="paragraph" w:customStyle="1" w:styleId="Bodytext50">
    <w:name w:val="Body text (5)"/>
    <w:basedOn w:val="Normal"/>
    <w:link w:val="Bodytext5"/>
    <w:pPr>
      <w:spacing w:line="269" w:lineRule="exact"/>
      <w:ind w:hanging="360"/>
    </w:pPr>
    <w:rPr>
      <w:rFonts w:ascii="Times New Roman" w:eastAsia="Times New Roman" w:hAnsi="Times New Roman" w:cs="Times New Roman"/>
      <w:b/>
      <w:bCs/>
      <w:i/>
      <w:iCs/>
      <w:sz w:val="16"/>
      <w:szCs w:val="16"/>
    </w:rPr>
  </w:style>
  <w:style w:type="paragraph" w:customStyle="1" w:styleId="Heading320">
    <w:name w:val="Heading #3 (2)"/>
    <w:basedOn w:val="Normal"/>
    <w:link w:val="Heading32"/>
    <w:pPr>
      <w:spacing w:line="0" w:lineRule="atLeast"/>
      <w:ind w:hanging="360"/>
      <w:outlineLvl w:val="2"/>
    </w:pPr>
    <w:rPr>
      <w:rFonts w:ascii="Times New Roman" w:eastAsia="Times New Roman" w:hAnsi="Times New Roman" w:cs="Times New Roman"/>
      <w:b/>
      <w:bCs/>
      <w:sz w:val="23"/>
      <w:szCs w:val="23"/>
    </w:rPr>
  </w:style>
  <w:style w:type="paragraph" w:styleId="ListParagraph">
    <w:name w:val="List Paragraph"/>
    <w:basedOn w:val="Normal"/>
    <w:uiPriority w:val="34"/>
    <w:qFormat/>
    <w:rsid w:val="00707F7A"/>
    <w:pPr>
      <w:ind w:left="720"/>
      <w:contextualSpacing/>
    </w:pPr>
  </w:style>
  <w:style w:type="paragraph" w:styleId="Header">
    <w:name w:val="header"/>
    <w:basedOn w:val="Normal"/>
    <w:link w:val="HeaderChar"/>
    <w:uiPriority w:val="99"/>
    <w:unhideWhenUsed/>
    <w:rsid w:val="00A55E14"/>
    <w:pPr>
      <w:tabs>
        <w:tab w:val="center" w:pos="4513"/>
        <w:tab w:val="right" w:pos="9026"/>
      </w:tabs>
    </w:pPr>
  </w:style>
  <w:style w:type="character" w:customStyle="1" w:styleId="HeaderChar">
    <w:name w:val="Header Char"/>
    <w:basedOn w:val="DefaultParagraphFont"/>
    <w:link w:val="Header"/>
    <w:uiPriority w:val="99"/>
    <w:rsid w:val="00A55E14"/>
    <w:rPr>
      <w:color w:val="000000"/>
    </w:rPr>
  </w:style>
  <w:style w:type="paragraph" w:styleId="Footer">
    <w:name w:val="footer"/>
    <w:basedOn w:val="Normal"/>
    <w:link w:val="FooterChar"/>
    <w:uiPriority w:val="99"/>
    <w:unhideWhenUsed/>
    <w:rsid w:val="00A55E14"/>
    <w:pPr>
      <w:tabs>
        <w:tab w:val="center" w:pos="4513"/>
        <w:tab w:val="right" w:pos="9026"/>
      </w:tabs>
    </w:pPr>
  </w:style>
  <w:style w:type="character" w:customStyle="1" w:styleId="FooterChar">
    <w:name w:val="Footer Char"/>
    <w:basedOn w:val="DefaultParagraphFont"/>
    <w:link w:val="Footer"/>
    <w:uiPriority w:val="99"/>
    <w:rsid w:val="00A55E14"/>
    <w:rPr>
      <w:color w:val="000000"/>
    </w:rPr>
  </w:style>
  <w:style w:type="paragraph" w:styleId="BalloonText">
    <w:name w:val="Balloon Text"/>
    <w:basedOn w:val="Normal"/>
    <w:link w:val="BalloonTextChar"/>
    <w:uiPriority w:val="99"/>
    <w:semiHidden/>
    <w:unhideWhenUsed/>
    <w:rsid w:val="003C1A12"/>
    <w:rPr>
      <w:rFonts w:ascii="Tahoma" w:hAnsi="Tahoma" w:cs="Tahoma"/>
      <w:sz w:val="16"/>
      <w:szCs w:val="16"/>
    </w:rPr>
  </w:style>
  <w:style w:type="character" w:customStyle="1" w:styleId="BalloonTextChar">
    <w:name w:val="Balloon Text Char"/>
    <w:basedOn w:val="DefaultParagraphFont"/>
    <w:link w:val="BalloonText"/>
    <w:uiPriority w:val="99"/>
    <w:semiHidden/>
    <w:rsid w:val="003C1A12"/>
    <w:rPr>
      <w:rFonts w:ascii="Tahoma" w:hAnsi="Tahoma" w:cs="Tahoma"/>
      <w:color w:val="000000"/>
      <w:sz w:val="16"/>
      <w:szCs w:val="16"/>
    </w:rPr>
  </w:style>
  <w:style w:type="character" w:styleId="CommentReference">
    <w:name w:val="annotation reference"/>
    <w:basedOn w:val="DefaultParagraphFont"/>
    <w:uiPriority w:val="99"/>
    <w:semiHidden/>
    <w:unhideWhenUsed/>
    <w:rsid w:val="00002AF4"/>
    <w:rPr>
      <w:sz w:val="16"/>
      <w:szCs w:val="16"/>
    </w:rPr>
  </w:style>
  <w:style w:type="paragraph" w:styleId="CommentText">
    <w:name w:val="annotation text"/>
    <w:basedOn w:val="Normal"/>
    <w:link w:val="CommentTextChar"/>
    <w:uiPriority w:val="99"/>
    <w:semiHidden/>
    <w:unhideWhenUsed/>
    <w:rsid w:val="00002AF4"/>
    <w:rPr>
      <w:sz w:val="20"/>
      <w:szCs w:val="20"/>
    </w:rPr>
  </w:style>
  <w:style w:type="character" w:customStyle="1" w:styleId="CommentTextChar">
    <w:name w:val="Comment Text Char"/>
    <w:basedOn w:val="DefaultParagraphFont"/>
    <w:link w:val="CommentText"/>
    <w:uiPriority w:val="99"/>
    <w:semiHidden/>
    <w:rsid w:val="00002AF4"/>
    <w:rPr>
      <w:color w:val="000000"/>
      <w:sz w:val="20"/>
      <w:szCs w:val="20"/>
    </w:rPr>
  </w:style>
  <w:style w:type="paragraph" w:styleId="CommentSubject">
    <w:name w:val="annotation subject"/>
    <w:basedOn w:val="CommentText"/>
    <w:next w:val="CommentText"/>
    <w:link w:val="CommentSubjectChar"/>
    <w:uiPriority w:val="99"/>
    <w:semiHidden/>
    <w:unhideWhenUsed/>
    <w:rsid w:val="00002AF4"/>
    <w:rPr>
      <w:b/>
      <w:bCs/>
    </w:rPr>
  </w:style>
  <w:style w:type="character" w:customStyle="1" w:styleId="CommentSubjectChar">
    <w:name w:val="Comment Subject Char"/>
    <w:basedOn w:val="CommentTextChar"/>
    <w:link w:val="CommentSubject"/>
    <w:uiPriority w:val="99"/>
    <w:semiHidden/>
    <w:rsid w:val="00002AF4"/>
    <w:rPr>
      <w:b/>
      <w:bCs/>
      <w:color w:val="000000"/>
      <w:sz w:val="20"/>
      <w:szCs w:val="20"/>
    </w:rPr>
  </w:style>
  <w:style w:type="paragraph" w:styleId="Revision">
    <w:name w:val="Revision"/>
    <w:hidden/>
    <w:uiPriority w:val="99"/>
    <w:semiHidden/>
    <w:rsid w:val="00256A33"/>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2019-09-20T22:29:00Z</dcterms:created>
  <dcterms:modified xsi:type="dcterms:W3CDTF">2019-11-14T04:09:00Z</dcterms:modified>
</cp:coreProperties>
</file>