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678A8" w14:textId="6BB23589" w:rsidR="00C9092F" w:rsidRPr="006F5B13" w:rsidRDefault="00CB6934" w:rsidP="0042192C">
      <w:pPr>
        <w:jc w:val="center"/>
        <w:rPr>
          <w:rFonts w:ascii="Times New Roman" w:hAnsi="Times New Roman"/>
          <w:sz w:val="22"/>
          <w:szCs w:val="2"/>
        </w:rPr>
      </w:pPr>
      <w:r>
        <w:rPr>
          <w:rFonts w:ascii="Times New Roman" w:hAnsi="Times New Roman"/>
          <w:sz w:val="22"/>
        </w:rPr>
        <w:pict w14:anchorId="7668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ommonwealth Coat of Arms of Australia" style="width:129pt;height:88.7pt">
            <v:imagedata r:id="rId9" o:title=""/>
          </v:shape>
        </w:pict>
      </w:r>
    </w:p>
    <w:p w14:paraId="35BF96EE" w14:textId="77777777" w:rsidR="00C9092F" w:rsidRPr="000570B2" w:rsidRDefault="00FD7BEC" w:rsidP="00B00406">
      <w:pPr>
        <w:pStyle w:val="BodyText1"/>
        <w:shd w:val="clear" w:color="auto" w:fill="auto"/>
        <w:spacing w:before="960" w:line="240" w:lineRule="auto"/>
        <w:ind w:firstLine="0"/>
        <w:jc w:val="center"/>
        <w:rPr>
          <w:b/>
          <w:sz w:val="36"/>
          <w:szCs w:val="36"/>
        </w:rPr>
      </w:pPr>
      <w:bookmarkStart w:id="0" w:name="bookmark0"/>
      <w:r>
        <w:rPr>
          <w:b/>
          <w:sz w:val="36"/>
          <w:szCs w:val="36"/>
        </w:rPr>
        <w:t>R</w:t>
      </w:r>
      <w:r w:rsidR="00E5700D" w:rsidRPr="000570B2">
        <w:rPr>
          <w:b/>
          <w:sz w:val="36"/>
          <w:szCs w:val="36"/>
        </w:rPr>
        <w:t>acial Hatred Act 1995</w:t>
      </w:r>
      <w:bookmarkEnd w:id="0"/>
    </w:p>
    <w:p w14:paraId="120DF065" w14:textId="2EBCC800" w:rsidR="00C9092F" w:rsidRPr="00CB6934" w:rsidRDefault="00E5700D" w:rsidP="00B00406">
      <w:pPr>
        <w:pStyle w:val="Bodytext20"/>
        <w:shd w:val="clear" w:color="auto" w:fill="auto"/>
        <w:spacing w:before="960" w:line="240" w:lineRule="auto"/>
        <w:rPr>
          <w:szCs w:val="22"/>
        </w:rPr>
      </w:pPr>
      <w:r w:rsidRPr="00CB6934">
        <w:rPr>
          <w:szCs w:val="22"/>
        </w:rPr>
        <w:t>No. 101 of 1995</w:t>
      </w:r>
    </w:p>
    <w:p w14:paraId="3BCC148E" w14:textId="77777777" w:rsidR="00EA0BAC" w:rsidRDefault="00EA0BAC" w:rsidP="00A64DF3">
      <w:pPr>
        <w:pStyle w:val="BodyText1"/>
        <w:pBdr>
          <w:top w:val="thickThinSmallGap" w:sz="12" w:space="1" w:color="auto"/>
        </w:pBdr>
        <w:shd w:val="clear" w:color="auto" w:fill="auto"/>
        <w:spacing w:before="960" w:line="240" w:lineRule="auto"/>
        <w:ind w:firstLine="0"/>
        <w:rPr>
          <w:b/>
          <w:sz w:val="28"/>
          <w:szCs w:val="28"/>
        </w:rPr>
      </w:pPr>
      <w:bookmarkStart w:id="1" w:name="bookmark1"/>
    </w:p>
    <w:p w14:paraId="1F3D5877" w14:textId="77777777" w:rsidR="00C9092F" w:rsidRPr="00EA0BAC" w:rsidRDefault="00E5700D" w:rsidP="00EA0BAC">
      <w:pPr>
        <w:pStyle w:val="BodyText1"/>
        <w:shd w:val="clear" w:color="auto" w:fill="auto"/>
        <w:spacing w:before="960" w:line="240" w:lineRule="auto"/>
        <w:ind w:firstLine="0"/>
        <w:jc w:val="center"/>
        <w:rPr>
          <w:b/>
          <w:sz w:val="26"/>
          <w:szCs w:val="26"/>
        </w:rPr>
      </w:pPr>
      <w:r w:rsidRPr="00EA0BAC">
        <w:rPr>
          <w:b/>
          <w:sz w:val="26"/>
          <w:szCs w:val="26"/>
        </w:rPr>
        <w:t>An Act to prohibit certain conduct involving the hatred of other people on the ground of race, colour or national or ethnic origin, and for related purposes</w:t>
      </w:r>
      <w:bookmarkEnd w:id="1"/>
    </w:p>
    <w:p w14:paraId="0F778EA5" w14:textId="77777777" w:rsidR="00C9092F" w:rsidRPr="006F5B13" w:rsidRDefault="00E5700D" w:rsidP="00EA0BAC">
      <w:pPr>
        <w:pStyle w:val="Bodytext30"/>
        <w:shd w:val="clear" w:color="auto" w:fill="auto"/>
        <w:spacing w:before="120" w:line="240" w:lineRule="auto"/>
        <w:ind w:firstLine="0"/>
        <w:rPr>
          <w:sz w:val="22"/>
        </w:rPr>
      </w:pPr>
      <w:r w:rsidRPr="006F5B13">
        <w:rPr>
          <w:rStyle w:val="Bodytext3NotItalic"/>
          <w:sz w:val="22"/>
        </w:rPr>
        <w:t>[</w:t>
      </w:r>
      <w:r w:rsidRPr="006F5B13">
        <w:rPr>
          <w:sz w:val="22"/>
        </w:rPr>
        <w:t>Assented to 15 September 1995</w:t>
      </w:r>
      <w:r w:rsidRPr="006F5B13">
        <w:rPr>
          <w:rStyle w:val="Bodytext3NotItalic"/>
          <w:sz w:val="22"/>
        </w:rPr>
        <w:t>]</w:t>
      </w:r>
    </w:p>
    <w:p w14:paraId="78A8195E" w14:textId="77777777" w:rsidR="00C9092F" w:rsidRPr="006F5B13" w:rsidRDefault="00E5700D" w:rsidP="00B00406">
      <w:pPr>
        <w:pStyle w:val="Bodytext30"/>
        <w:shd w:val="clear" w:color="auto" w:fill="auto"/>
        <w:spacing w:before="120" w:line="240" w:lineRule="auto"/>
        <w:ind w:firstLine="0"/>
        <w:rPr>
          <w:sz w:val="22"/>
        </w:rPr>
      </w:pPr>
      <w:r w:rsidRPr="006F5B13">
        <w:rPr>
          <w:rStyle w:val="Bodytext3NotItalic"/>
          <w:sz w:val="22"/>
        </w:rPr>
        <w:t>[</w:t>
      </w:r>
      <w:r w:rsidRPr="006F5B13">
        <w:rPr>
          <w:sz w:val="22"/>
        </w:rPr>
        <w:t>Date of commencement 13 October 1995</w:t>
      </w:r>
      <w:r w:rsidRPr="006F5B13">
        <w:rPr>
          <w:rStyle w:val="Bodytext3NotItalic"/>
          <w:sz w:val="22"/>
        </w:rPr>
        <w:t>]</w:t>
      </w:r>
    </w:p>
    <w:p w14:paraId="63E22BA6" w14:textId="77777777" w:rsidR="00C9092F" w:rsidRPr="006F5B13" w:rsidRDefault="00E5700D" w:rsidP="00B00406">
      <w:pPr>
        <w:pStyle w:val="BodyText1"/>
        <w:shd w:val="clear" w:color="auto" w:fill="auto"/>
        <w:spacing w:before="120" w:line="240" w:lineRule="auto"/>
        <w:ind w:firstLine="270"/>
        <w:rPr>
          <w:sz w:val="22"/>
        </w:rPr>
      </w:pPr>
      <w:r w:rsidRPr="006F5B13">
        <w:rPr>
          <w:sz w:val="22"/>
        </w:rPr>
        <w:t>The Parliament of Australia enacts:</w:t>
      </w:r>
    </w:p>
    <w:p w14:paraId="76B16CEC" w14:textId="77777777" w:rsidR="00C9092F" w:rsidRPr="006F5B13" w:rsidRDefault="00E5700D" w:rsidP="0042192C">
      <w:pPr>
        <w:pStyle w:val="Bodytext20"/>
        <w:shd w:val="clear" w:color="auto" w:fill="auto"/>
        <w:spacing w:before="120" w:line="240" w:lineRule="auto"/>
        <w:rPr>
          <w:sz w:val="22"/>
        </w:rPr>
      </w:pPr>
      <w:r w:rsidRPr="006F5B13">
        <w:rPr>
          <w:sz w:val="22"/>
        </w:rPr>
        <w:t>PART 1—PRELIMINARY</w:t>
      </w:r>
    </w:p>
    <w:p w14:paraId="0FAC8FF9" w14:textId="77777777" w:rsidR="00C9092F" w:rsidRPr="006F5B13" w:rsidRDefault="00E5700D" w:rsidP="0042192C">
      <w:pPr>
        <w:pStyle w:val="Bodytext20"/>
        <w:shd w:val="clear" w:color="auto" w:fill="auto"/>
        <w:spacing w:before="120" w:after="60" w:line="240" w:lineRule="auto"/>
        <w:jc w:val="both"/>
        <w:rPr>
          <w:sz w:val="22"/>
        </w:rPr>
      </w:pPr>
      <w:r w:rsidRPr="006F5B13">
        <w:rPr>
          <w:sz w:val="22"/>
        </w:rPr>
        <w:t>Short title</w:t>
      </w:r>
    </w:p>
    <w:p w14:paraId="6A1C0F35" w14:textId="77777777" w:rsidR="0042192C" w:rsidRDefault="0042192C" w:rsidP="00A64DF3">
      <w:pPr>
        <w:pStyle w:val="BodyText1"/>
        <w:shd w:val="clear" w:color="auto" w:fill="auto"/>
        <w:tabs>
          <w:tab w:val="left" w:pos="612"/>
        </w:tabs>
        <w:spacing w:before="120" w:line="240" w:lineRule="auto"/>
        <w:ind w:firstLine="270"/>
        <w:rPr>
          <w:rStyle w:val="BodytextItalic"/>
          <w:sz w:val="22"/>
        </w:rPr>
      </w:pPr>
      <w:r w:rsidRPr="0042192C">
        <w:rPr>
          <w:b/>
          <w:sz w:val="22"/>
        </w:rPr>
        <w:t>1.</w:t>
      </w:r>
      <w:r>
        <w:rPr>
          <w:sz w:val="22"/>
        </w:rPr>
        <w:tab/>
      </w:r>
      <w:r w:rsidR="00E5700D" w:rsidRPr="006F5B13">
        <w:rPr>
          <w:sz w:val="22"/>
        </w:rPr>
        <w:t xml:space="preserve">This Act may be cited as the </w:t>
      </w:r>
      <w:r w:rsidR="00E5700D" w:rsidRPr="006F5B13">
        <w:rPr>
          <w:rStyle w:val="BodytextItalic"/>
          <w:sz w:val="22"/>
        </w:rPr>
        <w:t>Racial Hatred Act 1995</w:t>
      </w:r>
      <w:r>
        <w:rPr>
          <w:rStyle w:val="BodytextItalic"/>
          <w:sz w:val="22"/>
        </w:rPr>
        <w:t>.</w:t>
      </w:r>
    </w:p>
    <w:p w14:paraId="51805698" w14:textId="77777777" w:rsidR="00D96048" w:rsidRPr="00D96048" w:rsidRDefault="00D96048" w:rsidP="00D96048">
      <w:pPr>
        <w:pStyle w:val="BodyText1"/>
        <w:shd w:val="clear" w:color="auto" w:fill="auto"/>
        <w:tabs>
          <w:tab w:val="left" w:pos="612"/>
        </w:tabs>
        <w:spacing w:before="120" w:line="240" w:lineRule="auto"/>
        <w:ind w:firstLine="0"/>
        <w:rPr>
          <w:rStyle w:val="BodytextItalic"/>
          <w:i w:val="0"/>
          <w:sz w:val="22"/>
        </w:rPr>
      </w:pPr>
    </w:p>
    <w:p w14:paraId="4386E61A" w14:textId="77777777" w:rsidR="00A64DF3" w:rsidRDefault="00A64DF3">
      <w:pPr>
        <w:rPr>
          <w:rStyle w:val="Bodytext21"/>
          <w:rFonts w:eastAsia="Courier New"/>
          <w:sz w:val="22"/>
        </w:rPr>
      </w:pPr>
      <w:r>
        <w:rPr>
          <w:rStyle w:val="Bodytext21"/>
          <w:rFonts w:eastAsia="Courier New"/>
          <w:b w:val="0"/>
          <w:bCs w:val="0"/>
          <w:sz w:val="22"/>
        </w:rPr>
        <w:br w:type="page"/>
      </w:r>
    </w:p>
    <w:p w14:paraId="293647F7" w14:textId="07C316B5" w:rsidR="00C9092F" w:rsidRPr="006F5B13" w:rsidRDefault="00E5700D" w:rsidP="00A64DF3">
      <w:pPr>
        <w:pStyle w:val="Bodytext20"/>
        <w:shd w:val="clear" w:color="auto" w:fill="auto"/>
        <w:spacing w:before="120" w:line="240" w:lineRule="auto"/>
        <w:rPr>
          <w:sz w:val="22"/>
        </w:rPr>
      </w:pPr>
      <w:r w:rsidRPr="006F5B13">
        <w:rPr>
          <w:rStyle w:val="Bodytext21"/>
          <w:b/>
          <w:bCs/>
          <w:sz w:val="22"/>
        </w:rPr>
        <w:lastRenderedPageBreak/>
        <w:t xml:space="preserve">PART 2—AMENDMENT OF THE RACIAL </w:t>
      </w:r>
      <w:proofErr w:type="spellStart"/>
      <w:r w:rsidRPr="006F5B13">
        <w:rPr>
          <w:rStyle w:val="Bodytext21"/>
          <w:b/>
          <w:bCs/>
          <w:sz w:val="22"/>
        </w:rPr>
        <w:t>DISCRIMINATIONACT</w:t>
      </w:r>
      <w:proofErr w:type="spellEnd"/>
      <w:r w:rsidRPr="006F5B13">
        <w:rPr>
          <w:rStyle w:val="Bodytext21"/>
          <w:b/>
          <w:bCs/>
          <w:sz w:val="22"/>
        </w:rPr>
        <w:t xml:space="preserve"> 1975</w:t>
      </w:r>
    </w:p>
    <w:p w14:paraId="2273A460" w14:textId="77777777" w:rsidR="00C9092F" w:rsidRPr="0042192C" w:rsidRDefault="00E5700D" w:rsidP="00A64DF3">
      <w:pPr>
        <w:pStyle w:val="Bodytext20"/>
        <w:shd w:val="clear" w:color="auto" w:fill="auto"/>
        <w:spacing w:before="120" w:after="60" w:line="240" w:lineRule="auto"/>
        <w:jc w:val="both"/>
        <w:rPr>
          <w:sz w:val="22"/>
        </w:rPr>
      </w:pPr>
      <w:r w:rsidRPr="0042192C">
        <w:rPr>
          <w:sz w:val="22"/>
        </w:rPr>
        <w:t>Principal Act</w:t>
      </w:r>
    </w:p>
    <w:p w14:paraId="4975C1F4" w14:textId="27689E58" w:rsidR="00C9092F" w:rsidRPr="006F5B13" w:rsidRDefault="005F055E" w:rsidP="00A64DF3">
      <w:pPr>
        <w:pStyle w:val="BodyText1"/>
        <w:shd w:val="clear" w:color="auto" w:fill="auto"/>
        <w:tabs>
          <w:tab w:val="left" w:pos="612"/>
        </w:tabs>
        <w:spacing w:before="120" w:line="240" w:lineRule="auto"/>
        <w:ind w:firstLine="270"/>
        <w:rPr>
          <w:sz w:val="22"/>
        </w:rPr>
      </w:pPr>
      <w:r w:rsidRPr="00386745">
        <w:rPr>
          <w:b/>
          <w:sz w:val="22"/>
        </w:rPr>
        <w:t>2.</w:t>
      </w:r>
      <w:r>
        <w:rPr>
          <w:sz w:val="22"/>
        </w:rPr>
        <w:tab/>
      </w:r>
      <w:r w:rsidR="00E5700D" w:rsidRPr="006F5B13">
        <w:rPr>
          <w:sz w:val="22"/>
        </w:rPr>
        <w:t xml:space="preserve">In this Part, </w:t>
      </w:r>
      <w:r w:rsidR="00E5700D" w:rsidRPr="00EA0BAC">
        <w:rPr>
          <w:b/>
          <w:sz w:val="22"/>
        </w:rPr>
        <w:t>“Principal Act”</w:t>
      </w:r>
      <w:r w:rsidR="00E5700D" w:rsidRPr="006F5B13">
        <w:rPr>
          <w:sz w:val="22"/>
        </w:rPr>
        <w:t xml:space="preserve"> means the </w:t>
      </w:r>
      <w:r w:rsidR="00E5700D" w:rsidRPr="006F5B13">
        <w:rPr>
          <w:rStyle w:val="BodytextItalic0"/>
          <w:sz w:val="22"/>
        </w:rPr>
        <w:t xml:space="preserve">Racial Discrimination Act </w:t>
      </w:r>
      <w:r w:rsidR="00EA0BAC">
        <w:rPr>
          <w:rStyle w:val="BodytextItalic0"/>
          <w:sz w:val="22"/>
        </w:rPr>
        <w:t>1975</w:t>
      </w:r>
      <w:r w:rsidR="00D96048" w:rsidRPr="00CB6934">
        <w:rPr>
          <w:rStyle w:val="BodytextItalic0"/>
          <w:i w:val="0"/>
          <w:sz w:val="22"/>
          <w:vertAlign w:val="superscript"/>
        </w:rPr>
        <w:t>1</w:t>
      </w:r>
    </w:p>
    <w:p w14:paraId="459E87A1" w14:textId="77777777" w:rsidR="00C9092F" w:rsidRPr="00B00406" w:rsidRDefault="00E5700D" w:rsidP="00A64DF3">
      <w:pPr>
        <w:pStyle w:val="BodyText1"/>
        <w:shd w:val="clear" w:color="auto" w:fill="auto"/>
        <w:spacing w:before="120" w:after="60" w:line="240" w:lineRule="auto"/>
        <w:ind w:firstLine="0"/>
        <w:rPr>
          <w:b/>
          <w:sz w:val="22"/>
        </w:rPr>
      </w:pPr>
      <w:r w:rsidRPr="00B00406">
        <w:rPr>
          <w:b/>
          <w:sz w:val="22"/>
        </w:rPr>
        <w:t>Insertion of new Part</w:t>
      </w:r>
    </w:p>
    <w:p w14:paraId="6DC60B18" w14:textId="77777777" w:rsidR="00C9092F" w:rsidRPr="006F5B13" w:rsidRDefault="005F055E" w:rsidP="00A64DF3">
      <w:pPr>
        <w:pStyle w:val="BodyText1"/>
        <w:shd w:val="clear" w:color="auto" w:fill="auto"/>
        <w:tabs>
          <w:tab w:val="left" w:pos="612"/>
        </w:tabs>
        <w:spacing w:before="120" w:line="240" w:lineRule="auto"/>
        <w:ind w:firstLine="270"/>
        <w:rPr>
          <w:sz w:val="22"/>
        </w:rPr>
      </w:pPr>
      <w:r w:rsidRPr="00386745">
        <w:rPr>
          <w:b/>
          <w:sz w:val="22"/>
        </w:rPr>
        <w:t>3.</w:t>
      </w:r>
      <w:r>
        <w:rPr>
          <w:sz w:val="22"/>
        </w:rPr>
        <w:tab/>
      </w:r>
      <w:r w:rsidR="00E5700D" w:rsidRPr="006F5B13">
        <w:rPr>
          <w:sz w:val="22"/>
        </w:rPr>
        <w:t>After Part II of the Principal Act, the following Part is inserted:</w:t>
      </w:r>
    </w:p>
    <w:p w14:paraId="61A48F3A" w14:textId="798E72BC" w:rsidR="00C9092F" w:rsidRPr="006F5B13" w:rsidRDefault="00E5700D" w:rsidP="00A64DF3">
      <w:pPr>
        <w:pStyle w:val="Bodytext20"/>
        <w:shd w:val="clear" w:color="auto" w:fill="auto"/>
        <w:spacing w:before="120" w:line="240" w:lineRule="auto"/>
        <w:rPr>
          <w:sz w:val="22"/>
        </w:rPr>
      </w:pPr>
      <w:r w:rsidRPr="00CB6934">
        <w:rPr>
          <w:rStyle w:val="Bodytext21"/>
          <w:bCs/>
          <w:sz w:val="22"/>
        </w:rPr>
        <w:t>“</w:t>
      </w:r>
      <w:r w:rsidRPr="006F5B13">
        <w:rPr>
          <w:rStyle w:val="Bodytext21"/>
          <w:b/>
          <w:bCs/>
          <w:sz w:val="22"/>
        </w:rPr>
        <w:t xml:space="preserve">PART </w:t>
      </w:r>
      <w:proofErr w:type="spellStart"/>
      <w:r w:rsidRPr="006F5B13">
        <w:rPr>
          <w:rStyle w:val="Bodytext21"/>
          <w:b/>
          <w:bCs/>
          <w:sz w:val="22"/>
        </w:rPr>
        <w:t>IIA</w:t>
      </w:r>
      <w:proofErr w:type="spellEnd"/>
      <w:r w:rsidRPr="006F5B13">
        <w:rPr>
          <w:rStyle w:val="Bodytext21"/>
          <w:b/>
          <w:bCs/>
          <w:sz w:val="22"/>
        </w:rPr>
        <w:t xml:space="preserve">—PROHIBITION OF OFFENSIVE BEHAVIOUR BASED </w:t>
      </w:r>
      <w:r w:rsidR="00D96048">
        <w:rPr>
          <w:rStyle w:val="Bodytext21"/>
          <w:b/>
          <w:bCs/>
          <w:sz w:val="22"/>
        </w:rPr>
        <w:br/>
      </w:r>
      <w:r w:rsidRPr="006F5B13">
        <w:rPr>
          <w:rStyle w:val="Bodytext21"/>
          <w:b/>
          <w:bCs/>
          <w:sz w:val="22"/>
        </w:rPr>
        <w:t>ON RACIAL HATRED</w:t>
      </w:r>
    </w:p>
    <w:p w14:paraId="0117997D" w14:textId="77777777" w:rsidR="00C9092F" w:rsidRPr="006F5B13" w:rsidRDefault="00E5700D" w:rsidP="00A64DF3">
      <w:pPr>
        <w:pStyle w:val="Bodytext20"/>
        <w:shd w:val="clear" w:color="auto" w:fill="auto"/>
        <w:spacing w:before="120" w:after="60" w:line="240" w:lineRule="auto"/>
        <w:jc w:val="both"/>
        <w:rPr>
          <w:sz w:val="22"/>
        </w:rPr>
      </w:pPr>
      <w:r w:rsidRPr="006F5B13">
        <w:rPr>
          <w:sz w:val="22"/>
        </w:rPr>
        <w:t>Reason for doing an act</w:t>
      </w:r>
    </w:p>
    <w:p w14:paraId="0167F5BB" w14:textId="77777777" w:rsidR="00C9092F" w:rsidRPr="006F5B13" w:rsidRDefault="00E5700D" w:rsidP="00A64DF3">
      <w:pPr>
        <w:pStyle w:val="BodyText1"/>
        <w:shd w:val="clear" w:color="auto" w:fill="auto"/>
        <w:spacing w:before="120" w:line="240" w:lineRule="auto"/>
        <w:ind w:firstLine="270"/>
        <w:rPr>
          <w:sz w:val="22"/>
        </w:rPr>
      </w:pPr>
      <w:r w:rsidRPr="006F5B13">
        <w:rPr>
          <w:sz w:val="22"/>
        </w:rPr>
        <w:t>“18B. If:</w:t>
      </w:r>
    </w:p>
    <w:p w14:paraId="0C4AA595" w14:textId="77777777" w:rsidR="00C9092F" w:rsidRPr="006F5B13" w:rsidRDefault="005F055E" w:rsidP="00A64DF3">
      <w:pPr>
        <w:pStyle w:val="BodyText1"/>
        <w:shd w:val="clear" w:color="auto" w:fill="auto"/>
        <w:tabs>
          <w:tab w:val="left" w:pos="746"/>
        </w:tabs>
        <w:spacing w:before="120" w:line="240" w:lineRule="auto"/>
        <w:ind w:firstLine="279"/>
        <w:rPr>
          <w:sz w:val="22"/>
        </w:rPr>
      </w:pPr>
      <w:r>
        <w:rPr>
          <w:sz w:val="22"/>
        </w:rPr>
        <w:t xml:space="preserve">(a) </w:t>
      </w:r>
      <w:r w:rsidR="00E5700D" w:rsidRPr="006F5B13">
        <w:rPr>
          <w:sz w:val="22"/>
        </w:rPr>
        <w:t>an act is done for 2 or more reasons; and</w:t>
      </w:r>
    </w:p>
    <w:p w14:paraId="26BF0F45" w14:textId="77777777" w:rsidR="00C9092F" w:rsidRPr="006F5B13" w:rsidRDefault="005F055E" w:rsidP="00A64DF3">
      <w:pPr>
        <w:pStyle w:val="BodyText1"/>
        <w:shd w:val="clear" w:color="auto" w:fill="auto"/>
        <w:tabs>
          <w:tab w:val="left" w:pos="746"/>
        </w:tabs>
        <w:spacing w:before="120" w:line="240" w:lineRule="auto"/>
        <w:ind w:left="567" w:hanging="297"/>
        <w:rPr>
          <w:sz w:val="22"/>
        </w:rPr>
      </w:pPr>
      <w:r>
        <w:rPr>
          <w:sz w:val="22"/>
        </w:rPr>
        <w:t xml:space="preserve">(b) </w:t>
      </w:r>
      <w:r w:rsidR="00E5700D" w:rsidRPr="006F5B13">
        <w:rPr>
          <w:sz w:val="22"/>
        </w:rPr>
        <w:t>one of the reasons is the race, colour or national or ethnic origin of a person (whether or not it is the dominant reason or a substantial reason for doing the act);</w:t>
      </w:r>
    </w:p>
    <w:p w14:paraId="0AB995DF" w14:textId="77777777" w:rsidR="00C9092F" w:rsidRPr="006F5B13" w:rsidRDefault="00E5700D" w:rsidP="00A64DF3">
      <w:pPr>
        <w:pStyle w:val="BodyText1"/>
        <w:shd w:val="clear" w:color="auto" w:fill="auto"/>
        <w:spacing w:before="120" w:line="240" w:lineRule="auto"/>
        <w:ind w:firstLine="0"/>
        <w:rPr>
          <w:sz w:val="22"/>
        </w:rPr>
      </w:pPr>
      <w:r w:rsidRPr="006F5B13">
        <w:rPr>
          <w:sz w:val="22"/>
        </w:rPr>
        <w:t>then, for the purposes of this Part, the act is taken to be done because of the person’s race, colour or national or ethnic origin.</w:t>
      </w:r>
    </w:p>
    <w:p w14:paraId="0CB7312E" w14:textId="77777777" w:rsidR="00C9092F" w:rsidRPr="005F055E" w:rsidRDefault="00E5700D" w:rsidP="00A64DF3">
      <w:pPr>
        <w:pStyle w:val="Bodytext20"/>
        <w:shd w:val="clear" w:color="auto" w:fill="auto"/>
        <w:spacing w:before="120" w:after="60" w:line="240" w:lineRule="auto"/>
        <w:jc w:val="both"/>
        <w:rPr>
          <w:sz w:val="22"/>
        </w:rPr>
      </w:pPr>
      <w:r w:rsidRPr="005F055E">
        <w:rPr>
          <w:sz w:val="22"/>
        </w:rPr>
        <w:t>Offensive behaviour because of race, colour or national or ethnic origin</w:t>
      </w:r>
    </w:p>
    <w:p w14:paraId="6AE668C8" w14:textId="77777777" w:rsidR="00C9092F" w:rsidRPr="006F5B13" w:rsidRDefault="00E5700D" w:rsidP="00A64DF3">
      <w:pPr>
        <w:pStyle w:val="BodyText1"/>
        <w:shd w:val="clear" w:color="auto" w:fill="auto"/>
        <w:spacing w:before="120" w:line="240" w:lineRule="auto"/>
        <w:ind w:firstLine="270"/>
        <w:rPr>
          <w:sz w:val="22"/>
        </w:rPr>
      </w:pPr>
      <w:r w:rsidRPr="006F5B13">
        <w:rPr>
          <w:sz w:val="22"/>
        </w:rPr>
        <w:t>“18C.(1) It is unlawful for a person to do an act, otherwise than in private, if:</w:t>
      </w:r>
    </w:p>
    <w:p w14:paraId="244EADE7" w14:textId="77777777" w:rsidR="00C9092F" w:rsidRPr="006F5B13" w:rsidRDefault="005F055E" w:rsidP="00A64DF3">
      <w:pPr>
        <w:pStyle w:val="BodyText1"/>
        <w:shd w:val="clear" w:color="auto" w:fill="auto"/>
        <w:tabs>
          <w:tab w:val="left" w:pos="746"/>
        </w:tabs>
        <w:spacing w:before="120" w:line="240" w:lineRule="auto"/>
        <w:ind w:left="548" w:hanging="274"/>
        <w:rPr>
          <w:sz w:val="22"/>
        </w:rPr>
      </w:pPr>
      <w:r>
        <w:rPr>
          <w:sz w:val="22"/>
        </w:rPr>
        <w:t xml:space="preserve">(a) </w:t>
      </w:r>
      <w:r w:rsidR="00E5700D" w:rsidRPr="006F5B13">
        <w:rPr>
          <w:sz w:val="22"/>
        </w:rPr>
        <w:t>the act is reasonably likely, in all the circumstances, to offend, insult, humiliate or intimidate another person or a group of people; and</w:t>
      </w:r>
    </w:p>
    <w:p w14:paraId="79724A76" w14:textId="77777777" w:rsidR="00C9092F" w:rsidRPr="006F5B13" w:rsidRDefault="005F055E" w:rsidP="00A64DF3">
      <w:pPr>
        <w:pStyle w:val="BodyText1"/>
        <w:shd w:val="clear" w:color="auto" w:fill="auto"/>
        <w:tabs>
          <w:tab w:val="left" w:pos="746"/>
        </w:tabs>
        <w:spacing w:before="120" w:line="240" w:lineRule="auto"/>
        <w:ind w:left="548" w:hanging="274"/>
        <w:rPr>
          <w:sz w:val="22"/>
        </w:rPr>
      </w:pPr>
      <w:r>
        <w:rPr>
          <w:sz w:val="22"/>
        </w:rPr>
        <w:t xml:space="preserve">(b) </w:t>
      </w:r>
      <w:r w:rsidR="00E5700D" w:rsidRPr="006F5B13">
        <w:rPr>
          <w:sz w:val="22"/>
        </w:rPr>
        <w:t>the act is done because of the race, colour or national or ethnic origin of the other person or of some or all of the people in the group.</w:t>
      </w:r>
    </w:p>
    <w:p w14:paraId="309F7F03" w14:textId="77777777" w:rsidR="00C9092F" w:rsidRPr="00A64DF3" w:rsidRDefault="00E5700D" w:rsidP="00A64DF3">
      <w:pPr>
        <w:pStyle w:val="Bodytext41"/>
        <w:shd w:val="clear" w:color="auto" w:fill="auto"/>
        <w:spacing w:before="120" w:line="240" w:lineRule="auto"/>
        <w:ind w:left="567" w:hanging="567"/>
        <w:rPr>
          <w:sz w:val="20"/>
          <w:szCs w:val="20"/>
        </w:rPr>
      </w:pPr>
      <w:r w:rsidRPr="00A64DF3">
        <w:rPr>
          <w:sz w:val="20"/>
          <w:szCs w:val="20"/>
        </w:rPr>
        <w:t>Note: Subsection (1) makes certain acts unlawful. Section 22 allows people to make complaints to the Human Rights and Equal Opportunity Commission about unlawful acts. However, an unlawful act is not necessarily a criminal offence. Section 26 says that this Act does not make it an offence to do an act that is unlawful because of this Part, unless Part IV expressly says that the act is an offence.</w:t>
      </w:r>
    </w:p>
    <w:p w14:paraId="71D87087" w14:textId="77777777" w:rsidR="00C9092F" w:rsidRPr="006F5B13" w:rsidRDefault="00E5700D" w:rsidP="00A64DF3">
      <w:pPr>
        <w:pStyle w:val="BodyText1"/>
        <w:shd w:val="clear" w:color="auto" w:fill="auto"/>
        <w:spacing w:before="120" w:line="240" w:lineRule="auto"/>
        <w:ind w:firstLine="270"/>
        <w:rPr>
          <w:sz w:val="22"/>
        </w:rPr>
      </w:pPr>
      <w:r w:rsidRPr="006F5B13">
        <w:rPr>
          <w:sz w:val="22"/>
        </w:rPr>
        <w:t>“(2) For the purposes of subsection (1), an act is taken not to be done in private if it:</w:t>
      </w:r>
    </w:p>
    <w:p w14:paraId="1761CE1A" w14:textId="77777777" w:rsidR="00C9092F" w:rsidRPr="006F5B13" w:rsidRDefault="00F5323F" w:rsidP="00A64DF3">
      <w:pPr>
        <w:pStyle w:val="BodyText1"/>
        <w:shd w:val="clear" w:color="auto" w:fill="auto"/>
        <w:spacing w:before="120" w:line="240" w:lineRule="auto"/>
        <w:ind w:left="548" w:hanging="296"/>
        <w:rPr>
          <w:sz w:val="22"/>
        </w:rPr>
      </w:pPr>
      <w:r>
        <w:rPr>
          <w:sz w:val="22"/>
        </w:rPr>
        <w:t xml:space="preserve">(a) </w:t>
      </w:r>
      <w:r w:rsidR="00E5700D" w:rsidRPr="006F5B13">
        <w:rPr>
          <w:sz w:val="22"/>
        </w:rPr>
        <w:t>causes words, sounds, images or writing to be communicated to the public; or</w:t>
      </w:r>
    </w:p>
    <w:p w14:paraId="1E2C7405" w14:textId="77777777" w:rsidR="00C9092F" w:rsidRPr="006F5B13" w:rsidRDefault="00F5323F" w:rsidP="00A64DF3">
      <w:pPr>
        <w:pStyle w:val="BodyText1"/>
        <w:shd w:val="clear" w:color="auto" w:fill="auto"/>
        <w:tabs>
          <w:tab w:val="left" w:pos="746"/>
        </w:tabs>
        <w:spacing w:before="120" w:line="240" w:lineRule="auto"/>
        <w:ind w:left="548" w:hanging="274"/>
        <w:rPr>
          <w:sz w:val="22"/>
        </w:rPr>
      </w:pPr>
      <w:r>
        <w:rPr>
          <w:sz w:val="22"/>
        </w:rPr>
        <w:t>(b)</w:t>
      </w:r>
      <w:r w:rsidR="00E5700D" w:rsidRPr="006F5B13">
        <w:rPr>
          <w:sz w:val="22"/>
        </w:rPr>
        <w:t xml:space="preserve"> is done in a public place; or</w:t>
      </w:r>
    </w:p>
    <w:p w14:paraId="2A6B9C9D" w14:textId="77777777" w:rsidR="00F5323F" w:rsidRDefault="00F5323F" w:rsidP="00A64DF3">
      <w:pPr>
        <w:pStyle w:val="BodyText1"/>
        <w:shd w:val="clear" w:color="auto" w:fill="auto"/>
        <w:tabs>
          <w:tab w:val="left" w:pos="746"/>
        </w:tabs>
        <w:spacing w:before="120" w:line="240" w:lineRule="auto"/>
        <w:ind w:left="548" w:hanging="274"/>
        <w:rPr>
          <w:sz w:val="22"/>
        </w:rPr>
      </w:pPr>
      <w:r>
        <w:rPr>
          <w:sz w:val="22"/>
        </w:rPr>
        <w:t>(c)</w:t>
      </w:r>
      <w:r w:rsidR="00E5700D" w:rsidRPr="006F5B13">
        <w:rPr>
          <w:sz w:val="22"/>
        </w:rPr>
        <w:t xml:space="preserve"> is done in the sight or hearing of pe</w:t>
      </w:r>
      <w:r>
        <w:rPr>
          <w:sz w:val="22"/>
        </w:rPr>
        <w:t>ople who are in a public place.</w:t>
      </w:r>
    </w:p>
    <w:p w14:paraId="7D6400BB" w14:textId="77777777" w:rsidR="00F5323F" w:rsidRDefault="00E5700D" w:rsidP="00A64DF3">
      <w:pPr>
        <w:pStyle w:val="BodyText1"/>
        <w:shd w:val="clear" w:color="auto" w:fill="auto"/>
        <w:spacing w:before="120" w:line="240" w:lineRule="auto"/>
        <w:ind w:firstLine="270"/>
        <w:rPr>
          <w:sz w:val="22"/>
        </w:rPr>
      </w:pPr>
      <w:r w:rsidRPr="006F5B13">
        <w:rPr>
          <w:sz w:val="22"/>
        </w:rPr>
        <w:t>“(3) In this section:</w:t>
      </w:r>
    </w:p>
    <w:p w14:paraId="007D1400" w14:textId="77777777" w:rsidR="00A64DF3" w:rsidRDefault="00A64DF3">
      <w:pPr>
        <w:rPr>
          <w:rFonts w:ascii="Times New Roman" w:eastAsia="Times New Roman" w:hAnsi="Times New Roman" w:cs="Times New Roman"/>
          <w:b/>
          <w:sz w:val="22"/>
          <w:szCs w:val="23"/>
        </w:rPr>
      </w:pPr>
      <w:r>
        <w:rPr>
          <w:b/>
          <w:sz w:val="22"/>
        </w:rPr>
        <w:br w:type="page"/>
      </w:r>
    </w:p>
    <w:p w14:paraId="59750676" w14:textId="77777777" w:rsidR="00C9092F" w:rsidRPr="006F5B13" w:rsidRDefault="00E5700D" w:rsidP="00DB403B">
      <w:pPr>
        <w:pStyle w:val="BodyText1"/>
        <w:shd w:val="clear" w:color="auto" w:fill="auto"/>
        <w:spacing w:before="120" w:line="240" w:lineRule="auto"/>
        <w:ind w:firstLine="0"/>
        <w:rPr>
          <w:sz w:val="22"/>
        </w:rPr>
      </w:pPr>
      <w:r w:rsidRPr="000570B2">
        <w:rPr>
          <w:b/>
          <w:sz w:val="22"/>
        </w:rPr>
        <w:lastRenderedPageBreak/>
        <w:t>‘public place’</w:t>
      </w:r>
      <w:r w:rsidRPr="006F5B13">
        <w:rPr>
          <w:sz w:val="22"/>
        </w:rPr>
        <w:t xml:space="preserve"> includes any place to which the public have access as of right or by invitation, whether express or implied and whether or not a charge is made for admission to the place.</w:t>
      </w:r>
    </w:p>
    <w:p w14:paraId="7985BB20" w14:textId="77777777" w:rsidR="00C9092F" w:rsidRPr="000570B2" w:rsidRDefault="00E5700D" w:rsidP="000570B2">
      <w:pPr>
        <w:pStyle w:val="Bodytext20"/>
        <w:shd w:val="clear" w:color="auto" w:fill="auto"/>
        <w:spacing w:before="120" w:after="60" w:line="240" w:lineRule="auto"/>
        <w:jc w:val="both"/>
        <w:rPr>
          <w:sz w:val="22"/>
        </w:rPr>
      </w:pPr>
      <w:r w:rsidRPr="000570B2">
        <w:rPr>
          <w:sz w:val="22"/>
        </w:rPr>
        <w:t>Exemptions</w:t>
      </w:r>
    </w:p>
    <w:p w14:paraId="1A68B343"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“18D. Section 18C does not render unlawful anything said or done reasonably and in good faith:</w:t>
      </w:r>
    </w:p>
    <w:p w14:paraId="3DB1D5E6" w14:textId="77777777" w:rsidR="00C9092F" w:rsidRPr="006F5B13" w:rsidRDefault="000570B2" w:rsidP="00DB403B">
      <w:pPr>
        <w:pStyle w:val="BodyText1"/>
        <w:shd w:val="clear" w:color="auto" w:fill="auto"/>
        <w:tabs>
          <w:tab w:val="left" w:pos="746"/>
        </w:tabs>
        <w:spacing w:before="120" w:line="240" w:lineRule="auto"/>
        <w:ind w:left="548" w:hanging="274"/>
        <w:rPr>
          <w:sz w:val="22"/>
        </w:rPr>
      </w:pPr>
      <w:r>
        <w:rPr>
          <w:sz w:val="22"/>
        </w:rPr>
        <w:t xml:space="preserve">(a) </w:t>
      </w:r>
      <w:r w:rsidR="00E5700D" w:rsidRPr="006F5B13">
        <w:rPr>
          <w:sz w:val="22"/>
        </w:rPr>
        <w:t>in the performance, exhibition or distribution of an artistic work; or</w:t>
      </w:r>
    </w:p>
    <w:p w14:paraId="6A67BA1C" w14:textId="77777777" w:rsidR="00C9092F" w:rsidRPr="006F5B13" w:rsidRDefault="000570B2" w:rsidP="00DB403B">
      <w:pPr>
        <w:pStyle w:val="BodyText1"/>
        <w:shd w:val="clear" w:color="auto" w:fill="auto"/>
        <w:spacing w:before="120" w:line="240" w:lineRule="auto"/>
        <w:ind w:left="603" w:hanging="329"/>
        <w:rPr>
          <w:sz w:val="22"/>
        </w:rPr>
      </w:pPr>
      <w:r>
        <w:rPr>
          <w:sz w:val="22"/>
        </w:rPr>
        <w:t xml:space="preserve">(b) </w:t>
      </w:r>
      <w:r w:rsidR="00E5700D" w:rsidRPr="006F5B13">
        <w:rPr>
          <w:sz w:val="22"/>
        </w:rPr>
        <w:t>in the course of any statement, publication, discussion or debate made or held for any genuine academic, artistic or scientific purpose or any other genuine purpose in the public interest; or</w:t>
      </w:r>
    </w:p>
    <w:p w14:paraId="285BB10B" w14:textId="77777777" w:rsidR="00C9092F" w:rsidRPr="006F5B13" w:rsidRDefault="000570B2" w:rsidP="00DB403B">
      <w:pPr>
        <w:pStyle w:val="BodyText1"/>
        <w:shd w:val="clear" w:color="auto" w:fill="auto"/>
        <w:tabs>
          <w:tab w:val="left" w:pos="746"/>
        </w:tabs>
        <w:spacing w:before="120" w:line="240" w:lineRule="auto"/>
        <w:ind w:left="548" w:hanging="274"/>
        <w:rPr>
          <w:sz w:val="22"/>
        </w:rPr>
      </w:pPr>
      <w:r>
        <w:rPr>
          <w:sz w:val="22"/>
        </w:rPr>
        <w:t xml:space="preserve">(c) </w:t>
      </w:r>
      <w:r w:rsidR="00E5700D" w:rsidRPr="006F5B13">
        <w:rPr>
          <w:sz w:val="22"/>
        </w:rPr>
        <w:t>in making or publishing:</w:t>
      </w:r>
    </w:p>
    <w:p w14:paraId="60A3C9E9" w14:textId="77777777" w:rsidR="00C9092F" w:rsidRPr="006F5B13" w:rsidRDefault="00750ADC" w:rsidP="00DB403B">
      <w:pPr>
        <w:pStyle w:val="BodyText1"/>
        <w:shd w:val="clear" w:color="auto" w:fill="auto"/>
        <w:tabs>
          <w:tab w:val="left" w:pos="1350"/>
        </w:tabs>
        <w:spacing w:before="120" w:line="240" w:lineRule="auto"/>
        <w:ind w:firstLine="783"/>
        <w:rPr>
          <w:sz w:val="22"/>
        </w:rPr>
      </w:pPr>
      <w:r>
        <w:rPr>
          <w:sz w:val="22"/>
        </w:rPr>
        <w:t xml:space="preserve">(i) </w:t>
      </w:r>
      <w:r w:rsidR="00E5700D" w:rsidRPr="006F5B13">
        <w:rPr>
          <w:sz w:val="22"/>
        </w:rPr>
        <w:t>a fair and accurate report of any event or matter of public interest; or</w:t>
      </w:r>
    </w:p>
    <w:p w14:paraId="0685E476" w14:textId="77777777" w:rsidR="00C9092F" w:rsidRPr="006F5B13" w:rsidRDefault="00750ADC" w:rsidP="00DB403B">
      <w:pPr>
        <w:pStyle w:val="BodyText1"/>
        <w:shd w:val="clear" w:color="auto" w:fill="auto"/>
        <w:tabs>
          <w:tab w:val="left" w:pos="1350"/>
        </w:tabs>
        <w:spacing w:before="120" w:line="240" w:lineRule="auto"/>
        <w:ind w:left="1062" w:hanging="342"/>
        <w:rPr>
          <w:sz w:val="22"/>
        </w:rPr>
      </w:pPr>
      <w:r>
        <w:rPr>
          <w:sz w:val="22"/>
        </w:rPr>
        <w:t xml:space="preserve">(ii) </w:t>
      </w:r>
      <w:r w:rsidR="00E5700D" w:rsidRPr="006F5B13">
        <w:rPr>
          <w:sz w:val="22"/>
        </w:rPr>
        <w:t>a fair comment on any event or matter of public interest if the comment is an expression of a genuine belief held by the person making the comment.</w:t>
      </w:r>
    </w:p>
    <w:p w14:paraId="599A3D29" w14:textId="77777777" w:rsidR="00C9092F" w:rsidRPr="006F5B13" w:rsidRDefault="00E5700D" w:rsidP="00750ADC">
      <w:pPr>
        <w:pStyle w:val="Bodytext20"/>
        <w:shd w:val="clear" w:color="auto" w:fill="auto"/>
        <w:spacing w:before="120" w:after="60" w:line="240" w:lineRule="auto"/>
        <w:jc w:val="both"/>
        <w:rPr>
          <w:sz w:val="22"/>
        </w:rPr>
      </w:pPr>
      <w:r w:rsidRPr="006F5B13">
        <w:rPr>
          <w:sz w:val="22"/>
        </w:rPr>
        <w:t>Vicarious liability</w:t>
      </w:r>
    </w:p>
    <w:p w14:paraId="0D2933E0"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“18E.(1) Subject to subsection (2), if:</w:t>
      </w:r>
    </w:p>
    <w:p w14:paraId="00B7D406" w14:textId="77777777" w:rsidR="00C9092F" w:rsidRPr="006F5B13" w:rsidRDefault="00750ADC" w:rsidP="00DB403B">
      <w:pPr>
        <w:pStyle w:val="BodyText1"/>
        <w:shd w:val="clear" w:color="auto" w:fill="auto"/>
        <w:tabs>
          <w:tab w:val="left" w:pos="746"/>
        </w:tabs>
        <w:spacing w:before="120" w:line="240" w:lineRule="auto"/>
        <w:ind w:left="548" w:hanging="274"/>
        <w:rPr>
          <w:sz w:val="22"/>
        </w:rPr>
      </w:pPr>
      <w:r>
        <w:rPr>
          <w:sz w:val="22"/>
        </w:rPr>
        <w:t xml:space="preserve">(a) </w:t>
      </w:r>
      <w:r w:rsidR="00E5700D" w:rsidRPr="006F5B13">
        <w:rPr>
          <w:sz w:val="22"/>
        </w:rPr>
        <w:t>an employee or agent of a person does an act in connection with his or her duties as an employee or agent; and</w:t>
      </w:r>
    </w:p>
    <w:p w14:paraId="274D8DC6" w14:textId="77777777" w:rsidR="00C9092F" w:rsidRPr="006F5B13" w:rsidRDefault="00750ADC" w:rsidP="00DB403B">
      <w:pPr>
        <w:pStyle w:val="BodyText1"/>
        <w:shd w:val="clear" w:color="auto" w:fill="auto"/>
        <w:tabs>
          <w:tab w:val="left" w:pos="746"/>
        </w:tabs>
        <w:spacing w:before="120" w:line="240" w:lineRule="auto"/>
        <w:ind w:left="548" w:hanging="274"/>
        <w:rPr>
          <w:sz w:val="22"/>
        </w:rPr>
      </w:pPr>
      <w:r>
        <w:rPr>
          <w:sz w:val="22"/>
        </w:rPr>
        <w:t xml:space="preserve">(b) </w:t>
      </w:r>
      <w:r w:rsidR="00E5700D" w:rsidRPr="006F5B13">
        <w:rPr>
          <w:sz w:val="22"/>
        </w:rPr>
        <w:t>the act would be unlawful under this Part if it were done by the person;</w:t>
      </w:r>
    </w:p>
    <w:p w14:paraId="6544A31F" w14:textId="77777777" w:rsidR="00C9092F" w:rsidRPr="006F5B13" w:rsidRDefault="00E5700D" w:rsidP="00DB403B">
      <w:pPr>
        <w:pStyle w:val="BodyText1"/>
        <w:shd w:val="clear" w:color="auto" w:fill="auto"/>
        <w:spacing w:before="120" w:line="240" w:lineRule="auto"/>
        <w:ind w:firstLine="0"/>
        <w:rPr>
          <w:sz w:val="22"/>
        </w:rPr>
      </w:pPr>
      <w:r w:rsidRPr="006F5B13">
        <w:rPr>
          <w:sz w:val="22"/>
        </w:rPr>
        <w:t>this Act applies in relation to the person as if the person had also done the act.</w:t>
      </w:r>
    </w:p>
    <w:p w14:paraId="1532B877"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“(2) Subsection (1) does not apply to an act done by an employee or agent of a person if it is established that the person took all reasonable steps to prevent the employee or agent from doing the act.</w:t>
      </w:r>
    </w:p>
    <w:p w14:paraId="55DB6114" w14:textId="77777777" w:rsidR="00C9092F" w:rsidRPr="006F5B13" w:rsidRDefault="00E5700D" w:rsidP="00750ADC">
      <w:pPr>
        <w:pStyle w:val="Bodytext20"/>
        <w:shd w:val="clear" w:color="auto" w:fill="auto"/>
        <w:spacing w:before="120" w:after="60" w:line="240" w:lineRule="auto"/>
        <w:jc w:val="both"/>
        <w:rPr>
          <w:sz w:val="22"/>
        </w:rPr>
      </w:pPr>
      <w:r w:rsidRPr="006F5B13">
        <w:rPr>
          <w:sz w:val="22"/>
        </w:rPr>
        <w:t>State and Territory laws not affected</w:t>
      </w:r>
    </w:p>
    <w:p w14:paraId="5C2830C7"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“18F. This Part is not intended to exclude or limit the concurrent operation of any law of a State or Territory.”.</w:t>
      </w:r>
    </w:p>
    <w:p w14:paraId="0CE42D72" w14:textId="77777777" w:rsidR="00C9092F" w:rsidRPr="006F5B13" w:rsidRDefault="00E5700D" w:rsidP="00750ADC">
      <w:pPr>
        <w:pStyle w:val="Bodytext20"/>
        <w:shd w:val="clear" w:color="auto" w:fill="auto"/>
        <w:spacing w:before="120" w:after="60" w:line="240" w:lineRule="auto"/>
        <w:jc w:val="both"/>
        <w:rPr>
          <w:sz w:val="22"/>
        </w:rPr>
      </w:pPr>
      <w:r w:rsidRPr="006F5B13">
        <w:rPr>
          <w:sz w:val="22"/>
        </w:rPr>
        <w:t>Consequential amendments</w:t>
      </w:r>
    </w:p>
    <w:p w14:paraId="28B01827" w14:textId="77777777" w:rsidR="004A0DC7" w:rsidRDefault="00750ADC" w:rsidP="00A64DF3">
      <w:pPr>
        <w:pStyle w:val="BodyText1"/>
        <w:shd w:val="clear" w:color="auto" w:fill="auto"/>
        <w:tabs>
          <w:tab w:val="left" w:pos="630"/>
        </w:tabs>
        <w:spacing w:before="120" w:line="240" w:lineRule="auto"/>
        <w:ind w:firstLine="270"/>
        <w:rPr>
          <w:sz w:val="22"/>
        </w:rPr>
      </w:pPr>
      <w:r w:rsidRPr="00750ADC">
        <w:rPr>
          <w:b/>
          <w:sz w:val="22"/>
        </w:rPr>
        <w:t>4.</w:t>
      </w:r>
      <w:r>
        <w:rPr>
          <w:sz w:val="22"/>
        </w:rPr>
        <w:tab/>
      </w:r>
      <w:r w:rsidR="00E5700D" w:rsidRPr="006F5B13">
        <w:rPr>
          <w:sz w:val="22"/>
        </w:rPr>
        <w:t>The Principal Act is amended as set out in the Schedule.</w:t>
      </w:r>
    </w:p>
    <w:p w14:paraId="069B4A51" w14:textId="77777777" w:rsidR="004A0DC7" w:rsidRDefault="004A0DC7" w:rsidP="004A0DC7">
      <w:pPr>
        <w:pStyle w:val="BodyText1"/>
        <w:shd w:val="clear" w:color="auto" w:fill="auto"/>
        <w:tabs>
          <w:tab w:val="left" w:pos="714"/>
        </w:tabs>
        <w:spacing w:before="120" w:line="240" w:lineRule="auto"/>
        <w:ind w:firstLine="270"/>
        <w:jc w:val="center"/>
        <w:rPr>
          <w:sz w:val="22"/>
        </w:rPr>
      </w:pPr>
      <w:r>
        <w:rPr>
          <w:sz w:val="22"/>
        </w:rPr>
        <w:t>––––––––––––</w:t>
      </w:r>
    </w:p>
    <w:p w14:paraId="0E7EB71B" w14:textId="77777777" w:rsidR="004A0DC7" w:rsidRDefault="004A0DC7">
      <w:pPr>
        <w:rPr>
          <w:rFonts w:ascii="Times New Roman" w:eastAsia="Times New Roman" w:hAnsi="Times New Roman" w:cs="Times New Roman"/>
          <w:sz w:val="22"/>
          <w:szCs w:val="23"/>
        </w:rPr>
      </w:pPr>
      <w:r>
        <w:rPr>
          <w:sz w:val="22"/>
        </w:rPr>
        <w:br w:type="page"/>
      </w:r>
    </w:p>
    <w:p w14:paraId="2E434AB2" w14:textId="5E885CC2" w:rsidR="007A4073" w:rsidRPr="00CB6934" w:rsidRDefault="00E5700D" w:rsidP="00A712E6">
      <w:pPr>
        <w:pStyle w:val="Bodytext41"/>
        <w:shd w:val="clear" w:color="auto" w:fill="auto"/>
        <w:tabs>
          <w:tab w:val="left" w:pos="8460"/>
        </w:tabs>
        <w:spacing w:before="120" w:line="240" w:lineRule="auto"/>
        <w:ind w:left="4050" w:firstLine="0"/>
        <w:rPr>
          <w:sz w:val="20"/>
        </w:rPr>
      </w:pPr>
      <w:r w:rsidRPr="006F5B13">
        <w:rPr>
          <w:rStyle w:val="Bodytext21"/>
          <w:sz w:val="22"/>
        </w:rPr>
        <w:lastRenderedPageBreak/>
        <w:t>SCHEDULE</w:t>
      </w:r>
      <w:r w:rsidR="007A4073">
        <w:rPr>
          <w:rStyle w:val="Bodytext21"/>
          <w:sz w:val="22"/>
        </w:rPr>
        <w:tab/>
      </w:r>
      <w:r w:rsidR="007A4073" w:rsidRPr="007A4073">
        <w:rPr>
          <w:rStyle w:val="Bodytext4"/>
          <w:sz w:val="22"/>
        </w:rPr>
        <w:t xml:space="preserve"> </w:t>
      </w:r>
      <w:r w:rsidR="007A4073" w:rsidRPr="00CB6934">
        <w:rPr>
          <w:rStyle w:val="Bodytext4"/>
          <w:sz w:val="20"/>
        </w:rPr>
        <w:t>Section 4</w:t>
      </w:r>
    </w:p>
    <w:p w14:paraId="669557DE" w14:textId="77777777" w:rsidR="00C9092F" w:rsidRPr="006F5B13" w:rsidRDefault="00E5700D" w:rsidP="00DB403B">
      <w:pPr>
        <w:pStyle w:val="BodyText1"/>
        <w:shd w:val="clear" w:color="auto" w:fill="auto"/>
        <w:spacing w:before="120" w:line="240" w:lineRule="auto"/>
        <w:ind w:firstLine="0"/>
        <w:jc w:val="center"/>
        <w:rPr>
          <w:sz w:val="22"/>
        </w:rPr>
      </w:pPr>
      <w:r w:rsidRPr="006F5B13">
        <w:rPr>
          <w:sz w:val="22"/>
        </w:rPr>
        <w:t>CONSEQUENTIAL AMENDMENTS OF THE RACIAL DISCRIMINATION ACT 1975</w:t>
      </w:r>
    </w:p>
    <w:p w14:paraId="0A58CB40"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Paragraph 20(1) (a):</w:t>
      </w:r>
    </w:p>
    <w:p w14:paraId="0B7A036F"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Insert “or Part IIA” after “Part II”.</w:t>
      </w:r>
    </w:p>
    <w:p w14:paraId="62E2811B"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Paragraph 20(1) (d):</w:t>
      </w:r>
    </w:p>
    <w:p w14:paraId="267FC319"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Add at the end “or Part IIA”.</w:t>
      </w:r>
    </w:p>
    <w:p w14:paraId="0E6C6B34"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Subsection 22(1):</w:t>
      </w:r>
    </w:p>
    <w:p w14:paraId="70596A8D"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Insert “or Part IIA” after “Part II”.</w:t>
      </w:r>
    </w:p>
    <w:p w14:paraId="31599A0F"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Paragraph 24(1) (b):</w:t>
      </w:r>
    </w:p>
    <w:p w14:paraId="55780E96"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Insert “or Part IIA” after “Part II”.</w:t>
      </w:r>
    </w:p>
    <w:p w14:paraId="79D461DC"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Paragraph 24(2) (a):</w:t>
      </w:r>
    </w:p>
    <w:p w14:paraId="63BB3F2A"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Add at the end “or Part IIA”.</w:t>
      </w:r>
    </w:p>
    <w:p w14:paraId="21730D0B"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Section 25W:</w:t>
      </w:r>
    </w:p>
    <w:p w14:paraId="55C83038" w14:textId="77777777" w:rsidR="00C9092F" w:rsidRPr="006F5B13" w:rsidRDefault="007A4073" w:rsidP="00DB403B">
      <w:pPr>
        <w:pStyle w:val="BodyText1"/>
        <w:shd w:val="clear" w:color="auto" w:fill="auto"/>
        <w:spacing w:before="120" w:line="240" w:lineRule="auto"/>
        <w:ind w:firstLine="270"/>
        <w:rPr>
          <w:sz w:val="22"/>
        </w:rPr>
      </w:pPr>
      <w:r>
        <w:rPr>
          <w:sz w:val="22"/>
        </w:rPr>
        <w:t xml:space="preserve">(a) </w:t>
      </w:r>
      <w:r w:rsidR="00E5700D" w:rsidRPr="006F5B13">
        <w:rPr>
          <w:sz w:val="22"/>
        </w:rPr>
        <w:t>Insert “or Part IIA” after “Part II”.</w:t>
      </w:r>
    </w:p>
    <w:p w14:paraId="7BEEAA48" w14:textId="77777777" w:rsidR="00C9092F" w:rsidRPr="006F5B13" w:rsidRDefault="007A4073" w:rsidP="00DB403B">
      <w:pPr>
        <w:pStyle w:val="BodyText1"/>
        <w:shd w:val="clear" w:color="auto" w:fill="auto"/>
        <w:spacing w:before="120" w:line="240" w:lineRule="auto"/>
        <w:ind w:firstLine="270"/>
        <w:rPr>
          <w:sz w:val="22"/>
        </w:rPr>
      </w:pPr>
      <w:r>
        <w:rPr>
          <w:sz w:val="22"/>
        </w:rPr>
        <w:t xml:space="preserve">(b) </w:t>
      </w:r>
      <w:r w:rsidR="00E5700D" w:rsidRPr="006F5B13">
        <w:rPr>
          <w:sz w:val="22"/>
        </w:rPr>
        <w:t>Omit “that Part”, substitute “those Parts”.</w:t>
      </w:r>
    </w:p>
    <w:p w14:paraId="0E079979"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Section 25X:</w:t>
      </w:r>
    </w:p>
    <w:p w14:paraId="5497809C" w14:textId="77777777" w:rsidR="00C9092F" w:rsidRPr="006F5B13" w:rsidRDefault="00E5700D" w:rsidP="00DB403B">
      <w:pPr>
        <w:pStyle w:val="BodyText1"/>
        <w:shd w:val="clear" w:color="auto" w:fill="auto"/>
        <w:spacing w:before="120" w:line="240" w:lineRule="auto"/>
        <w:ind w:firstLine="270"/>
        <w:rPr>
          <w:sz w:val="22"/>
        </w:rPr>
      </w:pPr>
      <w:r w:rsidRPr="006F5B13">
        <w:rPr>
          <w:sz w:val="22"/>
        </w:rPr>
        <w:t>Insert “or Part IIA” after “Part II”.</w:t>
      </w:r>
    </w:p>
    <w:p w14:paraId="532DCFB7" w14:textId="77777777" w:rsidR="00C9092F" w:rsidRPr="006F5B13" w:rsidRDefault="00E5700D" w:rsidP="007A4073">
      <w:pPr>
        <w:pStyle w:val="Bodytext20"/>
        <w:shd w:val="clear" w:color="auto" w:fill="auto"/>
        <w:spacing w:before="120" w:after="60" w:line="240" w:lineRule="auto"/>
        <w:jc w:val="both"/>
        <w:rPr>
          <w:sz w:val="22"/>
        </w:rPr>
      </w:pPr>
      <w:r w:rsidRPr="006F5B13">
        <w:rPr>
          <w:rStyle w:val="Bodytext21"/>
          <w:b/>
          <w:bCs/>
          <w:sz w:val="22"/>
        </w:rPr>
        <w:t>Section 26:</w:t>
      </w:r>
    </w:p>
    <w:p w14:paraId="1F8680AA" w14:textId="77777777" w:rsidR="007A4073" w:rsidRDefault="00E5700D" w:rsidP="00DB403B">
      <w:pPr>
        <w:pStyle w:val="BodyText1"/>
        <w:shd w:val="clear" w:color="auto" w:fill="auto"/>
        <w:spacing w:before="120" w:line="240" w:lineRule="auto"/>
        <w:ind w:firstLine="270"/>
        <w:rPr>
          <w:sz w:val="22"/>
        </w:rPr>
      </w:pPr>
      <w:r w:rsidRPr="006F5B13">
        <w:rPr>
          <w:sz w:val="22"/>
        </w:rPr>
        <w:t>Add at the end “or Part IIA”.</w:t>
      </w:r>
    </w:p>
    <w:p w14:paraId="0602C3CA" w14:textId="77777777" w:rsidR="007A4073" w:rsidRDefault="007A4073">
      <w:pPr>
        <w:rPr>
          <w:rFonts w:ascii="Times New Roman" w:eastAsia="Times New Roman" w:hAnsi="Times New Roman" w:cs="Times New Roman"/>
          <w:sz w:val="22"/>
          <w:szCs w:val="23"/>
        </w:rPr>
      </w:pPr>
      <w:r>
        <w:rPr>
          <w:sz w:val="22"/>
        </w:rPr>
        <w:br w:type="page"/>
      </w:r>
    </w:p>
    <w:p w14:paraId="331DE18B" w14:textId="77777777" w:rsidR="00C9092F" w:rsidRPr="006F5B13" w:rsidRDefault="00E5700D" w:rsidP="00A712E6">
      <w:pPr>
        <w:pStyle w:val="Bodytext20"/>
        <w:shd w:val="clear" w:color="auto" w:fill="auto"/>
        <w:spacing w:before="120" w:line="240" w:lineRule="auto"/>
        <w:rPr>
          <w:sz w:val="22"/>
        </w:rPr>
      </w:pPr>
      <w:r w:rsidRPr="006F5B13">
        <w:rPr>
          <w:rStyle w:val="Bodytext21"/>
          <w:b/>
          <w:bCs/>
          <w:sz w:val="22"/>
        </w:rPr>
        <w:lastRenderedPageBreak/>
        <w:t>NOTE</w:t>
      </w:r>
    </w:p>
    <w:p w14:paraId="1C625E13" w14:textId="77777777" w:rsidR="00C9092F" w:rsidRPr="00CB6934" w:rsidRDefault="00E5700D" w:rsidP="006A35BE">
      <w:pPr>
        <w:pStyle w:val="Bodytext20"/>
        <w:shd w:val="clear" w:color="auto" w:fill="auto"/>
        <w:spacing w:before="120" w:after="60" w:line="240" w:lineRule="auto"/>
        <w:jc w:val="both"/>
        <w:rPr>
          <w:b w:val="0"/>
          <w:sz w:val="20"/>
        </w:rPr>
      </w:pPr>
      <w:r w:rsidRPr="00CB6934">
        <w:rPr>
          <w:rStyle w:val="Bodytext31"/>
          <w:b w:val="0"/>
          <w:sz w:val="20"/>
        </w:rPr>
        <w:t>Racial Discrimination Act 1975</w:t>
      </w:r>
    </w:p>
    <w:p w14:paraId="04BFCACF" w14:textId="4DCBFEBB" w:rsidR="00C9092F" w:rsidRPr="00CB6934" w:rsidRDefault="00A712E6" w:rsidP="006A35BE">
      <w:pPr>
        <w:pStyle w:val="Bodytext50"/>
        <w:shd w:val="clear" w:color="auto" w:fill="auto"/>
        <w:tabs>
          <w:tab w:val="left" w:pos="360"/>
        </w:tabs>
        <w:spacing w:before="120" w:line="240" w:lineRule="auto"/>
        <w:ind w:left="360"/>
        <w:rPr>
          <w:b w:val="0"/>
        </w:rPr>
      </w:pPr>
      <w:r w:rsidRPr="00CB6934">
        <w:rPr>
          <w:b w:val="0"/>
        </w:rPr>
        <w:t>1</w:t>
      </w:r>
      <w:r w:rsidRPr="00CB6934">
        <w:t>.</w:t>
      </w:r>
      <w:r w:rsidRPr="00CB6934">
        <w:rPr>
          <w:b w:val="0"/>
        </w:rPr>
        <w:tab/>
      </w:r>
      <w:r w:rsidR="00E5700D" w:rsidRPr="00CB6934">
        <w:rPr>
          <w:b w:val="0"/>
        </w:rPr>
        <w:t>No. 52,</w:t>
      </w:r>
      <w:r w:rsidR="00340AC9" w:rsidRPr="00CB6934">
        <w:rPr>
          <w:b w:val="0"/>
        </w:rPr>
        <w:t xml:space="preserve"> </w:t>
      </w:r>
      <w:r w:rsidR="00E5700D" w:rsidRPr="00CB6934">
        <w:rPr>
          <w:b w:val="0"/>
        </w:rPr>
        <w:t>1975, as amended. For previous amendments, see No. 91,</w:t>
      </w:r>
      <w:r w:rsidR="00CB6934">
        <w:rPr>
          <w:b w:val="0"/>
        </w:rPr>
        <w:t xml:space="preserve"> </w:t>
      </w:r>
      <w:r w:rsidR="00E5700D" w:rsidRPr="00CB6934">
        <w:rPr>
          <w:b w:val="0"/>
        </w:rPr>
        <w:t>1976; No. 18, 1980 (as amended by No. 25,</w:t>
      </w:r>
      <w:r w:rsidR="00CB6934">
        <w:rPr>
          <w:b w:val="0"/>
        </w:rPr>
        <w:t xml:space="preserve"> </w:t>
      </w:r>
      <w:r w:rsidR="00E5700D" w:rsidRPr="00CB6934">
        <w:rPr>
          <w:b w:val="0"/>
        </w:rPr>
        <w:t>1981); No. 38,</w:t>
      </w:r>
      <w:r w:rsidR="00CB6934">
        <w:rPr>
          <w:b w:val="0"/>
        </w:rPr>
        <w:t xml:space="preserve"> </w:t>
      </w:r>
      <w:r w:rsidR="00E5700D" w:rsidRPr="00CB6934">
        <w:rPr>
          <w:b w:val="0"/>
        </w:rPr>
        <w:t>1983; No. 126,</w:t>
      </w:r>
      <w:r w:rsidR="00CB6934">
        <w:rPr>
          <w:b w:val="0"/>
        </w:rPr>
        <w:t xml:space="preserve"> </w:t>
      </w:r>
      <w:r w:rsidR="00E5700D" w:rsidRPr="00CB6934">
        <w:rPr>
          <w:b w:val="0"/>
        </w:rPr>
        <w:t>1986; No. 38,</w:t>
      </w:r>
      <w:r w:rsidR="00CB6934">
        <w:rPr>
          <w:b w:val="0"/>
        </w:rPr>
        <w:t xml:space="preserve"> </w:t>
      </w:r>
      <w:r w:rsidR="00E5700D" w:rsidRPr="00CB6934">
        <w:rPr>
          <w:b w:val="0"/>
        </w:rPr>
        <w:t>1988; No. 115,</w:t>
      </w:r>
      <w:r w:rsidR="00CB6934">
        <w:rPr>
          <w:b w:val="0"/>
        </w:rPr>
        <w:t xml:space="preserve"> </w:t>
      </w:r>
      <w:r w:rsidR="00E5700D" w:rsidRPr="00CB6934">
        <w:rPr>
          <w:b w:val="0"/>
        </w:rPr>
        <w:t>1990; Nos. 132,</w:t>
      </w:r>
      <w:r w:rsidR="00CB6934">
        <w:rPr>
          <w:b w:val="0"/>
        </w:rPr>
        <w:t xml:space="preserve"> </w:t>
      </w:r>
      <w:r w:rsidR="00E5700D" w:rsidRPr="00CB6934">
        <w:rPr>
          <w:b w:val="0"/>
        </w:rPr>
        <w:t>165 and 179,</w:t>
      </w:r>
      <w:r w:rsidR="00CB6934">
        <w:rPr>
          <w:b w:val="0"/>
        </w:rPr>
        <w:t xml:space="preserve"> </w:t>
      </w:r>
      <w:r w:rsidR="00E5700D" w:rsidRPr="00CB6934">
        <w:rPr>
          <w:b w:val="0"/>
        </w:rPr>
        <w:t>1992; and No. 13,</w:t>
      </w:r>
      <w:r w:rsidR="00CB6934">
        <w:rPr>
          <w:b w:val="0"/>
        </w:rPr>
        <w:t xml:space="preserve"> </w:t>
      </w:r>
      <w:r w:rsidR="00E5700D" w:rsidRPr="00CB6934">
        <w:rPr>
          <w:b w:val="0"/>
        </w:rPr>
        <w:t>1</w:t>
      </w:r>
      <w:bookmarkStart w:id="2" w:name="_GoBack"/>
      <w:bookmarkEnd w:id="2"/>
      <w:r w:rsidR="00E5700D" w:rsidRPr="00CB6934">
        <w:rPr>
          <w:b w:val="0"/>
        </w:rPr>
        <w:t>994.</w:t>
      </w:r>
    </w:p>
    <w:p w14:paraId="4CD41AC0" w14:textId="77777777" w:rsidR="00C9092F" w:rsidRPr="00CB6934" w:rsidRDefault="00E5700D" w:rsidP="006A35BE">
      <w:pPr>
        <w:pStyle w:val="Bodytext60"/>
        <w:shd w:val="clear" w:color="auto" w:fill="auto"/>
        <w:spacing w:before="120" w:line="240" w:lineRule="auto"/>
        <w:ind w:firstLine="0"/>
        <w:rPr>
          <w:b w:val="0"/>
          <w:sz w:val="20"/>
        </w:rPr>
      </w:pPr>
      <w:r w:rsidRPr="00CB6934">
        <w:rPr>
          <w:b w:val="0"/>
          <w:i w:val="0"/>
          <w:sz w:val="20"/>
        </w:rPr>
        <w:t>[</w:t>
      </w:r>
      <w:r w:rsidRPr="00CB6934">
        <w:rPr>
          <w:b w:val="0"/>
          <w:sz w:val="20"/>
        </w:rPr>
        <w:t>Minister’s second reading speech made in</w:t>
      </w:r>
      <w:r w:rsidRPr="00CB6934">
        <w:rPr>
          <w:rStyle w:val="Bodytext64pt"/>
          <w:b/>
          <w:sz w:val="20"/>
        </w:rPr>
        <w:t>—</w:t>
      </w:r>
    </w:p>
    <w:p w14:paraId="00131065" w14:textId="31E590B2" w:rsidR="00C9092F" w:rsidRPr="00CB6934" w:rsidRDefault="00E5700D" w:rsidP="0003350C">
      <w:pPr>
        <w:pStyle w:val="Bodytext60"/>
        <w:shd w:val="clear" w:color="auto" w:fill="auto"/>
        <w:spacing w:line="240" w:lineRule="auto"/>
        <w:ind w:left="837" w:right="3960" w:firstLine="18"/>
        <w:rPr>
          <w:b w:val="0"/>
          <w:i w:val="0"/>
          <w:sz w:val="20"/>
        </w:rPr>
      </w:pPr>
      <w:r w:rsidRPr="00CB6934">
        <w:rPr>
          <w:b w:val="0"/>
          <w:sz w:val="20"/>
        </w:rPr>
        <w:t>House of Representatives on 15 November 1994 Senate on 28 November 1994</w:t>
      </w:r>
      <w:r w:rsidRPr="00CB6934">
        <w:rPr>
          <w:b w:val="0"/>
          <w:i w:val="0"/>
          <w:sz w:val="20"/>
        </w:rPr>
        <w:t>]</w:t>
      </w:r>
    </w:p>
    <w:sectPr w:rsidR="00C9092F" w:rsidRPr="00CB6934" w:rsidSect="00F20AAF">
      <w:headerReference w:type="default" r:id="rId10"/>
      <w:pgSz w:w="12240" w:h="15840" w:code="1"/>
      <w:pgMar w:top="1440" w:right="1440" w:bottom="1440" w:left="1440" w:header="36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92CB52" w15:done="0"/>
  <w15:commentEx w15:paraId="27CFC073" w15:done="0"/>
  <w15:commentEx w15:paraId="0A99DD43" w15:done="0"/>
  <w15:commentEx w15:paraId="66268FD3" w15:done="0"/>
  <w15:commentEx w15:paraId="00FCFF9A" w15:done="0"/>
  <w15:commentEx w15:paraId="0D5B55E2" w15:done="0"/>
  <w15:commentEx w15:paraId="31CDA3A0" w15:done="0"/>
  <w15:commentEx w15:paraId="06E11AA9" w15:done="0"/>
  <w15:commentEx w15:paraId="24B75896" w15:done="0"/>
  <w15:commentEx w15:paraId="6F554EF2" w15:done="0"/>
  <w15:commentEx w15:paraId="0A4B76C2" w15:done="0"/>
  <w15:commentEx w15:paraId="2ED15491" w15:done="0"/>
  <w15:commentEx w15:paraId="156D8A5E" w15:done="0"/>
  <w15:commentEx w15:paraId="1D572351" w15:done="0"/>
  <w15:commentEx w15:paraId="0DBE36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2CB52" w16cid:durableId="21305E04"/>
  <w16cid:commentId w16cid:paraId="27CFC073" w16cid:durableId="21305E11"/>
  <w16cid:commentId w16cid:paraId="0A99DD43" w16cid:durableId="21305E29"/>
  <w16cid:commentId w16cid:paraId="66268FD3" w16cid:durableId="21305E44"/>
  <w16cid:commentId w16cid:paraId="00FCFF9A" w16cid:durableId="21305E77"/>
  <w16cid:commentId w16cid:paraId="0D5B55E2" w16cid:durableId="21305E9D"/>
  <w16cid:commentId w16cid:paraId="31CDA3A0" w16cid:durableId="21305EA8"/>
  <w16cid:commentId w16cid:paraId="06E11AA9" w16cid:durableId="21305EAE"/>
  <w16cid:commentId w16cid:paraId="24B75896" w16cid:durableId="21305EB4"/>
  <w16cid:commentId w16cid:paraId="6F554EF2" w16cid:durableId="21305EBA"/>
  <w16cid:commentId w16cid:paraId="0A4B76C2" w16cid:durableId="21305EBF"/>
  <w16cid:commentId w16cid:paraId="2ED15491" w16cid:durableId="21305EC2"/>
  <w16cid:commentId w16cid:paraId="156D8A5E" w16cid:durableId="21305EC6"/>
  <w16cid:commentId w16cid:paraId="1D572351" w16cid:durableId="21305ECE"/>
  <w16cid:commentId w16cid:paraId="0DBE3631" w16cid:durableId="21305E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67B8C" w14:textId="77777777" w:rsidR="00802410" w:rsidRDefault="00802410">
      <w:r>
        <w:separator/>
      </w:r>
    </w:p>
  </w:endnote>
  <w:endnote w:type="continuationSeparator" w:id="0">
    <w:p w14:paraId="3884280B" w14:textId="77777777" w:rsidR="00802410" w:rsidRDefault="0080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D6004" w14:textId="77777777" w:rsidR="00802410" w:rsidRDefault="00802410"/>
  </w:footnote>
  <w:footnote w:type="continuationSeparator" w:id="0">
    <w:p w14:paraId="527B0416" w14:textId="77777777" w:rsidR="00802410" w:rsidRDefault="008024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EE39A" w14:textId="592551E1" w:rsidR="00EA0BAC" w:rsidRPr="00EF3D43" w:rsidRDefault="00EA0BAC" w:rsidP="00EF3D43">
    <w:pPr>
      <w:pStyle w:val="Header"/>
      <w:jc w:val="center"/>
      <w:rPr>
        <w:rFonts w:ascii="Times New Roman" w:hAnsi="Times New Roman" w:cs="Times New Roman"/>
        <w:sz w:val="22"/>
        <w:szCs w:val="22"/>
      </w:rPr>
    </w:pPr>
    <w:r w:rsidRPr="00EF3D43">
      <w:rPr>
        <w:rFonts w:ascii="Times New Roman" w:hAnsi="Times New Roman" w:cs="Times New Roman"/>
        <w:i/>
        <w:iCs/>
        <w:color w:val="auto"/>
        <w:sz w:val="22"/>
        <w:szCs w:val="22"/>
      </w:rPr>
      <w:t xml:space="preserve">Racial Hatred </w:t>
    </w:r>
    <w:r w:rsidR="00CB6934">
      <w:rPr>
        <w:rFonts w:ascii="Times New Roman" w:hAnsi="Times New Roman" w:cs="Times New Roman"/>
        <w:i/>
        <w:iCs/>
        <w:color w:val="auto"/>
        <w:sz w:val="22"/>
        <w:szCs w:val="22"/>
      </w:rPr>
      <w:t xml:space="preserve">     </w:t>
    </w:r>
    <w:r w:rsidRPr="00EF3D43">
      <w:rPr>
        <w:rFonts w:ascii="Times New Roman" w:hAnsi="Times New Roman" w:cs="Times New Roman"/>
        <w:i/>
        <w:iCs/>
        <w:color w:val="auto"/>
        <w:sz w:val="22"/>
        <w:szCs w:val="22"/>
      </w:rPr>
      <w:t xml:space="preserve">No. 101, </w:t>
    </w:r>
    <w:r w:rsidRPr="00EF3D43">
      <w:rPr>
        <w:rFonts w:ascii="Times New Roman" w:hAnsi="Times New Roman" w:cs="Times New Roman"/>
        <w:bCs/>
        <w:i/>
        <w:iCs/>
        <w:color w:val="auto"/>
        <w:sz w:val="22"/>
        <w:szCs w:val="22"/>
      </w:rPr>
      <w:t>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316"/>
    <w:multiLevelType w:val="multilevel"/>
    <w:tmpl w:val="C0AE4E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3656D4"/>
    <w:multiLevelType w:val="multilevel"/>
    <w:tmpl w:val="8A149A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53C08"/>
    <w:multiLevelType w:val="multilevel"/>
    <w:tmpl w:val="94E6B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D1E02"/>
    <w:multiLevelType w:val="multilevel"/>
    <w:tmpl w:val="BCE88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11C5F"/>
    <w:multiLevelType w:val="multilevel"/>
    <w:tmpl w:val="3C84F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8F66BC"/>
    <w:multiLevelType w:val="multilevel"/>
    <w:tmpl w:val="FC88A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2315B3"/>
    <w:multiLevelType w:val="multilevel"/>
    <w:tmpl w:val="59CC47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6655AB"/>
    <w:multiLevelType w:val="multilevel"/>
    <w:tmpl w:val="78221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681CF2"/>
    <w:multiLevelType w:val="multilevel"/>
    <w:tmpl w:val="5EAA0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3"/>
  </w:num>
  <w:num w:numId="5">
    <w:abstractNumId w:val="4"/>
  </w:num>
  <w:num w:numId="6">
    <w:abstractNumId w:val="8"/>
  </w:num>
  <w:num w:numId="7">
    <w:abstractNumId w:val="1"/>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9092F"/>
    <w:rsid w:val="00026A1D"/>
    <w:rsid w:val="0003350C"/>
    <w:rsid w:val="000570B2"/>
    <w:rsid w:val="001928E7"/>
    <w:rsid w:val="00340AC9"/>
    <w:rsid w:val="00386745"/>
    <w:rsid w:val="0042192C"/>
    <w:rsid w:val="0045685F"/>
    <w:rsid w:val="004A0DC7"/>
    <w:rsid w:val="005F055E"/>
    <w:rsid w:val="00696C7C"/>
    <w:rsid w:val="006A35BE"/>
    <w:rsid w:val="006F5B13"/>
    <w:rsid w:val="00750ADC"/>
    <w:rsid w:val="007532B0"/>
    <w:rsid w:val="007A4073"/>
    <w:rsid w:val="00802410"/>
    <w:rsid w:val="00951E9A"/>
    <w:rsid w:val="00A64DF3"/>
    <w:rsid w:val="00A712E6"/>
    <w:rsid w:val="00B00406"/>
    <w:rsid w:val="00C82CA5"/>
    <w:rsid w:val="00C9092F"/>
    <w:rsid w:val="00CB6934"/>
    <w:rsid w:val="00D96048"/>
    <w:rsid w:val="00DB403B"/>
    <w:rsid w:val="00E5700D"/>
    <w:rsid w:val="00EA0BAC"/>
    <w:rsid w:val="00EF3D43"/>
    <w:rsid w:val="00F20AAF"/>
    <w:rsid w:val="00F5323F"/>
    <w:rsid w:val="00FD7B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33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0">
    <w:name w:val="Body text (4)_"/>
    <w:basedOn w:val="DefaultParagraphFont"/>
    <w:link w:val="Bodytext41"/>
    <w:rPr>
      <w:rFonts w:ascii="Times New Roman" w:eastAsia="Times New Roman" w:hAnsi="Times New Roman" w:cs="Times New Roman"/>
      <w:b w:val="0"/>
      <w:bCs w:val="0"/>
      <w:i w:val="0"/>
      <w:iCs w:val="0"/>
      <w:smallCaps w:val="0"/>
      <w:strike w:val="0"/>
      <w:sz w:val="16"/>
      <w:szCs w:val="1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18"/>
      <w:szCs w:val="18"/>
      <w:u w:val="none"/>
    </w:rPr>
  </w:style>
  <w:style w:type="character" w:customStyle="1" w:styleId="Bodytext64pt">
    <w:name w:val="Body text (6) + 4 pt"/>
    <w:aliases w:val="Not Bold,Not Italic"/>
    <w:basedOn w:val="Bodytext6"/>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Bodytext41">
    <w:name w:val="Body text (4)"/>
    <w:basedOn w:val="Normal"/>
    <w:link w:val="Bodytext40"/>
    <w:pPr>
      <w:shd w:val="clear" w:color="auto" w:fill="FFFFFF"/>
      <w:spacing w:line="202" w:lineRule="exact"/>
      <w:ind w:hanging="360"/>
      <w:jc w:val="both"/>
    </w:pPr>
    <w:rPr>
      <w:rFonts w:ascii="Times New Roman" w:eastAsia="Times New Roman" w:hAnsi="Times New Roman" w:cs="Times New Roman"/>
      <w:sz w:val="16"/>
      <w:szCs w:val="16"/>
    </w:rPr>
  </w:style>
  <w:style w:type="paragraph" w:customStyle="1" w:styleId="Heading10">
    <w:name w:val="Heading #1"/>
    <w:basedOn w:val="Normal"/>
    <w:link w:val="Heading1"/>
    <w:pPr>
      <w:shd w:val="clear" w:color="auto" w:fill="FFFFFF"/>
      <w:spacing w:line="0" w:lineRule="atLeast"/>
      <w:jc w:val="center"/>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hd w:val="clear" w:color="auto" w:fill="FFFFFF"/>
      <w:spacing w:line="0" w:lineRule="atLeast"/>
      <w:jc w:val="center"/>
    </w:pPr>
    <w:rPr>
      <w:rFonts w:ascii="Times New Roman" w:eastAsia="Times New Roman" w:hAnsi="Times New Roman" w:cs="Times New Roman"/>
      <w:b/>
      <w:bCs/>
    </w:rPr>
  </w:style>
  <w:style w:type="paragraph" w:customStyle="1" w:styleId="Heading20">
    <w:name w:val="Heading #2"/>
    <w:basedOn w:val="Normal"/>
    <w:link w:val="Heading2"/>
    <w:pPr>
      <w:shd w:val="clear" w:color="auto" w:fill="FFFFFF"/>
      <w:spacing w:line="326" w:lineRule="exact"/>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line="437" w:lineRule="exact"/>
      <w:ind w:hanging="360"/>
      <w:jc w:val="right"/>
    </w:pPr>
    <w:rPr>
      <w:rFonts w:ascii="Times New Roman" w:eastAsia="Times New Roman" w:hAnsi="Times New Roman" w:cs="Times New Roman"/>
      <w:i/>
      <w:iCs/>
      <w:sz w:val="23"/>
      <w:szCs w:val="23"/>
    </w:rPr>
  </w:style>
  <w:style w:type="paragraph" w:customStyle="1" w:styleId="BodyText1">
    <w:name w:val="Body Text1"/>
    <w:basedOn w:val="Normal"/>
    <w:link w:val="Bodytext"/>
    <w:pPr>
      <w:shd w:val="clear" w:color="auto" w:fill="FFFFFF"/>
      <w:spacing w:line="437" w:lineRule="exact"/>
      <w:ind w:hanging="420"/>
      <w:jc w:val="both"/>
    </w:pPr>
    <w:rPr>
      <w:rFonts w:ascii="Times New Roman" w:eastAsia="Times New Roman" w:hAnsi="Times New Roman" w:cs="Times New Roman"/>
      <w:sz w:val="23"/>
      <w:szCs w:val="23"/>
    </w:rPr>
  </w:style>
  <w:style w:type="paragraph" w:customStyle="1" w:styleId="Bodytext50">
    <w:name w:val="Body text (5)"/>
    <w:basedOn w:val="Normal"/>
    <w:link w:val="Bodytext5"/>
    <w:pPr>
      <w:shd w:val="clear" w:color="auto" w:fill="FFFFFF"/>
      <w:spacing w:line="211" w:lineRule="exact"/>
      <w:ind w:hanging="360"/>
      <w:jc w:val="both"/>
    </w:pPr>
    <w:rPr>
      <w:rFonts w:ascii="Times New Roman" w:eastAsia="Times New Roman" w:hAnsi="Times New Roman" w:cs="Times New Roman"/>
      <w:b/>
      <w:bCs/>
      <w:sz w:val="20"/>
      <w:szCs w:val="20"/>
    </w:rPr>
  </w:style>
  <w:style w:type="paragraph" w:customStyle="1" w:styleId="Bodytext60">
    <w:name w:val="Body text (6)"/>
    <w:basedOn w:val="Normal"/>
    <w:link w:val="Bodytext6"/>
    <w:pPr>
      <w:shd w:val="clear" w:color="auto" w:fill="FFFFFF"/>
      <w:spacing w:line="230" w:lineRule="exact"/>
      <w:ind w:hanging="360"/>
      <w:jc w:val="both"/>
    </w:pPr>
    <w:rPr>
      <w:rFonts w:ascii="Times New Roman" w:eastAsia="Times New Roman" w:hAnsi="Times New Roman" w:cs="Times New Roman"/>
      <w:b/>
      <w:bCs/>
      <w:i/>
      <w:iCs/>
      <w:sz w:val="18"/>
      <w:szCs w:val="18"/>
    </w:rPr>
  </w:style>
  <w:style w:type="paragraph" w:styleId="Header">
    <w:name w:val="header"/>
    <w:basedOn w:val="Normal"/>
    <w:link w:val="HeaderChar"/>
    <w:uiPriority w:val="99"/>
    <w:unhideWhenUsed/>
    <w:rsid w:val="00EF3D43"/>
    <w:pPr>
      <w:tabs>
        <w:tab w:val="center" w:pos="4680"/>
        <w:tab w:val="right" w:pos="9360"/>
      </w:tabs>
    </w:pPr>
  </w:style>
  <w:style w:type="character" w:customStyle="1" w:styleId="HeaderChar">
    <w:name w:val="Header Char"/>
    <w:basedOn w:val="DefaultParagraphFont"/>
    <w:link w:val="Header"/>
    <w:uiPriority w:val="99"/>
    <w:rsid w:val="00EF3D43"/>
    <w:rPr>
      <w:color w:val="000000"/>
    </w:rPr>
  </w:style>
  <w:style w:type="paragraph" w:styleId="Footer">
    <w:name w:val="footer"/>
    <w:basedOn w:val="Normal"/>
    <w:link w:val="FooterChar"/>
    <w:uiPriority w:val="99"/>
    <w:unhideWhenUsed/>
    <w:rsid w:val="00EF3D43"/>
    <w:pPr>
      <w:tabs>
        <w:tab w:val="center" w:pos="4680"/>
        <w:tab w:val="right" w:pos="9360"/>
      </w:tabs>
    </w:pPr>
  </w:style>
  <w:style w:type="character" w:customStyle="1" w:styleId="FooterChar">
    <w:name w:val="Footer Char"/>
    <w:basedOn w:val="DefaultParagraphFont"/>
    <w:link w:val="Footer"/>
    <w:uiPriority w:val="99"/>
    <w:rsid w:val="00EF3D43"/>
    <w:rPr>
      <w:color w:val="000000"/>
    </w:rPr>
  </w:style>
  <w:style w:type="character" w:styleId="CommentReference">
    <w:name w:val="annotation reference"/>
    <w:basedOn w:val="DefaultParagraphFont"/>
    <w:uiPriority w:val="99"/>
    <w:semiHidden/>
    <w:unhideWhenUsed/>
    <w:rsid w:val="00026A1D"/>
    <w:rPr>
      <w:sz w:val="16"/>
      <w:szCs w:val="16"/>
    </w:rPr>
  </w:style>
  <w:style w:type="paragraph" w:styleId="CommentText">
    <w:name w:val="annotation text"/>
    <w:basedOn w:val="Normal"/>
    <w:link w:val="CommentTextChar"/>
    <w:uiPriority w:val="99"/>
    <w:semiHidden/>
    <w:unhideWhenUsed/>
    <w:rsid w:val="00026A1D"/>
    <w:rPr>
      <w:sz w:val="20"/>
      <w:szCs w:val="20"/>
    </w:rPr>
  </w:style>
  <w:style w:type="character" w:customStyle="1" w:styleId="CommentTextChar">
    <w:name w:val="Comment Text Char"/>
    <w:basedOn w:val="DefaultParagraphFont"/>
    <w:link w:val="CommentText"/>
    <w:uiPriority w:val="99"/>
    <w:semiHidden/>
    <w:rsid w:val="00026A1D"/>
    <w:rPr>
      <w:color w:val="000000"/>
      <w:sz w:val="20"/>
      <w:szCs w:val="20"/>
    </w:rPr>
  </w:style>
  <w:style w:type="paragraph" w:styleId="CommentSubject">
    <w:name w:val="annotation subject"/>
    <w:basedOn w:val="CommentText"/>
    <w:next w:val="CommentText"/>
    <w:link w:val="CommentSubjectChar"/>
    <w:uiPriority w:val="99"/>
    <w:semiHidden/>
    <w:unhideWhenUsed/>
    <w:rsid w:val="00026A1D"/>
    <w:rPr>
      <w:b/>
      <w:bCs/>
    </w:rPr>
  </w:style>
  <w:style w:type="character" w:customStyle="1" w:styleId="CommentSubjectChar">
    <w:name w:val="Comment Subject Char"/>
    <w:basedOn w:val="CommentTextChar"/>
    <w:link w:val="CommentSubject"/>
    <w:uiPriority w:val="99"/>
    <w:semiHidden/>
    <w:rsid w:val="00026A1D"/>
    <w:rPr>
      <w:b/>
      <w:bCs/>
      <w:color w:val="000000"/>
      <w:sz w:val="20"/>
      <w:szCs w:val="20"/>
    </w:rPr>
  </w:style>
  <w:style w:type="paragraph" w:styleId="BalloonText">
    <w:name w:val="Balloon Text"/>
    <w:basedOn w:val="Normal"/>
    <w:link w:val="BalloonTextChar"/>
    <w:uiPriority w:val="99"/>
    <w:semiHidden/>
    <w:unhideWhenUsed/>
    <w:rsid w:val="00026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A1D"/>
    <w:rPr>
      <w:rFonts w:ascii="Segoe UI" w:hAnsi="Segoe UI" w:cs="Segoe UI"/>
      <w:color w:val="000000"/>
      <w:sz w:val="18"/>
      <w:szCs w:val="18"/>
    </w:rPr>
  </w:style>
  <w:style w:type="paragraph" w:styleId="Revision">
    <w:name w:val="Revision"/>
    <w:hidden/>
    <w:uiPriority w:val="99"/>
    <w:semiHidden/>
    <w:rsid w:val="00CB6934"/>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DF45-D0A4-462B-9118-16184E29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2019-09-20T22:33:00Z</dcterms:created>
  <dcterms:modified xsi:type="dcterms:W3CDTF">2019-11-14T04:13:00Z</dcterms:modified>
</cp:coreProperties>
</file>