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8FE02" w14:textId="71BE35C5" w:rsidR="00882317" w:rsidRPr="009F6073" w:rsidRDefault="00880E38" w:rsidP="00E32EFE">
      <w:pPr>
        <w:jc w:val="center"/>
        <w:rPr>
          <w:rFonts w:ascii="Times New Roman" w:hAnsi="Times New Roman"/>
          <w:sz w:val="22"/>
          <w:szCs w:val="2"/>
        </w:rPr>
      </w:pPr>
      <w:r>
        <w:rPr>
          <w:rFonts w:ascii="Times New Roman" w:hAnsi="Times New Roman"/>
          <w:sz w:val="22"/>
        </w:rPr>
        <w:pict w14:anchorId="1820F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35.95pt;height:89.3pt">
            <v:imagedata r:id="rId9" o:title=""/>
          </v:shape>
        </w:pict>
      </w:r>
    </w:p>
    <w:p w14:paraId="52957A6D" w14:textId="77777777" w:rsidR="00882317" w:rsidRPr="009C115B" w:rsidRDefault="00717483" w:rsidP="0055365D">
      <w:pPr>
        <w:spacing w:before="960"/>
        <w:jc w:val="center"/>
        <w:rPr>
          <w:rFonts w:ascii="Times New Roman" w:hAnsi="Times New Roman"/>
          <w:b/>
          <w:sz w:val="36"/>
          <w:szCs w:val="36"/>
        </w:rPr>
      </w:pPr>
      <w:bookmarkStart w:id="0" w:name="bookmark0"/>
      <w:r w:rsidRPr="009C115B">
        <w:rPr>
          <w:rFonts w:ascii="Times New Roman" w:hAnsi="Times New Roman"/>
          <w:b/>
          <w:sz w:val="36"/>
          <w:szCs w:val="36"/>
        </w:rPr>
        <w:t>R</w:t>
      </w:r>
      <w:r w:rsidR="00BA52CC" w:rsidRPr="009C115B">
        <w:rPr>
          <w:rFonts w:ascii="Times New Roman" w:hAnsi="Times New Roman"/>
          <w:b/>
          <w:sz w:val="36"/>
          <w:szCs w:val="36"/>
        </w:rPr>
        <w:t>adiocommunications Taxes Collection Amendment Act 1995</w:t>
      </w:r>
      <w:bookmarkEnd w:id="0"/>
    </w:p>
    <w:p w14:paraId="4B86906C" w14:textId="108B3D0A" w:rsidR="00882317" w:rsidRPr="00880E38" w:rsidRDefault="00BA52CC" w:rsidP="0055365D">
      <w:pPr>
        <w:pStyle w:val="Bodytext20"/>
        <w:shd w:val="clear" w:color="auto" w:fill="auto"/>
        <w:spacing w:before="960" w:line="240" w:lineRule="auto"/>
        <w:rPr>
          <w:sz w:val="24"/>
          <w:szCs w:val="22"/>
        </w:rPr>
      </w:pPr>
      <w:r w:rsidRPr="00880E38">
        <w:rPr>
          <w:sz w:val="24"/>
          <w:szCs w:val="22"/>
        </w:rPr>
        <w:t>No. 109 of 1995</w:t>
      </w:r>
    </w:p>
    <w:p w14:paraId="045F5D80" w14:textId="77777777" w:rsidR="00E32EFE" w:rsidRPr="009F6073" w:rsidRDefault="00E32EFE" w:rsidP="0055365D">
      <w:pPr>
        <w:pStyle w:val="Bodytext20"/>
        <w:pBdr>
          <w:bottom w:val="thickThinLargeGap" w:sz="24" w:space="1" w:color="auto"/>
        </w:pBdr>
        <w:shd w:val="clear" w:color="auto" w:fill="auto"/>
        <w:spacing w:before="960" w:line="240" w:lineRule="auto"/>
        <w:rPr>
          <w:sz w:val="22"/>
        </w:rPr>
      </w:pPr>
    </w:p>
    <w:p w14:paraId="599297F1" w14:textId="77777777" w:rsidR="00882317" w:rsidRPr="00963A69" w:rsidRDefault="00BA52CC" w:rsidP="0055365D">
      <w:pPr>
        <w:pStyle w:val="Bodytext30"/>
        <w:shd w:val="clear" w:color="auto" w:fill="auto"/>
        <w:spacing w:before="960" w:line="240" w:lineRule="auto"/>
        <w:rPr>
          <w:sz w:val="26"/>
          <w:szCs w:val="26"/>
        </w:rPr>
      </w:pPr>
      <w:r w:rsidRPr="00963A69">
        <w:rPr>
          <w:rStyle w:val="Bodytext3NotItalic"/>
          <w:b/>
          <w:bCs/>
          <w:sz w:val="26"/>
          <w:szCs w:val="26"/>
        </w:rPr>
        <w:t xml:space="preserve">An Act to amend the </w:t>
      </w:r>
      <w:r w:rsidRPr="00963A69">
        <w:rPr>
          <w:sz w:val="26"/>
          <w:szCs w:val="26"/>
        </w:rPr>
        <w:t>Radiocommunications Taxes Collection</w:t>
      </w:r>
      <w:r w:rsidR="00E32EFE" w:rsidRPr="00963A69">
        <w:rPr>
          <w:sz w:val="26"/>
          <w:szCs w:val="26"/>
        </w:rPr>
        <w:t xml:space="preserve"> </w:t>
      </w:r>
      <w:r w:rsidRPr="00963A69">
        <w:rPr>
          <w:sz w:val="26"/>
          <w:szCs w:val="26"/>
        </w:rPr>
        <w:t>Act 1983</w:t>
      </w:r>
    </w:p>
    <w:p w14:paraId="67DBEB57" w14:textId="77777777" w:rsidR="00882317" w:rsidRPr="009F6073" w:rsidRDefault="00BA52CC" w:rsidP="00F01DEB">
      <w:pPr>
        <w:pStyle w:val="Bodytext40"/>
        <w:shd w:val="clear" w:color="auto" w:fill="auto"/>
        <w:spacing w:before="120" w:line="240" w:lineRule="auto"/>
        <w:rPr>
          <w:sz w:val="22"/>
        </w:rPr>
      </w:pPr>
      <w:r w:rsidRPr="00E32EFE">
        <w:rPr>
          <w:i w:val="0"/>
          <w:sz w:val="22"/>
        </w:rPr>
        <w:t>[</w:t>
      </w:r>
      <w:r w:rsidRPr="009F6073">
        <w:rPr>
          <w:sz w:val="22"/>
        </w:rPr>
        <w:t>Assented to 29 September 1995</w:t>
      </w:r>
      <w:r w:rsidRPr="00E32EFE">
        <w:rPr>
          <w:i w:val="0"/>
          <w:sz w:val="22"/>
        </w:rPr>
        <w:t>]</w:t>
      </w:r>
    </w:p>
    <w:p w14:paraId="7AE04CEE" w14:textId="77777777" w:rsidR="00882317" w:rsidRPr="009F6073" w:rsidRDefault="00BA52CC" w:rsidP="0055365D">
      <w:pPr>
        <w:pStyle w:val="BodyText1"/>
        <w:shd w:val="clear" w:color="auto" w:fill="auto"/>
        <w:spacing w:before="120" w:line="240" w:lineRule="auto"/>
        <w:ind w:firstLine="270"/>
        <w:jc w:val="both"/>
        <w:rPr>
          <w:sz w:val="22"/>
        </w:rPr>
      </w:pPr>
      <w:r w:rsidRPr="009F6073">
        <w:rPr>
          <w:sz w:val="22"/>
        </w:rPr>
        <w:t>The Parliament of Australia enacts:</w:t>
      </w:r>
    </w:p>
    <w:p w14:paraId="09F44EFC" w14:textId="77777777" w:rsidR="00882317" w:rsidRPr="009F6073" w:rsidRDefault="00BA52CC" w:rsidP="00CB1C20">
      <w:pPr>
        <w:pStyle w:val="Bodytext50"/>
        <w:shd w:val="clear" w:color="auto" w:fill="auto"/>
        <w:spacing w:before="120" w:after="60" w:line="240" w:lineRule="auto"/>
        <w:jc w:val="both"/>
        <w:rPr>
          <w:sz w:val="22"/>
        </w:rPr>
      </w:pPr>
      <w:r w:rsidRPr="009F6073">
        <w:rPr>
          <w:rStyle w:val="Bodytext51"/>
          <w:b/>
          <w:bCs/>
          <w:sz w:val="22"/>
        </w:rPr>
        <w:t>Short title etc.</w:t>
      </w:r>
    </w:p>
    <w:p w14:paraId="7C86CB39" w14:textId="77777777" w:rsidR="00CB1C20" w:rsidRDefault="00CB1C20" w:rsidP="00963A69">
      <w:pPr>
        <w:pStyle w:val="Bodytext40"/>
        <w:shd w:val="clear" w:color="auto" w:fill="auto"/>
        <w:spacing w:before="120" w:line="240" w:lineRule="auto"/>
        <w:ind w:firstLine="270"/>
        <w:jc w:val="both"/>
        <w:rPr>
          <w:sz w:val="22"/>
        </w:rPr>
      </w:pPr>
      <w:r w:rsidRPr="00CB1C20">
        <w:rPr>
          <w:rStyle w:val="Bodytext4NotItalic"/>
          <w:b/>
          <w:sz w:val="22"/>
        </w:rPr>
        <w:t>1</w:t>
      </w:r>
      <w:r w:rsidRPr="009C115B">
        <w:rPr>
          <w:rStyle w:val="Bodytext4NotItalic"/>
          <w:b/>
          <w:sz w:val="22"/>
        </w:rPr>
        <w:t>.</w:t>
      </w:r>
      <w:r w:rsidR="00BA52CC" w:rsidRPr="009C115B">
        <w:rPr>
          <w:rStyle w:val="Bodytext4NotItalic"/>
          <w:b/>
          <w:sz w:val="22"/>
        </w:rPr>
        <w:t>(1)</w:t>
      </w:r>
      <w:r w:rsidR="00BA52CC" w:rsidRPr="009F6073">
        <w:rPr>
          <w:rStyle w:val="Bodytext4NotItalic"/>
          <w:sz w:val="22"/>
        </w:rPr>
        <w:t xml:space="preserve"> This Act may be cited as the </w:t>
      </w:r>
      <w:r w:rsidR="00BA52CC" w:rsidRPr="009F6073">
        <w:rPr>
          <w:sz w:val="22"/>
        </w:rPr>
        <w:t>Radiocommunications Taxes Collection Amendment Act 1995.</w:t>
      </w:r>
    </w:p>
    <w:p w14:paraId="5A2F33F4" w14:textId="77777777" w:rsidR="0055365D" w:rsidRDefault="0055365D">
      <w:pPr>
        <w:rPr>
          <w:rFonts w:ascii="Times New Roman" w:eastAsia="Times New Roman" w:hAnsi="Times New Roman" w:cs="Times New Roman"/>
          <w:i/>
          <w:iCs/>
          <w:sz w:val="22"/>
          <w:szCs w:val="23"/>
        </w:rPr>
        <w:sectPr w:rsidR="0055365D" w:rsidSect="0055365D">
          <w:headerReference w:type="default" r:id="rId10"/>
          <w:type w:val="continuous"/>
          <w:pgSz w:w="12240" w:h="15840" w:code="1"/>
          <w:pgMar w:top="1440" w:right="1440" w:bottom="1440" w:left="1440" w:header="0" w:footer="0" w:gutter="0"/>
          <w:cols w:space="720"/>
          <w:noEndnote/>
          <w:titlePg/>
          <w:docGrid w:linePitch="360"/>
        </w:sectPr>
      </w:pPr>
    </w:p>
    <w:p w14:paraId="5FE9075B" w14:textId="10F954F7" w:rsidR="00882317" w:rsidRPr="009F6073" w:rsidRDefault="00BA52CC" w:rsidP="005353B4">
      <w:pPr>
        <w:pStyle w:val="Bodytext40"/>
        <w:shd w:val="clear" w:color="auto" w:fill="auto"/>
        <w:spacing w:before="120" w:line="240" w:lineRule="auto"/>
        <w:ind w:firstLine="270"/>
        <w:jc w:val="both"/>
        <w:rPr>
          <w:sz w:val="22"/>
        </w:rPr>
      </w:pPr>
      <w:r w:rsidRPr="009F6073">
        <w:rPr>
          <w:rStyle w:val="Bodytext4Bold"/>
          <w:sz w:val="22"/>
        </w:rPr>
        <w:lastRenderedPageBreak/>
        <w:t xml:space="preserve">(2) </w:t>
      </w:r>
      <w:r w:rsidRPr="009F6073">
        <w:rPr>
          <w:rStyle w:val="Bodytext4NotItalic"/>
          <w:sz w:val="22"/>
        </w:rPr>
        <w:t xml:space="preserve">In this Act, </w:t>
      </w:r>
      <w:r w:rsidRPr="009F6073">
        <w:rPr>
          <w:rStyle w:val="Bodytext4Bold"/>
          <w:sz w:val="22"/>
        </w:rPr>
        <w:t>“Principal Act”</w:t>
      </w:r>
      <w:r w:rsidRPr="009F6073">
        <w:rPr>
          <w:rStyle w:val="Bodytext4NotItalic"/>
          <w:sz w:val="22"/>
        </w:rPr>
        <w:t xml:space="preserve"> means the </w:t>
      </w:r>
      <w:r w:rsidRPr="009F6073">
        <w:rPr>
          <w:sz w:val="22"/>
        </w:rPr>
        <w:t>Radiocommunications Taxes Collection Act 1983</w:t>
      </w:r>
      <w:r w:rsidRPr="00880E38">
        <w:rPr>
          <w:i w:val="0"/>
          <w:sz w:val="22"/>
          <w:vertAlign w:val="superscript"/>
        </w:rPr>
        <w:t>1</w:t>
      </w:r>
      <w:r w:rsidRPr="009F6073">
        <w:rPr>
          <w:sz w:val="22"/>
        </w:rPr>
        <w:t>.</w:t>
      </w:r>
    </w:p>
    <w:p w14:paraId="09CC2799" w14:textId="77777777" w:rsidR="00882317" w:rsidRPr="00CB1C20" w:rsidRDefault="00BA52CC" w:rsidP="00CB1C20">
      <w:pPr>
        <w:spacing w:before="120" w:after="60"/>
        <w:jc w:val="both"/>
        <w:rPr>
          <w:rFonts w:ascii="Times New Roman" w:hAnsi="Times New Roman"/>
          <w:b/>
          <w:sz w:val="22"/>
        </w:rPr>
      </w:pPr>
      <w:r w:rsidRPr="00CB1C20">
        <w:rPr>
          <w:rFonts w:ascii="Times New Roman" w:hAnsi="Times New Roman"/>
          <w:b/>
          <w:sz w:val="22"/>
        </w:rPr>
        <w:t>Commencement</w:t>
      </w:r>
    </w:p>
    <w:p w14:paraId="7817BD85" w14:textId="77777777" w:rsidR="00882317" w:rsidRPr="009F6073" w:rsidRDefault="00CB1C20" w:rsidP="00F9098D">
      <w:pPr>
        <w:pStyle w:val="BodyText1"/>
        <w:shd w:val="clear" w:color="auto" w:fill="auto"/>
        <w:tabs>
          <w:tab w:val="left" w:pos="887"/>
        </w:tabs>
        <w:spacing w:before="120" w:line="240" w:lineRule="auto"/>
        <w:ind w:firstLine="270"/>
        <w:jc w:val="both"/>
        <w:rPr>
          <w:sz w:val="22"/>
        </w:rPr>
      </w:pPr>
      <w:r>
        <w:rPr>
          <w:rStyle w:val="BodytextBold"/>
          <w:sz w:val="22"/>
        </w:rPr>
        <w:t>2.</w:t>
      </w:r>
      <w:r w:rsidR="00BA52CC" w:rsidRPr="009F6073">
        <w:rPr>
          <w:rStyle w:val="BodytextBold"/>
          <w:sz w:val="22"/>
        </w:rPr>
        <w:t xml:space="preserve">(1) </w:t>
      </w:r>
      <w:r w:rsidR="00BA52CC" w:rsidRPr="009F6073">
        <w:rPr>
          <w:sz w:val="22"/>
        </w:rPr>
        <w:t>Subject to subsection (2), this Act commences on a day to be fixed by Proclamation.</w:t>
      </w:r>
    </w:p>
    <w:p w14:paraId="41CE8636" w14:textId="77777777" w:rsidR="00882317" w:rsidRPr="009F6073" w:rsidRDefault="00BA52CC" w:rsidP="00F9098D">
      <w:pPr>
        <w:pStyle w:val="BodyText1"/>
        <w:shd w:val="clear" w:color="auto" w:fill="auto"/>
        <w:spacing w:before="120" w:line="240" w:lineRule="auto"/>
        <w:ind w:firstLine="387"/>
        <w:jc w:val="both"/>
        <w:rPr>
          <w:sz w:val="22"/>
        </w:rPr>
      </w:pPr>
      <w:r w:rsidRPr="009F6073">
        <w:rPr>
          <w:rStyle w:val="BodytextBold"/>
          <w:sz w:val="22"/>
        </w:rPr>
        <w:t>(2)</w:t>
      </w:r>
      <w:r w:rsidRPr="009F6073">
        <w:rPr>
          <w:sz w:val="22"/>
        </w:rPr>
        <w:t xml:space="preserve"> If this Act does not commence within the period of 6 months beginning on the day on which this Act receives the Royal Assent, it commences on the first day after the end of that period.</w:t>
      </w:r>
    </w:p>
    <w:p w14:paraId="2AFF98DD" w14:textId="77777777" w:rsidR="00882317" w:rsidRPr="009F6073" w:rsidRDefault="00BA52CC" w:rsidP="00CB1C20">
      <w:pPr>
        <w:spacing w:before="120" w:after="60"/>
        <w:jc w:val="both"/>
        <w:rPr>
          <w:rFonts w:ascii="Times New Roman" w:hAnsi="Times New Roman"/>
          <w:sz w:val="22"/>
        </w:rPr>
      </w:pPr>
      <w:r w:rsidRPr="009F6073">
        <w:rPr>
          <w:rStyle w:val="BodytextBold"/>
          <w:rFonts w:eastAsia="Courier New"/>
          <w:sz w:val="22"/>
        </w:rPr>
        <w:t>Amendments</w:t>
      </w:r>
    </w:p>
    <w:p w14:paraId="2A98288F" w14:textId="77777777" w:rsidR="00CB1C20" w:rsidRDefault="00CB1C20" w:rsidP="009C115B">
      <w:pPr>
        <w:pStyle w:val="BodyText1"/>
        <w:shd w:val="clear" w:color="auto" w:fill="auto"/>
        <w:tabs>
          <w:tab w:val="left" w:pos="630"/>
        </w:tabs>
        <w:spacing w:before="120" w:line="240" w:lineRule="auto"/>
        <w:ind w:firstLine="270"/>
        <w:jc w:val="both"/>
        <w:rPr>
          <w:sz w:val="22"/>
        </w:rPr>
      </w:pPr>
      <w:r w:rsidRPr="00CB1C20">
        <w:rPr>
          <w:b/>
          <w:sz w:val="22"/>
        </w:rPr>
        <w:t>3.</w:t>
      </w:r>
      <w:r>
        <w:rPr>
          <w:sz w:val="22"/>
        </w:rPr>
        <w:tab/>
      </w:r>
      <w:r w:rsidR="00BA52CC" w:rsidRPr="009F6073">
        <w:rPr>
          <w:sz w:val="22"/>
        </w:rPr>
        <w:t>The Principal Act is amended as set out in the Schedule.</w:t>
      </w:r>
    </w:p>
    <w:p w14:paraId="2A58BA5C" w14:textId="77777777" w:rsidR="00CB1C20" w:rsidRPr="00CF26D6" w:rsidRDefault="00CB1C20" w:rsidP="00CB1C20">
      <w:pPr>
        <w:pStyle w:val="BodyText1"/>
        <w:shd w:val="clear" w:color="auto" w:fill="auto"/>
        <w:tabs>
          <w:tab w:val="left" w:pos="810"/>
        </w:tabs>
        <w:spacing w:before="120" w:line="240" w:lineRule="auto"/>
        <w:ind w:firstLine="270"/>
        <w:jc w:val="center"/>
        <w:rPr>
          <w:sz w:val="22"/>
        </w:rPr>
      </w:pPr>
      <w:r w:rsidRPr="00CF26D6">
        <w:rPr>
          <w:sz w:val="22"/>
        </w:rPr>
        <w:t>–––––––––––</w:t>
      </w:r>
    </w:p>
    <w:p w14:paraId="28F22F0B" w14:textId="77777777" w:rsidR="00CB1C20" w:rsidRDefault="00CB1C20">
      <w:pPr>
        <w:rPr>
          <w:rFonts w:ascii="Times New Roman" w:eastAsia="Times New Roman" w:hAnsi="Times New Roman" w:cs="Times New Roman"/>
          <w:sz w:val="22"/>
          <w:szCs w:val="23"/>
        </w:rPr>
      </w:pPr>
      <w:r>
        <w:rPr>
          <w:sz w:val="22"/>
        </w:rPr>
        <w:br w:type="page"/>
      </w:r>
    </w:p>
    <w:p w14:paraId="6E0387BE" w14:textId="0D9D3FDE" w:rsidR="00882317" w:rsidRPr="009F6073" w:rsidRDefault="00BA52CC" w:rsidP="00DB045E">
      <w:pPr>
        <w:pStyle w:val="Bodytext50"/>
        <w:shd w:val="clear" w:color="auto" w:fill="auto"/>
        <w:tabs>
          <w:tab w:val="right" w:pos="9360"/>
        </w:tabs>
        <w:spacing w:before="120" w:line="240" w:lineRule="auto"/>
        <w:ind w:firstLine="4140"/>
        <w:rPr>
          <w:sz w:val="22"/>
        </w:rPr>
      </w:pPr>
      <w:r w:rsidRPr="009F6073">
        <w:rPr>
          <w:rStyle w:val="Bodytext51"/>
          <w:b/>
          <w:bCs/>
          <w:sz w:val="22"/>
        </w:rPr>
        <w:lastRenderedPageBreak/>
        <w:t>SCHEDULE</w:t>
      </w:r>
      <w:r w:rsidR="007A5770">
        <w:rPr>
          <w:rStyle w:val="Bodytext51"/>
          <w:b/>
          <w:bCs/>
          <w:sz w:val="22"/>
        </w:rPr>
        <w:tab/>
      </w:r>
      <w:r w:rsidR="007A5770" w:rsidRPr="00880E38">
        <w:rPr>
          <w:rStyle w:val="Bodytext51"/>
          <w:bCs/>
          <w:sz w:val="20"/>
        </w:rPr>
        <w:t>Section 3</w:t>
      </w:r>
    </w:p>
    <w:p w14:paraId="187B808F" w14:textId="77777777" w:rsidR="00882317" w:rsidRPr="009F6073" w:rsidRDefault="00BA52CC" w:rsidP="00963A69">
      <w:pPr>
        <w:pStyle w:val="BodyText1"/>
        <w:shd w:val="clear" w:color="auto" w:fill="auto"/>
        <w:spacing w:before="120" w:line="240" w:lineRule="auto"/>
        <w:jc w:val="center"/>
        <w:rPr>
          <w:sz w:val="22"/>
        </w:rPr>
      </w:pPr>
      <w:r w:rsidRPr="009F6073">
        <w:rPr>
          <w:sz w:val="22"/>
        </w:rPr>
        <w:t>AMENDMENTS OF THE RADIOCOMMUNICATIONS TAXES COLLECTION ACT 1983</w:t>
      </w:r>
    </w:p>
    <w:p w14:paraId="54FF9D3A" w14:textId="77777777" w:rsidR="00882317" w:rsidRPr="009F6073" w:rsidRDefault="007A5770" w:rsidP="007A5770">
      <w:pPr>
        <w:pStyle w:val="Bodytext50"/>
        <w:shd w:val="clear" w:color="auto" w:fill="auto"/>
        <w:tabs>
          <w:tab w:val="left" w:pos="315"/>
        </w:tabs>
        <w:spacing w:before="120" w:after="60" w:line="240" w:lineRule="auto"/>
        <w:jc w:val="both"/>
        <w:rPr>
          <w:sz w:val="22"/>
        </w:rPr>
      </w:pPr>
      <w:r>
        <w:rPr>
          <w:rStyle w:val="Bodytext51"/>
          <w:b/>
          <w:bCs/>
          <w:sz w:val="22"/>
        </w:rPr>
        <w:t>1.</w:t>
      </w:r>
      <w:r>
        <w:rPr>
          <w:rStyle w:val="Bodytext51"/>
          <w:b/>
          <w:bCs/>
          <w:sz w:val="22"/>
        </w:rPr>
        <w:tab/>
      </w:r>
      <w:r w:rsidR="00BA52CC" w:rsidRPr="009F6073">
        <w:rPr>
          <w:rStyle w:val="Bodytext51"/>
          <w:b/>
          <w:bCs/>
          <w:sz w:val="22"/>
        </w:rPr>
        <w:t>Section 6:</w:t>
      </w:r>
    </w:p>
    <w:p w14:paraId="6D3FAB82" w14:textId="2CCC599D" w:rsidR="00882317" w:rsidRPr="009F6073" w:rsidRDefault="00BA52CC" w:rsidP="00F9098D">
      <w:pPr>
        <w:pStyle w:val="BodyText1"/>
        <w:shd w:val="clear" w:color="auto" w:fill="auto"/>
        <w:spacing w:before="120" w:line="240" w:lineRule="auto"/>
        <w:ind w:firstLine="270"/>
        <w:jc w:val="both"/>
        <w:rPr>
          <w:sz w:val="22"/>
        </w:rPr>
      </w:pPr>
      <w:r w:rsidRPr="009F6073">
        <w:rPr>
          <w:sz w:val="22"/>
        </w:rPr>
        <w:t>After “issue” insert</w:t>
      </w:r>
      <w:r w:rsidR="00880E38">
        <w:rPr>
          <w:sz w:val="22"/>
        </w:rPr>
        <w:t xml:space="preserve"> </w:t>
      </w:r>
      <w:r w:rsidR="00AB3CA9" w:rsidRPr="009F6073">
        <w:rPr>
          <w:sz w:val="22"/>
        </w:rPr>
        <w:t>“</w:t>
      </w:r>
      <w:r w:rsidR="00AB3CA9">
        <w:rPr>
          <w:sz w:val="22"/>
        </w:rPr>
        <w:t>,</w:t>
      </w:r>
      <w:r w:rsidRPr="009F6073">
        <w:rPr>
          <w:sz w:val="22"/>
        </w:rPr>
        <w:t xml:space="preserve"> the anniversary of the issue or the holding”.</w:t>
      </w:r>
    </w:p>
    <w:p w14:paraId="3EA39A94" w14:textId="77777777" w:rsidR="00882317" w:rsidRPr="009F6073" w:rsidRDefault="007A5770" w:rsidP="00DA21D9">
      <w:pPr>
        <w:tabs>
          <w:tab w:val="left" w:pos="315"/>
        </w:tabs>
        <w:spacing w:before="120" w:after="60"/>
        <w:jc w:val="both"/>
        <w:rPr>
          <w:rFonts w:ascii="Times New Roman" w:hAnsi="Times New Roman"/>
          <w:sz w:val="22"/>
        </w:rPr>
      </w:pPr>
      <w:r w:rsidRPr="00DA21D9">
        <w:rPr>
          <w:rStyle w:val="Bodytext51"/>
          <w:rFonts w:eastAsia="Courier New"/>
          <w:bCs w:val="0"/>
          <w:sz w:val="22"/>
        </w:rPr>
        <w:t>2</w:t>
      </w:r>
      <w:r>
        <w:rPr>
          <w:rStyle w:val="Bodytext51"/>
          <w:rFonts w:eastAsia="Courier New"/>
          <w:b w:val="0"/>
          <w:bCs w:val="0"/>
          <w:sz w:val="22"/>
        </w:rPr>
        <w:t>.</w:t>
      </w:r>
      <w:r>
        <w:rPr>
          <w:rStyle w:val="Bodytext51"/>
          <w:rFonts w:eastAsia="Courier New"/>
          <w:b w:val="0"/>
          <w:bCs w:val="0"/>
          <w:sz w:val="22"/>
        </w:rPr>
        <w:tab/>
      </w:r>
      <w:r w:rsidR="00BA52CC" w:rsidRPr="009F6073">
        <w:rPr>
          <w:rStyle w:val="Bodytext51"/>
          <w:rFonts w:eastAsia="Courier New"/>
          <w:sz w:val="22"/>
        </w:rPr>
        <w:t>Section 7:</w:t>
      </w:r>
    </w:p>
    <w:p w14:paraId="256DFF73" w14:textId="77777777" w:rsidR="00882317" w:rsidRPr="009F6073" w:rsidRDefault="00BA52CC" w:rsidP="00F9098D">
      <w:pPr>
        <w:pStyle w:val="BodyText1"/>
        <w:shd w:val="clear" w:color="auto" w:fill="auto"/>
        <w:spacing w:before="120" w:line="240" w:lineRule="auto"/>
        <w:ind w:firstLine="270"/>
        <w:jc w:val="both"/>
        <w:rPr>
          <w:sz w:val="22"/>
        </w:rPr>
      </w:pPr>
      <w:r w:rsidRPr="009F6073">
        <w:rPr>
          <w:sz w:val="22"/>
        </w:rPr>
        <w:t>Repeal the section, substitute:</w:t>
      </w:r>
    </w:p>
    <w:p w14:paraId="07EDB6E6" w14:textId="77777777" w:rsidR="00882317" w:rsidRPr="009F6073" w:rsidRDefault="00BA52CC" w:rsidP="00DA21D9">
      <w:pPr>
        <w:tabs>
          <w:tab w:val="left" w:pos="315"/>
        </w:tabs>
        <w:spacing w:before="120" w:after="60"/>
        <w:jc w:val="both"/>
        <w:rPr>
          <w:rFonts w:ascii="Times New Roman" w:hAnsi="Times New Roman"/>
          <w:sz w:val="22"/>
        </w:rPr>
      </w:pPr>
      <w:r w:rsidRPr="009F6073">
        <w:rPr>
          <w:rStyle w:val="Bodytext51"/>
          <w:rFonts w:eastAsia="Courier New"/>
          <w:sz w:val="22"/>
        </w:rPr>
        <w:t>Time of payment</w:t>
      </w:r>
    </w:p>
    <w:p w14:paraId="458E3A0B" w14:textId="77777777" w:rsidR="00882317" w:rsidRPr="009F6073" w:rsidRDefault="00BA52CC" w:rsidP="00DA21D9">
      <w:pPr>
        <w:pStyle w:val="BodyText1"/>
        <w:shd w:val="clear" w:color="auto" w:fill="auto"/>
        <w:spacing w:line="240" w:lineRule="auto"/>
        <w:ind w:firstLine="270"/>
        <w:jc w:val="both"/>
        <w:rPr>
          <w:sz w:val="22"/>
        </w:rPr>
      </w:pPr>
      <w:r w:rsidRPr="009F6073">
        <w:rPr>
          <w:sz w:val="22"/>
        </w:rPr>
        <w:t>“7</w:t>
      </w:r>
      <w:r w:rsidR="00963A69">
        <w:rPr>
          <w:sz w:val="22"/>
        </w:rPr>
        <w:t>.</w:t>
      </w:r>
      <w:r w:rsidRPr="009F6073">
        <w:rPr>
          <w:sz w:val="22"/>
        </w:rPr>
        <w:t>(1) The tax imposed on the issue of an instrument is payable on the issue of the instrument.</w:t>
      </w:r>
    </w:p>
    <w:p w14:paraId="7C55A371" w14:textId="77777777" w:rsidR="00882317" w:rsidRPr="009F6073" w:rsidRDefault="00DA21D9" w:rsidP="0055365D">
      <w:pPr>
        <w:pStyle w:val="BodyText1"/>
        <w:shd w:val="clear" w:color="auto" w:fill="auto"/>
        <w:spacing w:before="120" w:line="240" w:lineRule="auto"/>
        <w:ind w:firstLine="360"/>
        <w:jc w:val="both"/>
        <w:rPr>
          <w:sz w:val="22"/>
        </w:rPr>
      </w:pPr>
      <w:r>
        <w:rPr>
          <w:sz w:val="22"/>
        </w:rPr>
        <w:t>“</w:t>
      </w:r>
      <w:r w:rsidR="00BA52CC" w:rsidRPr="009F6073">
        <w:rPr>
          <w:sz w:val="22"/>
        </w:rPr>
        <w:t>(2) The tax imposed on the anniversary of the issue of an instrument is payable on that day.</w:t>
      </w:r>
    </w:p>
    <w:p w14:paraId="7C6C1205" w14:textId="77777777" w:rsidR="00882317" w:rsidRPr="009F6073" w:rsidRDefault="00BA52CC" w:rsidP="0055365D">
      <w:pPr>
        <w:pStyle w:val="BodyText1"/>
        <w:shd w:val="clear" w:color="auto" w:fill="auto"/>
        <w:spacing w:before="120" w:line="240" w:lineRule="auto"/>
        <w:ind w:firstLine="360"/>
        <w:jc w:val="both"/>
        <w:rPr>
          <w:sz w:val="22"/>
        </w:rPr>
      </w:pPr>
      <w:r w:rsidRPr="009F6073">
        <w:rPr>
          <w:sz w:val="22"/>
        </w:rPr>
        <w:t>“(3) The tax imposed on the holding of an instrument on the anniversary of the issue of the instrument is payable on that day.</w:t>
      </w:r>
    </w:p>
    <w:p w14:paraId="58FC4047" w14:textId="77777777" w:rsidR="00882317" w:rsidRPr="009F6073" w:rsidRDefault="00BA52CC" w:rsidP="0055365D">
      <w:pPr>
        <w:pStyle w:val="BodyText1"/>
        <w:shd w:val="clear" w:color="auto" w:fill="auto"/>
        <w:spacing w:before="120" w:line="240" w:lineRule="auto"/>
        <w:ind w:firstLine="360"/>
        <w:jc w:val="both"/>
        <w:rPr>
          <w:sz w:val="22"/>
        </w:rPr>
      </w:pPr>
      <w:r w:rsidRPr="009F6073">
        <w:rPr>
          <w:sz w:val="22"/>
        </w:rPr>
        <w:t>“(4) The tax imposed on the holding of an instrument 60 days after the anniversary of the issue of the instrument is payable on the day after the end of that period.</w:t>
      </w:r>
    </w:p>
    <w:p w14:paraId="603AC460" w14:textId="77777777" w:rsidR="00882317" w:rsidRPr="009F6073" w:rsidRDefault="00BA52CC" w:rsidP="00DA21D9">
      <w:pPr>
        <w:tabs>
          <w:tab w:val="left" w:pos="315"/>
        </w:tabs>
        <w:spacing w:before="120" w:after="60"/>
        <w:jc w:val="both"/>
        <w:rPr>
          <w:rFonts w:ascii="Times New Roman" w:hAnsi="Times New Roman"/>
          <w:sz w:val="22"/>
        </w:rPr>
      </w:pPr>
      <w:r w:rsidRPr="009F6073">
        <w:rPr>
          <w:rStyle w:val="Bodytext51"/>
          <w:rFonts w:eastAsia="Courier New"/>
          <w:sz w:val="22"/>
        </w:rPr>
        <w:t>Unpaid tax penalty determinations</w:t>
      </w:r>
    </w:p>
    <w:p w14:paraId="498C75E2" w14:textId="77777777" w:rsidR="00882317" w:rsidRPr="009F6073" w:rsidRDefault="00BA52CC" w:rsidP="00F9098D">
      <w:pPr>
        <w:pStyle w:val="BodyText1"/>
        <w:shd w:val="clear" w:color="auto" w:fill="auto"/>
        <w:spacing w:before="120" w:line="240" w:lineRule="auto"/>
        <w:ind w:firstLine="270"/>
        <w:jc w:val="both"/>
        <w:rPr>
          <w:sz w:val="22"/>
        </w:rPr>
      </w:pPr>
      <w:r w:rsidRPr="009F6073">
        <w:rPr>
          <w:sz w:val="22"/>
        </w:rPr>
        <w:t>“7A.(1) The SMA may make determinations in writing for, and in relation to, the penalty payable by the holder of an instrument to the Commonwealth in relation to tax that remains unpaid after the due day.</w:t>
      </w:r>
    </w:p>
    <w:p w14:paraId="2C93453B" w14:textId="77777777" w:rsidR="00882317" w:rsidRDefault="00BA52CC" w:rsidP="0055365D">
      <w:pPr>
        <w:pStyle w:val="BodyText1"/>
        <w:shd w:val="clear" w:color="auto" w:fill="auto"/>
        <w:spacing w:before="120" w:line="240" w:lineRule="auto"/>
        <w:ind w:firstLine="270"/>
        <w:jc w:val="both"/>
        <w:rPr>
          <w:rStyle w:val="BodytextItalic"/>
          <w:sz w:val="22"/>
        </w:rPr>
      </w:pPr>
      <w:r w:rsidRPr="009F6073">
        <w:rPr>
          <w:sz w:val="22"/>
        </w:rPr>
        <w:t>“(2)</w:t>
      </w:r>
      <w:r w:rsidR="00963A69">
        <w:rPr>
          <w:sz w:val="22"/>
        </w:rPr>
        <w:t xml:space="preserve"> </w:t>
      </w:r>
      <w:r w:rsidRPr="009F6073">
        <w:rPr>
          <w:sz w:val="22"/>
        </w:rPr>
        <w:t xml:space="preserve">A determination under subsection (1) is a disallowable instrument for the purposes of section 46A of the </w:t>
      </w:r>
      <w:r w:rsidRPr="009F6073">
        <w:rPr>
          <w:rStyle w:val="BodytextItalic"/>
          <w:sz w:val="22"/>
        </w:rPr>
        <w:t>Acts Interpretation Act 1901</w:t>
      </w:r>
      <w:r w:rsidR="00EA5945">
        <w:rPr>
          <w:rStyle w:val="BodytextItalic"/>
          <w:sz w:val="22"/>
        </w:rPr>
        <w:t>.</w:t>
      </w:r>
      <w:r w:rsidR="00EA5945" w:rsidRPr="009F6073">
        <w:rPr>
          <w:sz w:val="22"/>
        </w:rPr>
        <w:t>”</w:t>
      </w:r>
      <w:r w:rsidRPr="009F6073">
        <w:rPr>
          <w:rStyle w:val="BodytextItalic"/>
          <w:sz w:val="22"/>
        </w:rPr>
        <w:t>.</w:t>
      </w:r>
    </w:p>
    <w:p w14:paraId="28D3B204" w14:textId="77777777" w:rsidR="00DA21D9" w:rsidRPr="009F6073" w:rsidRDefault="00DA21D9" w:rsidP="00DA21D9">
      <w:pPr>
        <w:pStyle w:val="BodyText1"/>
        <w:pBdr>
          <w:bottom w:val="single" w:sz="12" w:space="1" w:color="auto"/>
        </w:pBdr>
        <w:shd w:val="clear" w:color="auto" w:fill="auto"/>
        <w:spacing w:before="60" w:line="240" w:lineRule="auto"/>
        <w:ind w:firstLine="270"/>
        <w:jc w:val="both"/>
        <w:rPr>
          <w:sz w:val="22"/>
        </w:rPr>
      </w:pPr>
    </w:p>
    <w:p w14:paraId="5C61052A" w14:textId="77777777" w:rsidR="00882317" w:rsidRPr="009F6073" w:rsidRDefault="00BA52CC" w:rsidP="00DA21D9">
      <w:pPr>
        <w:pStyle w:val="Bodytext50"/>
        <w:shd w:val="clear" w:color="auto" w:fill="auto"/>
        <w:spacing w:before="120" w:line="240" w:lineRule="auto"/>
        <w:jc w:val="center"/>
        <w:rPr>
          <w:sz w:val="22"/>
        </w:rPr>
      </w:pPr>
      <w:r w:rsidRPr="009F6073">
        <w:rPr>
          <w:rStyle w:val="Bodytext51"/>
          <w:b/>
          <w:bCs/>
          <w:sz w:val="22"/>
        </w:rPr>
        <w:t>NOTE</w:t>
      </w:r>
    </w:p>
    <w:p w14:paraId="11100190" w14:textId="77777777" w:rsidR="00882317" w:rsidRPr="00880E38" w:rsidRDefault="00BA52CC" w:rsidP="00DA21D9">
      <w:pPr>
        <w:pStyle w:val="Bodytext70"/>
        <w:shd w:val="clear" w:color="auto" w:fill="auto"/>
        <w:spacing w:before="120" w:line="240" w:lineRule="auto"/>
        <w:rPr>
          <w:b w:val="0"/>
          <w:sz w:val="20"/>
        </w:rPr>
      </w:pPr>
      <w:r w:rsidRPr="00880E38">
        <w:rPr>
          <w:b w:val="0"/>
          <w:sz w:val="20"/>
        </w:rPr>
        <w:t>1. No. 133,</w:t>
      </w:r>
      <w:r w:rsidR="00B11C66" w:rsidRPr="00880E38">
        <w:rPr>
          <w:b w:val="0"/>
          <w:sz w:val="20"/>
        </w:rPr>
        <w:t xml:space="preserve"> </w:t>
      </w:r>
      <w:r w:rsidRPr="00880E38">
        <w:rPr>
          <w:b w:val="0"/>
          <w:sz w:val="20"/>
        </w:rPr>
        <w:t>1983, as amended. For previous amendments, see No. 145,</w:t>
      </w:r>
      <w:r w:rsidR="00B11C66" w:rsidRPr="00880E38">
        <w:rPr>
          <w:b w:val="0"/>
          <w:sz w:val="20"/>
        </w:rPr>
        <w:t xml:space="preserve"> </w:t>
      </w:r>
      <w:r w:rsidRPr="00880E38">
        <w:rPr>
          <w:b w:val="0"/>
          <w:sz w:val="20"/>
        </w:rPr>
        <w:t>1992.</w:t>
      </w:r>
    </w:p>
    <w:p w14:paraId="2E18BAF8" w14:textId="77777777" w:rsidR="00DB045E" w:rsidRPr="00880E38" w:rsidRDefault="00BA52CC" w:rsidP="00DB045E">
      <w:pPr>
        <w:pStyle w:val="Bodytext80"/>
        <w:shd w:val="clear" w:color="auto" w:fill="auto"/>
        <w:spacing w:before="120" w:line="240" w:lineRule="auto"/>
        <w:ind w:left="900" w:hanging="900"/>
        <w:rPr>
          <w:rStyle w:val="Bodytext8SegoeUI"/>
          <w:rFonts w:ascii="Times New Roman" w:hAnsi="Times New Roman"/>
          <w:b/>
          <w:bCs/>
          <w:sz w:val="20"/>
        </w:rPr>
      </w:pPr>
      <w:r w:rsidRPr="00880E38">
        <w:rPr>
          <w:b w:val="0"/>
          <w:i w:val="0"/>
          <w:sz w:val="20"/>
        </w:rPr>
        <w:t>[</w:t>
      </w:r>
      <w:r w:rsidRPr="00880E38">
        <w:rPr>
          <w:b w:val="0"/>
          <w:sz w:val="20"/>
        </w:rPr>
        <w:t>Minister’s second reading speech made in</w:t>
      </w:r>
      <w:r w:rsidRPr="00880E38">
        <w:rPr>
          <w:rStyle w:val="Bodytext8SegoeUI"/>
          <w:rFonts w:ascii="Times New Roman" w:hAnsi="Times New Roman"/>
          <w:b/>
          <w:bCs/>
          <w:sz w:val="20"/>
        </w:rPr>
        <w:t>—</w:t>
      </w:r>
    </w:p>
    <w:p w14:paraId="05C984C7" w14:textId="77777777" w:rsidR="00DB045E" w:rsidRPr="00880E38" w:rsidRDefault="00BA52CC" w:rsidP="00DB045E">
      <w:pPr>
        <w:pStyle w:val="Bodytext80"/>
        <w:shd w:val="clear" w:color="auto" w:fill="auto"/>
        <w:spacing w:line="240" w:lineRule="auto"/>
        <w:ind w:left="900"/>
        <w:rPr>
          <w:b w:val="0"/>
          <w:sz w:val="20"/>
        </w:rPr>
      </w:pPr>
      <w:r w:rsidRPr="00880E38">
        <w:rPr>
          <w:b w:val="0"/>
          <w:sz w:val="20"/>
        </w:rPr>
        <w:t>House of</w:t>
      </w:r>
      <w:r w:rsidR="00963A69" w:rsidRPr="00880E38">
        <w:rPr>
          <w:b w:val="0"/>
          <w:sz w:val="20"/>
        </w:rPr>
        <w:t xml:space="preserve"> Representatives on 8 March 1995</w:t>
      </w:r>
    </w:p>
    <w:p w14:paraId="1EF7811D" w14:textId="60F0A203" w:rsidR="00882317" w:rsidRPr="00880E38" w:rsidRDefault="00BA52CC" w:rsidP="00DB045E">
      <w:pPr>
        <w:pStyle w:val="Bodytext80"/>
        <w:shd w:val="clear" w:color="auto" w:fill="auto"/>
        <w:spacing w:line="240" w:lineRule="auto"/>
        <w:ind w:left="900"/>
        <w:rPr>
          <w:b w:val="0"/>
          <w:sz w:val="20"/>
        </w:rPr>
      </w:pPr>
      <w:r w:rsidRPr="00880E38">
        <w:rPr>
          <w:b w:val="0"/>
          <w:sz w:val="20"/>
        </w:rPr>
        <w:t>Senate on 28 March 1995</w:t>
      </w:r>
      <w:r w:rsidRPr="00880E38">
        <w:rPr>
          <w:rStyle w:val="Bodytext8SegoeUI"/>
          <w:rFonts w:ascii="Times New Roman" w:hAnsi="Times New Roman"/>
          <w:bCs/>
          <w:sz w:val="20"/>
        </w:rPr>
        <w:t>]</w:t>
      </w:r>
      <w:bookmarkStart w:id="1" w:name="_GoBack"/>
      <w:bookmarkEnd w:id="1"/>
    </w:p>
    <w:sectPr w:rsidR="00882317" w:rsidRPr="00880E38" w:rsidSect="0055365D">
      <w:headerReference w:type="default" r:id="rId11"/>
      <w:pgSz w:w="12240" w:h="15840" w:code="1"/>
      <w:pgMar w:top="1440" w:right="1440" w:bottom="1440" w:left="1440" w:header="45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CD3B18" w15:done="0"/>
  <w15:commentEx w15:paraId="31CA573D" w15:done="0"/>
  <w15:commentEx w15:paraId="7845B425" w15:done="0"/>
  <w15:commentEx w15:paraId="5DC443B6" w15:done="0"/>
  <w15:commentEx w15:paraId="41150D39" w15:done="0"/>
  <w15:commentEx w15:paraId="72F02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D3B18" w16cid:durableId="21331B5A"/>
  <w16cid:commentId w16cid:paraId="31CA573D" w16cid:durableId="21331B77"/>
  <w16cid:commentId w16cid:paraId="7845B425" w16cid:durableId="21331B85"/>
  <w16cid:commentId w16cid:paraId="5DC443B6" w16cid:durableId="21331B92"/>
  <w16cid:commentId w16cid:paraId="41150D39" w16cid:durableId="21331BA8"/>
  <w16cid:commentId w16cid:paraId="72F02B2D" w16cid:durableId="21331B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EA94D" w14:textId="77777777" w:rsidR="004D4F0B" w:rsidRDefault="004D4F0B">
      <w:r>
        <w:separator/>
      </w:r>
    </w:p>
  </w:endnote>
  <w:endnote w:type="continuationSeparator" w:id="0">
    <w:p w14:paraId="493297FE" w14:textId="77777777" w:rsidR="004D4F0B" w:rsidRDefault="004D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38A7A" w14:textId="77777777" w:rsidR="004D4F0B" w:rsidRDefault="004D4F0B">
      <w:r>
        <w:separator/>
      </w:r>
    </w:p>
  </w:footnote>
  <w:footnote w:type="continuationSeparator" w:id="0">
    <w:p w14:paraId="04C38739" w14:textId="77777777" w:rsidR="004D4F0B" w:rsidRDefault="004D4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2E1D" w14:textId="77777777" w:rsidR="0055365D" w:rsidRPr="0055365D" w:rsidRDefault="0055365D" w:rsidP="0055365D">
    <w:pPr>
      <w:widowControl/>
      <w:autoSpaceDE w:val="0"/>
      <w:autoSpaceDN w:val="0"/>
      <w:adjustRightInd w:val="0"/>
      <w:jc w:val="center"/>
      <w:rPr>
        <w:rFonts w:ascii="Times New Roman" w:hAnsi="Times New Roman" w:cs="Times New Roman"/>
        <w:i/>
        <w:iCs/>
        <w:color w:val="auto"/>
        <w:sz w:val="22"/>
        <w:szCs w:val="22"/>
      </w:rPr>
    </w:pPr>
    <w:r w:rsidRPr="0055365D">
      <w:rPr>
        <w:rFonts w:ascii="Times New Roman" w:hAnsi="Times New Roman" w:cs="Times New Roman"/>
        <w:i/>
        <w:iCs/>
        <w:color w:val="auto"/>
        <w:sz w:val="22"/>
        <w:szCs w:val="22"/>
      </w:rPr>
      <w:t>Radiocommunications Taxes Collection</w:t>
    </w:r>
  </w:p>
  <w:p w14:paraId="03BEC6CF" w14:textId="77777777" w:rsidR="0055365D" w:rsidRPr="0055365D" w:rsidRDefault="0055365D" w:rsidP="0055365D">
    <w:pPr>
      <w:pStyle w:val="Header"/>
      <w:jc w:val="center"/>
      <w:rPr>
        <w:rFonts w:ascii="Times New Roman" w:hAnsi="Times New Roman" w:cs="Times New Roman"/>
        <w:sz w:val="22"/>
        <w:szCs w:val="22"/>
      </w:rPr>
    </w:pPr>
    <w:r w:rsidRPr="0055365D">
      <w:rPr>
        <w:rFonts w:ascii="Times New Roman" w:hAnsi="Times New Roman" w:cs="Times New Roman"/>
        <w:i/>
        <w:iCs/>
        <w:color w:val="auto"/>
        <w:sz w:val="22"/>
        <w:szCs w:val="22"/>
      </w:rPr>
      <w:t>Amendment No. 109,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913A" w14:textId="77777777" w:rsidR="0055365D" w:rsidRPr="0055365D" w:rsidRDefault="0055365D" w:rsidP="0055365D">
    <w:pPr>
      <w:widowControl/>
      <w:autoSpaceDE w:val="0"/>
      <w:autoSpaceDN w:val="0"/>
      <w:adjustRightInd w:val="0"/>
      <w:jc w:val="center"/>
      <w:rPr>
        <w:rFonts w:ascii="Times New Roman" w:hAnsi="Times New Roman" w:cs="Times New Roman"/>
        <w:i/>
        <w:iCs/>
        <w:color w:val="auto"/>
        <w:sz w:val="22"/>
        <w:szCs w:val="22"/>
      </w:rPr>
    </w:pPr>
    <w:r w:rsidRPr="0055365D">
      <w:rPr>
        <w:rFonts w:ascii="Times New Roman" w:hAnsi="Times New Roman" w:cs="Times New Roman"/>
        <w:i/>
        <w:iCs/>
        <w:color w:val="auto"/>
        <w:sz w:val="22"/>
        <w:szCs w:val="22"/>
      </w:rPr>
      <w:t>Radiocommunications Taxes Collection</w:t>
    </w:r>
  </w:p>
  <w:p w14:paraId="50066AA3" w14:textId="2587B6B8" w:rsidR="0055365D" w:rsidRPr="0055365D" w:rsidRDefault="0055365D" w:rsidP="0055365D">
    <w:pPr>
      <w:pStyle w:val="Header"/>
      <w:jc w:val="center"/>
      <w:rPr>
        <w:rFonts w:ascii="Times New Roman" w:hAnsi="Times New Roman" w:cs="Times New Roman"/>
        <w:sz w:val="22"/>
        <w:szCs w:val="22"/>
      </w:rPr>
    </w:pPr>
    <w:r w:rsidRPr="0055365D">
      <w:rPr>
        <w:rFonts w:ascii="Times New Roman" w:hAnsi="Times New Roman" w:cs="Times New Roman"/>
        <w:i/>
        <w:iCs/>
        <w:color w:val="auto"/>
        <w:sz w:val="22"/>
        <w:szCs w:val="22"/>
      </w:rPr>
      <w:t xml:space="preserve">Amendment </w:t>
    </w:r>
    <w:r w:rsidR="00880E38">
      <w:rPr>
        <w:rFonts w:ascii="Times New Roman" w:hAnsi="Times New Roman" w:cs="Times New Roman"/>
        <w:i/>
        <w:iCs/>
        <w:color w:val="auto"/>
        <w:sz w:val="22"/>
        <w:szCs w:val="22"/>
      </w:rPr>
      <w:t xml:space="preserve">     </w:t>
    </w:r>
    <w:r w:rsidRPr="0055365D">
      <w:rPr>
        <w:rFonts w:ascii="Times New Roman" w:hAnsi="Times New Roman" w:cs="Times New Roman"/>
        <w:i/>
        <w:iCs/>
        <w:color w:val="auto"/>
        <w:sz w:val="22"/>
        <w:szCs w:val="22"/>
      </w:rPr>
      <w:t>No. 109,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35BB"/>
    <w:multiLevelType w:val="multilevel"/>
    <w:tmpl w:val="289AF0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235E7D"/>
    <w:multiLevelType w:val="multilevel"/>
    <w:tmpl w:val="7C4E53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82317"/>
    <w:rsid w:val="003170E5"/>
    <w:rsid w:val="004D4F0B"/>
    <w:rsid w:val="005353B4"/>
    <w:rsid w:val="0055365D"/>
    <w:rsid w:val="00717483"/>
    <w:rsid w:val="007A5770"/>
    <w:rsid w:val="00856992"/>
    <w:rsid w:val="00880E38"/>
    <w:rsid w:val="00882317"/>
    <w:rsid w:val="00963A69"/>
    <w:rsid w:val="009C115B"/>
    <w:rsid w:val="009F6073"/>
    <w:rsid w:val="00AB3CA9"/>
    <w:rsid w:val="00AC5616"/>
    <w:rsid w:val="00B11C66"/>
    <w:rsid w:val="00BA52CC"/>
    <w:rsid w:val="00CB1C20"/>
    <w:rsid w:val="00CF26D6"/>
    <w:rsid w:val="00DA21D9"/>
    <w:rsid w:val="00DB045E"/>
    <w:rsid w:val="00E32EFE"/>
    <w:rsid w:val="00EA5945"/>
    <w:rsid w:val="00F01DEB"/>
    <w:rsid w:val="00F24ED6"/>
    <w:rsid w:val="00F9098D"/>
    <w:rsid w:val="00FD5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E0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8"/>
      <w:szCs w:val="28"/>
      <w:u w:val="none"/>
    </w:rPr>
  </w:style>
  <w:style w:type="character" w:customStyle="1" w:styleId="Bodytext3NotItalic">
    <w:name w:val="Body text (3) + Not Italic"/>
    <w:basedOn w:val="Bodytext3"/>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3"/>
      <w:szCs w:val="23"/>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9"/>
      <w:szCs w:val="19"/>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19"/>
      <w:szCs w:val="19"/>
      <w:u w:val="none"/>
    </w:rPr>
  </w:style>
  <w:style w:type="character" w:customStyle="1" w:styleId="Bodytext8SegoeUI">
    <w:name w:val="Body text (8) + Segoe UI"/>
    <w:aliases w:val="9 pt,Not Italic"/>
    <w:basedOn w:val="Bodytext8"/>
    <w:rPr>
      <w:rFonts w:ascii="Segoe UI" w:eastAsia="Segoe UI" w:hAnsi="Segoe UI" w:cs="Segoe UI"/>
      <w:b/>
      <w:bCs/>
      <w:i/>
      <w:iCs/>
      <w:smallCaps w:val="0"/>
      <w:strike w:val="0"/>
      <w:color w:val="000000"/>
      <w:spacing w:val="0"/>
      <w:w w:val="100"/>
      <w:position w:val="0"/>
      <w:sz w:val="18"/>
      <w:szCs w:val="18"/>
      <w:u w:val="none"/>
    </w:rPr>
  </w:style>
  <w:style w:type="paragraph" w:customStyle="1" w:styleId="Heading10">
    <w:name w:val="Heading #1"/>
    <w:basedOn w:val="Normal"/>
    <w:link w:val="Heading1"/>
    <w:pPr>
      <w:shd w:val="clear" w:color="auto" w:fill="FFFFFF"/>
      <w:spacing w:line="446" w:lineRule="exact"/>
      <w:jc w:val="center"/>
      <w:outlineLvl w:val="0"/>
    </w:pPr>
    <w:rPr>
      <w:rFonts w:ascii="Times New Roman" w:eastAsia="Times New Roman" w:hAnsi="Times New Roman" w:cs="Times New Roman"/>
      <w:b/>
      <w:bCs/>
      <w:spacing w:val="-10"/>
      <w:sz w:val="40"/>
      <w:szCs w:val="40"/>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b/>
      <w:bCs/>
      <w:i/>
      <w:iCs/>
      <w:sz w:val="28"/>
      <w:szCs w:val="28"/>
    </w:rPr>
  </w:style>
  <w:style w:type="paragraph" w:customStyle="1" w:styleId="Bodytext40">
    <w:name w:val="Body text (4)"/>
    <w:basedOn w:val="Normal"/>
    <w:link w:val="Bodytext4"/>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line="0" w:lineRule="atLeast"/>
    </w:pPr>
    <w:rPr>
      <w:rFonts w:ascii="Times New Roman" w:eastAsia="Times New Roman" w:hAnsi="Times New Roman" w:cs="Times New Roman"/>
      <w:sz w:val="23"/>
      <w:szCs w:val="23"/>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23"/>
      <w:szCs w:val="23"/>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Bodytext80">
    <w:name w:val="Body text (8)"/>
    <w:basedOn w:val="Normal"/>
    <w:link w:val="Bodytext8"/>
    <w:pPr>
      <w:shd w:val="clear" w:color="auto" w:fill="FFFFFF"/>
      <w:spacing w:line="0" w:lineRule="atLeast"/>
      <w:jc w:val="both"/>
    </w:pPr>
    <w:rPr>
      <w:rFonts w:ascii="Times New Roman" w:eastAsia="Times New Roman" w:hAnsi="Times New Roman" w:cs="Times New Roman"/>
      <w:b/>
      <w:bCs/>
      <w:i/>
      <w:iCs/>
      <w:sz w:val="19"/>
      <w:szCs w:val="19"/>
    </w:rPr>
  </w:style>
  <w:style w:type="paragraph" w:styleId="Header">
    <w:name w:val="header"/>
    <w:basedOn w:val="Normal"/>
    <w:link w:val="HeaderChar"/>
    <w:uiPriority w:val="99"/>
    <w:unhideWhenUsed/>
    <w:rsid w:val="0055365D"/>
    <w:pPr>
      <w:tabs>
        <w:tab w:val="center" w:pos="4680"/>
        <w:tab w:val="right" w:pos="9360"/>
      </w:tabs>
    </w:pPr>
  </w:style>
  <w:style w:type="character" w:customStyle="1" w:styleId="HeaderChar">
    <w:name w:val="Header Char"/>
    <w:basedOn w:val="DefaultParagraphFont"/>
    <w:link w:val="Header"/>
    <w:uiPriority w:val="99"/>
    <w:rsid w:val="0055365D"/>
    <w:rPr>
      <w:color w:val="000000"/>
    </w:rPr>
  </w:style>
  <w:style w:type="paragraph" w:styleId="Footer">
    <w:name w:val="footer"/>
    <w:basedOn w:val="Normal"/>
    <w:link w:val="FooterChar"/>
    <w:uiPriority w:val="99"/>
    <w:unhideWhenUsed/>
    <w:rsid w:val="0055365D"/>
    <w:pPr>
      <w:tabs>
        <w:tab w:val="center" w:pos="4680"/>
        <w:tab w:val="right" w:pos="9360"/>
      </w:tabs>
    </w:pPr>
  </w:style>
  <w:style w:type="character" w:customStyle="1" w:styleId="FooterChar">
    <w:name w:val="Footer Char"/>
    <w:basedOn w:val="DefaultParagraphFont"/>
    <w:link w:val="Footer"/>
    <w:uiPriority w:val="99"/>
    <w:rsid w:val="0055365D"/>
    <w:rPr>
      <w:color w:val="000000"/>
    </w:rPr>
  </w:style>
  <w:style w:type="character" w:styleId="CommentReference">
    <w:name w:val="annotation reference"/>
    <w:basedOn w:val="DefaultParagraphFont"/>
    <w:uiPriority w:val="99"/>
    <w:semiHidden/>
    <w:unhideWhenUsed/>
    <w:rsid w:val="003170E5"/>
    <w:rPr>
      <w:sz w:val="16"/>
      <w:szCs w:val="16"/>
    </w:rPr>
  </w:style>
  <w:style w:type="paragraph" w:styleId="CommentText">
    <w:name w:val="annotation text"/>
    <w:basedOn w:val="Normal"/>
    <w:link w:val="CommentTextChar"/>
    <w:uiPriority w:val="99"/>
    <w:semiHidden/>
    <w:unhideWhenUsed/>
    <w:rsid w:val="003170E5"/>
    <w:rPr>
      <w:sz w:val="20"/>
      <w:szCs w:val="20"/>
    </w:rPr>
  </w:style>
  <w:style w:type="character" w:customStyle="1" w:styleId="CommentTextChar">
    <w:name w:val="Comment Text Char"/>
    <w:basedOn w:val="DefaultParagraphFont"/>
    <w:link w:val="CommentText"/>
    <w:uiPriority w:val="99"/>
    <w:semiHidden/>
    <w:rsid w:val="003170E5"/>
    <w:rPr>
      <w:color w:val="000000"/>
      <w:sz w:val="20"/>
      <w:szCs w:val="20"/>
    </w:rPr>
  </w:style>
  <w:style w:type="paragraph" w:styleId="CommentSubject">
    <w:name w:val="annotation subject"/>
    <w:basedOn w:val="CommentText"/>
    <w:next w:val="CommentText"/>
    <w:link w:val="CommentSubjectChar"/>
    <w:uiPriority w:val="99"/>
    <w:semiHidden/>
    <w:unhideWhenUsed/>
    <w:rsid w:val="003170E5"/>
    <w:rPr>
      <w:b/>
      <w:bCs/>
    </w:rPr>
  </w:style>
  <w:style w:type="character" w:customStyle="1" w:styleId="CommentSubjectChar">
    <w:name w:val="Comment Subject Char"/>
    <w:basedOn w:val="CommentTextChar"/>
    <w:link w:val="CommentSubject"/>
    <w:uiPriority w:val="99"/>
    <w:semiHidden/>
    <w:rsid w:val="003170E5"/>
    <w:rPr>
      <w:b/>
      <w:bCs/>
      <w:color w:val="000000"/>
      <w:sz w:val="20"/>
      <w:szCs w:val="20"/>
    </w:rPr>
  </w:style>
  <w:style w:type="paragraph" w:styleId="BalloonText">
    <w:name w:val="Balloon Text"/>
    <w:basedOn w:val="Normal"/>
    <w:link w:val="BalloonTextChar"/>
    <w:uiPriority w:val="99"/>
    <w:semiHidden/>
    <w:unhideWhenUsed/>
    <w:rsid w:val="00317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E5"/>
    <w:rPr>
      <w:rFonts w:ascii="Segoe UI" w:hAnsi="Segoe UI" w:cs="Segoe UI"/>
      <w:color w:val="000000"/>
      <w:sz w:val="18"/>
      <w:szCs w:val="18"/>
    </w:rPr>
  </w:style>
  <w:style w:type="paragraph" w:styleId="Revision">
    <w:name w:val="Revision"/>
    <w:hidden/>
    <w:uiPriority w:val="99"/>
    <w:semiHidden/>
    <w:rsid w:val="00880E3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1A86-8D6A-432F-8AB6-59E433EF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2019-09-23T00:24:00Z</dcterms:created>
  <dcterms:modified xsi:type="dcterms:W3CDTF">2019-11-15T01:00:00Z</dcterms:modified>
</cp:coreProperties>
</file>