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D45A0" w14:textId="440B47D9" w:rsidR="00151BAA" w:rsidRPr="00A304CF" w:rsidRDefault="00F5596F" w:rsidP="00A304CF">
      <w:pPr>
        <w:jc w:val="center"/>
        <w:rPr>
          <w:rFonts w:ascii="Times New Roman" w:hAnsi="Times New Roman" w:cs="Times New Roman"/>
          <w:sz w:val="22"/>
          <w:szCs w:val="2"/>
        </w:rPr>
      </w:pPr>
      <w:r>
        <w:rPr>
          <w:rFonts w:ascii="Times New Roman" w:hAnsi="Times New Roman" w:cs="Times New Roman"/>
          <w:sz w:val="22"/>
        </w:rPr>
        <w:pict w14:anchorId="24E5C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56.1pt;height:106.55pt">
            <v:imagedata r:id="rId9" o:title=""/>
          </v:shape>
        </w:pict>
      </w:r>
    </w:p>
    <w:p w14:paraId="34E4FD04" w14:textId="77777777" w:rsidR="00151BAA" w:rsidRPr="00A304CF" w:rsidRDefault="00E1142B" w:rsidP="00A304CF">
      <w:pPr>
        <w:pStyle w:val="Bodytext30"/>
        <w:shd w:val="clear" w:color="auto" w:fill="auto"/>
        <w:spacing w:before="960" w:line="240" w:lineRule="auto"/>
        <w:rPr>
          <w:sz w:val="36"/>
          <w:szCs w:val="36"/>
        </w:rPr>
      </w:pPr>
      <w:bookmarkStart w:id="0" w:name="bookmark0"/>
      <w:r w:rsidRPr="00A304CF">
        <w:rPr>
          <w:sz w:val="36"/>
          <w:szCs w:val="36"/>
        </w:rPr>
        <w:t>M</w:t>
      </w:r>
      <w:r w:rsidR="004C3AEC" w:rsidRPr="00A304CF">
        <w:rPr>
          <w:sz w:val="36"/>
          <w:szCs w:val="36"/>
        </w:rPr>
        <w:t>igration Legislation Amendment Act (No. 1) 1995</w:t>
      </w:r>
      <w:bookmarkEnd w:id="0"/>
    </w:p>
    <w:p w14:paraId="4FCB5FE3" w14:textId="71021FEF" w:rsidR="00151BAA" w:rsidRPr="00F5596F" w:rsidRDefault="004C3AEC" w:rsidP="00A304CF">
      <w:pPr>
        <w:pStyle w:val="Bodytext20"/>
        <w:shd w:val="clear" w:color="auto" w:fill="auto"/>
        <w:spacing w:before="960" w:line="240" w:lineRule="auto"/>
        <w:rPr>
          <w:sz w:val="24"/>
          <w:szCs w:val="28"/>
        </w:rPr>
      </w:pPr>
      <w:r w:rsidRPr="00F5596F">
        <w:rPr>
          <w:sz w:val="24"/>
          <w:szCs w:val="28"/>
        </w:rPr>
        <w:t>No. 110 of 1995</w:t>
      </w:r>
    </w:p>
    <w:p w14:paraId="482A74B6" w14:textId="77777777" w:rsidR="0043782B" w:rsidRPr="00A304CF" w:rsidRDefault="0043782B" w:rsidP="00A304CF">
      <w:pPr>
        <w:pStyle w:val="Bodytext20"/>
        <w:pBdr>
          <w:top w:val="thickThinLargeGap" w:sz="24" w:space="1" w:color="auto"/>
        </w:pBdr>
        <w:shd w:val="clear" w:color="auto" w:fill="auto"/>
        <w:spacing w:before="960" w:line="240" w:lineRule="auto"/>
        <w:rPr>
          <w:sz w:val="28"/>
          <w:szCs w:val="28"/>
        </w:rPr>
      </w:pPr>
    </w:p>
    <w:p w14:paraId="1FCC3D84" w14:textId="77777777" w:rsidR="00151BAA" w:rsidRPr="00A304CF" w:rsidRDefault="004C3AEC" w:rsidP="00A304CF">
      <w:pPr>
        <w:pStyle w:val="Bodytext30"/>
        <w:shd w:val="clear" w:color="auto" w:fill="auto"/>
        <w:spacing w:before="960" w:line="240" w:lineRule="auto"/>
        <w:rPr>
          <w:sz w:val="26"/>
          <w:szCs w:val="28"/>
        </w:rPr>
      </w:pPr>
      <w:r w:rsidRPr="00A304CF">
        <w:rPr>
          <w:sz w:val="26"/>
          <w:szCs w:val="28"/>
        </w:rPr>
        <w:t>An Act to amend the law relating to migration, and for</w:t>
      </w:r>
      <w:r w:rsidR="00771A42" w:rsidRPr="00A304CF">
        <w:rPr>
          <w:sz w:val="26"/>
          <w:szCs w:val="28"/>
        </w:rPr>
        <w:t xml:space="preserve"> </w:t>
      </w:r>
      <w:r w:rsidRPr="00A304CF">
        <w:rPr>
          <w:sz w:val="26"/>
          <w:szCs w:val="28"/>
        </w:rPr>
        <w:t>related purposes</w:t>
      </w:r>
    </w:p>
    <w:p w14:paraId="7960AACB" w14:textId="77777777" w:rsidR="00151BAA" w:rsidRPr="00A304CF" w:rsidRDefault="004C3AEC" w:rsidP="00A304CF">
      <w:pPr>
        <w:pStyle w:val="Bodytext40"/>
        <w:shd w:val="clear" w:color="auto" w:fill="auto"/>
        <w:spacing w:before="120" w:line="240" w:lineRule="auto"/>
      </w:pPr>
      <w:r w:rsidRPr="00A304CF">
        <w:rPr>
          <w:rStyle w:val="Bodytext41"/>
          <w:iCs/>
        </w:rPr>
        <w:t>[</w:t>
      </w:r>
      <w:r w:rsidRPr="00A304CF">
        <w:rPr>
          <w:rStyle w:val="Bodytext41"/>
          <w:i/>
          <w:iCs/>
        </w:rPr>
        <w:t>Assented to 29 September 1995</w:t>
      </w:r>
      <w:r w:rsidRPr="00A304CF">
        <w:rPr>
          <w:rStyle w:val="Bodytext41"/>
          <w:iCs/>
          <w:sz w:val="24"/>
        </w:rPr>
        <w:t>]</w:t>
      </w:r>
    </w:p>
    <w:p w14:paraId="0C8536A5" w14:textId="77777777" w:rsidR="00151BAA" w:rsidRPr="00A304CF" w:rsidRDefault="004C3AEC" w:rsidP="001F6D54">
      <w:pPr>
        <w:pStyle w:val="BodyText1"/>
        <w:shd w:val="clear" w:color="auto" w:fill="auto"/>
        <w:spacing w:before="120" w:line="240" w:lineRule="auto"/>
        <w:ind w:firstLine="270"/>
        <w:jc w:val="both"/>
      </w:pPr>
      <w:r w:rsidRPr="00A304CF">
        <w:t>The Parliament of Australia enacts:</w:t>
      </w:r>
    </w:p>
    <w:p w14:paraId="6D8E0605" w14:textId="77777777" w:rsidR="00151BAA" w:rsidRPr="00A304CF" w:rsidRDefault="004C3AEC" w:rsidP="00A304CF">
      <w:pPr>
        <w:pStyle w:val="Bodytext20"/>
        <w:shd w:val="clear" w:color="auto" w:fill="auto"/>
        <w:spacing w:before="120" w:line="240" w:lineRule="auto"/>
        <w:rPr>
          <w:sz w:val="22"/>
        </w:rPr>
      </w:pPr>
      <w:r w:rsidRPr="00A304CF">
        <w:rPr>
          <w:sz w:val="22"/>
        </w:rPr>
        <w:t>PART 1—PRELIMINARY</w:t>
      </w:r>
    </w:p>
    <w:p w14:paraId="7C89E2DA" w14:textId="77777777" w:rsidR="00151BAA" w:rsidRPr="00A304CF" w:rsidRDefault="004C3AEC" w:rsidP="00A304CF">
      <w:pPr>
        <w:pStyle w:val="Bodytext20"/>
        <w:shd w:val="clear" w:color="auto" w:fill="auto"/>
        <w:spacing w:before="120" w:after="60" w:line="240" w:lineRule="auto"/>
        <w:jc w:val="both"/>
        <w:rPr>
          <w:sz w:val="22"/>
        </w:rPr>
      </w:pPr>
      <w:r w:rsidRPr="00A304CF">
        <w:rPr>
          <w:sz w:val="22"/>
        </w:rPr>
        <w:t>Short title</w:t>
      </w:r>
    </w:p>
    <w:p w14:paraId="50D0BAE8" w14:textId="77777777" w:rsidR="003E0877" w:rsidRPr="00A304CF" w:rsidRDefault="003E0877" w:rsidP="00A304CF">
      <w:pPr>
        <w:pStyle w:val="Bodytext40"/>
        <w:shd w:val="clear" w:color="auto" w:fill="auto"/>
        <w:tabs>
          <w:tab w:val="left" w:pos="619"/>
        </w:tabs>
        <w:spacing w:before="120" w:line="240" w:lineRule="auto"/>
        <w:ind w:firstLine="270"/>
        <w:jc w:val="both"/>
        <w:rPr>
          <w:rStyle w:val="Bodytext41"/>
          <w:i/>
          <w:iCs/>
        </w:rPr>
      </w:pPr>
      <w:r w:rsidRPr="00A304CF">
        <w:rPr>
          <w:rStyle w:val="Bodytext4NotItalic"/>
          <w:b/>
        </w:rPr>
        <w:t>1.</w:t>
      </w:r>
      <w:r w:rsidRPr="00A304CF">
        <w:rPr>
          <w:rStyle w:val="Bodytext4NotItalic"/>
        </w:rPr>
        <w:tab/>
      </w:r>
      <w:r w:rsidR="004C3AEC" w:rsidRPr="00A304CF">
        <w:rPr>
          <w:rStyle w:val="Bodytext4NotItalic"/>
        </w:rPr>
        <w:t xml:space="preserve">This Act may be cited as the </w:t>
      </w:r>
      <w:r w:rsidR="004C3AEC" w:rsidRPr="00A304CF">
        <w:rPr>
          <w:rStyle w:val="Bodytext41"/>
          <w:i/>
          <w:iCs/>
        </w:rPr>
        <w:t>Migration Legislation Amendment Act (No. 1)1995.</w:t>
      </w:r>
    </w:p>
    <w:p w14:paraId="729F3DE8" w14:textId="77777777" w:rsidR="003E0877" w:rsidRPr="00A304CF" w:rsidRDefault="003E0877" w:rsidP="00A304CF">
      <w:pPr>
        <w:rPr>
          <w:rStyle w:val="Bodytext41"/>
          <w:rFonts w:eastAsia="Courier New"/>
        </w:rPr>
      </w:pPr>
      <w:r w:rsidRPr="00A304CF">
        <w:rPr>
          <w:rStyle w:val="Bodytext41"/>
          <w:rFonts w:eastAsia="Courier New"/>
          <w:i w:val="0"/>
          <w:iCs w:val="0"/>
        </w:rPr>
        <w:br w:type="page"/>
      </w:r>
    </w:p>
    <w:p w14:paraId="6216CF23" w14:textId="77777777" w:rsidR="00151BAA" w:rsidRPr="00A304CF" w:rsidRDefault="004C3AEC" w:rsidP="00A304CF">
      <w:pPr>
        <w:pStyle w:val="Bodytext20"/>
        <w:shd w:val="clear" w:color="auto" w:fill="auto"/>
        <w:spacing w:before="120" w:after="60" w:line="240" w:lineRule="auto"/>
        <w:jc w:val="both"/>
        <w:rPr>
          <w:b w:val="0"/>
          <w:sz w:val="22"/>
        </w:rPr>
      </w:pPr>
      <w:r w:rsidRPr="00A304CF">
        <w:rPr>
          <w:rStyle w:val="BodytextBold"/>
          <w:b/>
        </w:rPr>
        <w:lastRenderedPageBreak/>
        <w:t>Commencement</w:t>
      </w:r>
    </w:p>
    <w:p w14:paraId="2015543F" w14:textId="0B82A71E" w:rsidR="00151BAA" w:rsidRPr="00A304CF" w:rsidRDefault="003E0877" w:rsidP="00A304CF">
      <w:pPr>
        <w:pStyle w:val="BodyText1"/>
        <w:shd w:val="clear" w:color="auto" w:fill="auto"/>
        <w:spacing w:before="120" w:line="240" w:lineRule="auto"/>
        <w:ind w:firstLine="270"/>
        <w:jc w:val="both"/>
      </w:pPr>
      <w:r w:rsidRPr="00A304CF">
        <w:rPr>
          <w:rStyle w:val="BodytextBold"/>
        </w:rPr>
        <w:t>2.</w:t>
      </w:r>
      <w:r w:rsidR="004C3AEC" w:rsidRPr="00A304CF">
        <w:rPr>
          <w:rStyle w:val="BodytextBold"/>
        </w:rPr>
        <w:t>(1)</w:t>
      </w:r>
      <w:r w:rsidRPr="00A304CF">
        <w:t xml:space="preserve"> </w:t>
      </w:r>
      <w:r w:rsidR="004C3AEC" w:rsidRPr="00A304CF">
        <w:t>Subject to subsection (2), this Act commences on the day on which it receives the Royal Assent.</w:t>
      </w:r>
    </w:p>
    <w:p w14:paraId="6D4DC941" w14:textId="77777777" w:rsidR="00151BAA" w:rsidRPr="00A304CF" w:rsidRDefault="003E0877" w:rsidP="008510AD">
      <w:pPr>
        <w:pStyle w:val="BodyText1"/>
        <w:shd w:val="clear" w:color="auto" w:fill="auto"/>
        <w:spacing w:before="120" w:line="240" w:lineRule="auto"/>
        <w:ind w:firstLine="270"/>
        <w:jc w:val="both"/>
      </w:pPr>
      <w:r w:rsidRPr="00A304CF">
        <w:rPr>
          <w:b/>
        </w:rPr>
        <w:t>(2)</w:t>
      </w:r>
      <w:r w:rsidRPr="00A304CF">
        <w:t xml:space="preserve"> </w:t>
      </w:r>
      <w:r w:rsidR="004C3AEC" w:rsidRPr="00A304CF">
        <w:t>Schedule 2 commences on a day to be fixed by Proclamation.</w:t>
      </w:r>
    </w:p>
    <w:p w14:paraId="5C2EB0AE" w14:textId="168E6D35" w:rsidR="00151BAA" w:rsidRPr="00A304CF" w:rsidRDefault="003E0877" w:rsidP="008510AD">
      <w:pPr>
        <w:pStyle w:val="BodyText1"/>
        <w:shd w:val="clear" w:color="auto" w:fill="auto"/>
        <w:spacing w:before="120" w:line="240" w:lineRule="auto"/>
        <w:ind w:firstLine="270"/>
        <w:jc w:val="both"/>
      </w:pPr>
      <w:r w:rsidRPr="00A304CF">
        <w:rPr>
          <w:b/>
        </w:rPr>
        <w:t>(3)</w:t>
      </w:r>
      <w:r w:rsidRPr="00A304CF">
        <w:t xml:space="preserve"> </w:t>
      </w:r>
      <w:r w:rsidR="004C3AEC" w:rsidRPr="00A304CF">
        <w:t>If Schedule 2 does not commence within the period of 6 months beginning on the day on which this Act receives the Royal Assent, it commences on the first day after the end of that period.</w:t>
      </w:r>
    </w:p>
    <w:p w14:paraId="063CFCF9" w14:textId="77777777" w:rsidR="00151BAA" w:rsidRPr="00A304CF" w:rsidRDefault="004C3AEC" w:rsidP="00F5596F">
      <w:pPr>
        <w:pStyle w:val="BodyText1"/>
        <w:shd w:val="clear" w:color="auto" w:fill="auto"/>
        <w:spacing w:before="240" w:after="120" w:line="240" w:lineRule="auto"/>
        <w:ind w:firstLine="0"/>
        <w:jc w:val="center"/>
      </w:pPr>
      <w:r w:rsidRPr="00A304CF">
        <w:rPr>
          <w:rStyle w:val="BodytextBold"/>
        </w:rPr>
        <w:t>PART 2—THE SCHEDULES OF AMENDMENTS</w:t>
      </w:r>
    </w:p>
    <w:p w14:paraId="6CC1964D" w14:textId="77777777" w:rsidR="00151BAA" w:rsidRPr="00A304CF" w:rsidRDefault="004C3AEC" w:rsidP="00A304CF">
      <w:pPr>
        <w:pStyle w:val="BodyText1"/>
        <w:shd w:val="clear" w:color="auto" w:fill="auto"/>
        <w:spacing w:before="120" w:after="60" w:line="240" w:lineRule="auto"/>
        <w:ind w:firstLine="0"/>
        <w:jc w:val="both"/>
      </w:pPr>
      <w:r w:rsidRPr="00A304CF">
        <w:rPr>
          <w:rStyle w:val="BodytextBold"/>
        </w:rPr>
        <w:t xml:space="preserve">Schedule 1—Amendments of the </w:t>
      </w:r>
      <w:r w:rsidRPr="00A304CF">
        <w:rPr>
          <w:rStyle w:val="BodytextBold0"/>
        </w:rPr>
        <w:t>Migration Act 1958</w:t>
      </w:r>
    </w:p>
    <w:p w14:paraId="59AFEA81" w14:textId="77777777" w:rsidR="00151BAA" w:rsidRPr="00A304CF" w:rsidRDefault="003E0877" w:rsidP="00A304CF">
      <w:pPr>
        <w:pStyle w:val="BodyText1"/>
        <w:shd w:val="clear" w:color="auto" w:fill="auto"/>
        <w:tabs>
          <w:tab w:val="left" w:pos="630"/>
        </w:tabs>
        <w:spacing w:before="120" w:line="240" w:lineRule="auto"/>
        <w:ind w:firstLine="270"/>
        <w:jc w:val="both"/>
      </w:pPr>
      <w:r w:rsidRPr="00A304CF">
        <w:rPr>
          <w:rStyle w:val="BodytextBold"/>
        </w:rPr>
        <w:t>3.</w:t>
      </w:r>
      <w:r w:rsidRPr="00A304CF">
        <w:rPr>
          <w:rStyle w:val="BodytextBold"/>
        </w:rPr>
        <w:tab/>
      </w:r>
      <w:r w:rsidR="004C3AEC" w:rsidRPr="00A304CF">
        <w:t xml:space="preserve">Schedule 1 makes amendments of the </w:t>
      </w:r>
      <w:r w:rsidR="0059271F">
        <w:rPr>
          <w:rStyle w:val="BodytextItalic"/>
        </w:rPr>
        <w:t>Migration Act 1958.</w:t>
      </w:r>
    </w:p>
    <w:p w14:paraId="4CC42B4F" w14:textId="77777777" w:rsidR="00151BAA" w:rsidRPr="00A304CF" w:rsidRDefault="004C3AEC" w:rsidP="00A304CF">
      <w:pPr>
        <w:pStyle w:val="Bodytext40"/>
        <w:shd w:val="clear" w:color="auto" w:fill="auto"/>
        <w:spacing w:before="120" w:after="60" w:line="240" w:lineRule="auto"/>
        <w:jc w:val="both"/>
        <w:rPr>
          <w:b/>
        </w:rPr>
      </w:pPr>
      <w:r w:rsidRPr="00A304CF">
        <w:rPr>
          <w:rStyle w:val="Bodytext4NotItalic"/>
          <w:b/>
        </w:rPr>
        <w:t>Schedule 2</w:t>
      </w:r>
      <w:r w:rsidRPr="00A304CF">
        <w:rPr>
          <w:rStyle w:val="Bodytext4NotItalic"/>
        </w:rPr>
        <w:t>—</w:t>
      </w:r>
      <w:r w:rsidRPr="00A304CF">
        <w:rPr>
          <w:rStyle w:val="Bodytext4NotItalic"/>
          <w:b/>
        </w:rPr>
        <w:t xml:space="preserve">Amendments of the </w:t>
      </w:r>
      <w:r w:rsidRPr="00A304CF">
        <w:rPr>
          <w:rStyle w:val="Bodytext41"/>
          <w:b/>
          <w:i/>
          <w:iCs/>
        </w:rPr>
        <w:t>Immigration (Education) Act 1971</w:t>
      </w:r>
    </w:p>
    <w:p w14:paraId="1CBE4460" w14:textId="2088A961" w:rsidR="00151BAA" w:rsidRPr="00A304CF" w:rsidRDefault="003E0877" w:rsidP="00A304CF">
      <w:pPr>
        <w:pStyle w:val="BodyText1"/>
        <w:shd w:val="clear" w:color="auto" w:fill="auto"/>
        <w:tabs>
          <w:tab w:val="left" w:pos="630"/>
        </w:tabs>
        <w:spacing w:before="120" w:line="240" w:lineRule="auto"/>
        <w:ind w:firstLine="270"/>
        <w:jc w:val="both"/>
      </w:pPr>
      <w:r w:rsidRPr="00A304CF">
        <w:rPr>
          <w:b/>
        </w:rPr>
        <w:t>4.</w:t>
      </w:r>
      <w:r w:rsidRPr="00A304CF">
        <w:tab/>
      </w:r>
      <w:r w:rsidR="004C3AEC" w:rsidRPr="00A304CF">
        <w:t xml:space="preserve">Schedule 2 makes amendments of the </w:t>
      </w:r>
      <w:r w:rsidR="004C3AEC" w:rsidRPr="00A304CF">
        <w:rPr>
          <w:rStyle w:val="BodytextItalic"/>
        </w:rPr>
        <w:t>Immigration (Education) Act 197</w:t>
      </w:r>
      <w:r w:rsidR="00F5596F">
        <w:rPr>
          <w:rStyle w:val="BodytextItalic"/>
        </w:rPr>
        <w:t>1</w:t>
      </w:r>
      <w:r w:rsidR="004C3AEC" w:rsidRPr="00A304CF">
        <w:rPr>
          <w:vertAlign w:val="superscript"/>
        </w:rPr>
        <w:t>2</w:t>
      </w:r>
      <w:r w:rsidR="004C3AEC" w:rsidRPr="00A304CF">
        <w:t>.</w:t>
      </w:r>
    </w:p>
    <w:p w14:paraId="4A51E613" w14:textId="77777777" w:rsidR="00151BAA" w:rsidRPr="00A304CF" w:rsidRDefault="004C3AEC" w:rsidP="00F5596F">
      <w:pPr>
        <w:pStyle w:val="BodyText1"/>
        <w:shd w:val="clear" w:color="auto" w:fill="auto"/>
        <w:spacing w:before="240" w:line="240" w:lineRule="auto"/>
        <w:ind w:firstLine="0"/>
        <w:jc w:val="center"/>
      </w:pPr>
      <w:r w:rsidRPr="00A304CF">
        <w:rPr>
          <w:rStyle w:val="BodytextBold"/>
        </w:rPr>
        <w:t>PART 3—TRANSITIONAL AND APPLICATION PROVISIONS</w:t>
      </w:r>
    </w:p>
    <w:p w14:paraId="42F44084" w14:textId="77777777" w:rsidR="00151BAA" w:rsidRPr="00A304CF" w:rsidRDefault="004C3AEC" w:rsidP="00A304CF">
      <w:pPr>
        <w:pStyle w:val="BodyText1"/>
        <w:shd w:val="clear" w:color="auto" w:fill="auto"/>
        <w:spacing w:before="120" w:after="60" w:line="240" w:lineRule="auto"/>
        <w:ind w:firstLine="0"/>
        <w:jc w:val="both"/>
      </w:pPr>
      <w:r w:rsidRPr="00A304CF">
        <w:rPr>
          <w:rStyle w:val="BodytextBold"/>
        </w:rPr>
        <w:t>Application of certain amendments relating to Immigration Review T</w:t>
      </w:r>
      <w:r w:rsidR="004B4CB2">
        <w:rPr>
          <w:rStyle w:val="BodytextBold"/>
        </w:rPr>
        <w:t>r</w:t>
      </w:r>
      <w:r w:rsidRPr="00A304CF">
        <w:rPr>
          <w:rStyle w:val="BodytextBold"/>
        </w:rPr>
        <w:t>ibunal</w:t>
      </w:r>
    </w:p>
    <w:p w14:paraId="2F5BEB16" w14:textId="77777777" w:rsidR="00151BAA" w:rsidRPr="00A304CF" w:rsidRDefault="003E0877" w:rsidP="00A304CF">
      <w:pPr>
        <w:pStyle w:val="BodyText1"/>
        <w:shd w:val="clear" w:color="auto" w:fill="auto"/>
        <w:tabs>
          <w:tab w:val="left" w:pos="630"/>
        </w:tabs>
        <w:spacing w:before="120" w:line="240" w:lineRule="auto"/>
        <w:ind w:firstLine="270"/>
        <w:jc w:val="both"/>
      </w:pPr>
      <w:r w:rsidRPr="00A304CF">
        <w:rPr>
          <w:b/>
        </w:rPr>
        <w:t>5.</w:t>
      </w:r>
      <w:r w:rsidRPr="00A304CF">
        <w:tab/>
      </w:r>
      <w:r w:rsidR="004C3AEC" w:rsidRPr="00A304CF">
        <w:t>The amendments made by items 16 to 30 (inclusive) and items 32 and 33 of Schedule 1 apply to applications for review of decisions received by the Immigration Review Tribunal on or after the day on which this section commences.</w:t>
      </w:r>
    </w:p>
    <w:p w14:paraId="74566A61" w14:textId="77777777" w:rsidR="00151BAA" w:rsidRPr="00A304CF" w:rsidRDefault="004C3AEC" w:rsidP="00A304CF">
      <w:pPr>
        <w:pStyle w:val="BodyText1"/>
        <w:shd w:val="clear" w:color="auto" w:fill="auto"/>
        <w:spacing w:before="120" w:after="60" w:line="240" w:lineRule="auto"/>
        <w:ind w:firstLine="0"/>
        <w:jc w:val="both"/>
      </w:pPr>
      <w:r w:rsidRPr="00A304CF">
        <w:rPr>
          <w:rStyle w:val="BodytextBold"/>
        </w:rPr>
        <w:t>Remuneration of members of IRT affected by amendments not to be reduced below current rates</w:t>
      </w:r>
    </w:p>
    <w:p w14:paraId="323BFEB4" w14:textId="33D1758A" w:rsidR="00151BAA" w:rsidRPr="00A304CF" w:rsidRDefault="003E0877" w:rsidP="00A304CF">
      <w:pPr>
        <w:pStyle w:val="BodyText1"/>
        <w:shd w:val="clear" w:color="auto" w:fill="auto"/>
        <w:spacing w:before="120" w:line="240" w:lineRule="auto"/>
        <w:ind w:firstLine="270"/>
        <w:jc w:val="both"/>
      </w:pPr>
      <w:r w:rsidRPr="00A304CF">
        <w:rPr>
          <w:rStyle w:val="BodytextBold"/>
        </w:rPr>
        <w:t>6.</w:t>
      </w:r>
      <w:r w:rsidR="004C3AEC" w:rsidRPr="00A304CF">
        <w:rPr>
          <w:rStyle w:val="BodytextBold"/>
        </w:rPr>
        <w:t>(1)</w:t>
      </w:r>
      <w:r w:rsidRPr="00A304CF">
        <w:t xml:space="preserve"> </w:t>
      </w:r>
      <w:r w:rsidR="004C3AEC" w:rsidRPr="00A304CF">
        <w:t>In this section:</w:t>
      </w:r>
    </w:p>
    <w:p w14:paraId="42A715C8"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 xml:space="preserve">“amended Act” </w:t>
      </w:r>
      <w:r w:rsidRPr="00A304CF">
        <w:t xml:space="preserve">means the </w:t>
      </w:r>
      <w:r w:rsidRPr="00A304CF">
        <w:rPr>
          <w:rStyle w:val="BodytextItalic"/>
        </w:rPr>
        <w:t>Migration Act 1958</w:t>
      </w:r>
      <w:r w:rsidRPr="00A304CF">
        <w:t xml:space="preserve"> as in force after the commencement;</w:t>
      </w:r>
    </w:p>
    <w:p w14:paraId="1EFB840F"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“commencement”</w:t>
      </w:r>
      <w:r w:rsidRPr="00A304CF">
        <w:t xml:space="preserve"> means the commencement of this section;</w:t>
      </w:r>
    </w:p>
    <w:p w14:paraId="3205E43B" w14:textId="77777777" w:rsidR="00C9466A" w:rsidRDefault="004C3AEC" w:rsidP="00A304CF">
      <w:pPr>
        <w:pStyle w:val="BodyText1"/>
        <w:shd w:val="clear" w:color="auto" w:fill="auto"/>
        <w:spacing w:before="120" w:line="240" w:lineRule="auto"/>
        <w:ind w:firstLine="0"/>
        <w:jc w:val="both"/>
      </w:pPr>
      <w:r w:rsidRPr="00A304CF">
        <w:rPr>
          <w:rStyle w:val="BodytextBold"/>
        </w:rPr>
        <w:t xml:space="preserve">“full-time ordinary member rate” </w:t>
      </w:r>
      <w:r w:rsidRPr="00A304CF">
        <w:t>means the rate at which a full-time member of the IRT (other than the Principal Member or a Senior Member) was being paid remuneration immed</w:t>
      </w:r>
      <w:r w:rsidR="00C9466A">
        <w:t>iately before the commencement;</w:t>
      </w:r>
    </w:p>
    <w:p w14:paraId="2711686D"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“IRT”</w:t>
      </w:r>
      <w:r w:rsidRPr="00A304CF">
        <w:t xml:space="preserve"> means the Immigration Review Tribunal;</w:t>
      </w:r>
    </w:p>
    <w:p w14:paraId="61DFF1E4" w14:textId="77777777" w:rsidR="00C9466A" w:rsidRDefault="004C3AEC" w:rsidP="00A304CF">
      <w:pPr>
        <w:pStyle w:val="BodyText1"/>
        <w:shd w:val="clear" w:color="auto" w:fill="auto"/>
        <w:spacing w:before="120" w:line="240" w:lineRule="auto"/>
        <w:ind w:firstLine="0"/>
        <w:jc w:val="both"/>
      </w:pPr>
      <w:r w:rsidRPr="00A304CF">
        <w:rPr>
          <w:rStyle w:val="BodytextBold"/>
        </w:rPr>
        <w:t>“part-time rate”</w:t>
      </w:r>
      <w:r w:rsidRPr="00A304CF">
        <w:t xml:space="preserve"> means the rate at which a part-time member of the IRT was being paid remuneration immed</w:t>
      </w:r>
      <w:r w:rsidR="00C9466A">
        <w:t>iately before the commencement;</w:t>
      </w:r>
    </w:p>
    <w:p w14:paraId="674F9EED"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 xml:space="preserve">“Senior Member rate” </w:t>
      </w:r>
      <w:r w:rsidRPr="00A304CF">
        <w:t>means the rate at which a Senior Member of the IRT was being paid remuneration immediately before the commencement.</w:t>
      </w:r>
    </w:p>
    <w:p w14:paraId="7490E7E6" w14:textId="2EE0D923" w:rsidR="003E0877" w:rsidRPr="00A304CF" w:rsidRDefault="004C3AEC" w:rsidP="00C9466A">
      <w:pPr>
        <w:pStyle w:val="BodyText1"/>
        <w:shd w:val="clear" w:color="auto" w:fill="auto"/>
        <w:spacing w:before="120" w:line="240" w:lineRule="auto"/>
        <w:ind w:firstLine="270"/>
        <w:jc w:val="both"/>
      </w:pPr>
      <w:r w:rsidRPr="00A304CF">
        <w:rPr>
          <w:rStyle w:val="BodytextBold"/>
        </w:rPr>
        <w:t>(2)</w:t>
      </w:r>
      <w:r w:rsidRPr="00A304CF">
        <w:t xml:space="preserve"> The rate of remuneration prescribed, or determined by the Remuneration Tribunal, for the purposes of section 398 of the amended Act </w:t>
      </w:r>
      <w:r w:rsidRPr="00FB1A2F">
        <w:t>in</w:t>
      </w:r>
      <w:r w:rsidRPr="00A304CF">
        <w:t xml:space="preserve"> relation to a member of the</w:t>
      </w:r>
      <w:r w:rsidRPr="00F5596F">
        <w:t xml:space="preserve"> </w:t>
      </w:r>
      <w:proofErr w:type="spellStart"/>
      <w:r w:rsidRPr="00F5596F">
        <w:t>IRT</w:t>
      </w:r>
      <w:proofErr w:type="spellEnd"/>
      <w:r w:rsidRPr="00A304CF">
        <w:t xml:space="preserve"> (other than the Principal Member) appointed before the commencement must not be less than:</w:t>
      </w:r>
    </w:p>
    <w:p w14:paraId="761D61C8" w14:textId="77777777" w:rsidR="003E0877" w:rsidRPr="00A304CF" w:rsidRDefault="003E0877"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603D1FFA" w14:textId="77777777" w:rsidR="00151BAA" w:rsidRPr="00A304CF" w:rsidRDefault="00AD4DFD" w:rsidP="00A304CF">
      <w:pPr>
        <w:pStyle w:val="BodyText1"/>
        <w:shd w:val="clear" w:color="auto" w:fill="auto"/>
        <w:spacing w:line="240" w:lineRule="auto"/>
        <w:ind w:left="576" w:hanging="306"/>
        <w:jc w:val="both"/>
      </w:pPr>
      <w:r w:rsidRPr="00A304CF">
        <w:lastRenderedPageBreak/>
        <w:t xml:space="preserve">(a) </w:t>
      </w:r>
      <w:r w:rsidR="004C3AEC" w:rsidRPr="00A304CF">
        <w:t>if, immediately before the commencement, the member was a Senior Member—the Senior Member rate; or</w:t>
      </w:r>
    </w:p>
    <w:p w14:paraId="2400B06F" w14:textId="77777777" w:rsidR="00151BAA" w:rsidRPr="00A304CF" w:rsidRDefault="00AD4DFD" w:rsidP="00A304CF">
      <w:pPr>
        <w:pStyle w:val="BodyText1"/>
        <w:shd w:val="clear" w:color="auto" w:fill="auto"/>
        <w:tabs>
          <w:tab w:val="left" w:pos="712"/>
        </w:tabs>
        <w:spacing w:before="120" w:line="240" w:lineRule="auto"/>
        <w:ind w:left="567" w:hanging="297"/>
        <w:jc w:val="both"/>
      </w:pPr>
      <w:r w:rsidRPr="00A304CF">
        <w:t xml:space="preserve">(b) </w:t>
      </w:r>
      <w:r w:rsidR="004C3AEC" w:rsidRPr="00A304CF">
        <w:t>if, immediately before the commencement, the member was a full-time member (other than a Senior Member)—the full-time ordinary member rate; or</w:t>
      </w:r>
    </w:p>
    <w:p w14:paraId="497D5A68" w14:textId="77777777" w:rsidR="00151BAA" w:rsidRPr="00A304CF" w:rsidRDefault="00AD4DFD" w:rsidP="00A304CF">
      <w:pPr>
        <w:pStyle w:val="BodyText1"/>
        <w:shd w:val="clear" w:color="auto" w:fill="auto"/>
        <w:tabs>
          <w:tab w:val="left" w:pos="712"/>
        </w:tabs>
        <w:spacing w:before="120" w:line="240" w:lineRule="auto"/>
        <w:ind w:left="549" w:hanging="279"/>
        <w:jc w:val="both"/>
      </w:pPr>
      <w:r w:rsidRPr="00A304CF">
        <w:t xml:space="preserve">(c) </w:t>
      </w:r>
      <w:r w:rsidR="004C3AEC" w:rsidRPr="00A304CF">
        <w:t>if, immediately before the commencement, the member was a part-time member—the part-time rate.</w:t>
      </w:r>
    </w:p>
    <w:p w14:paraId="69021794" w14:textId="77777777" w:rsidR="00151BAA" w:rsidRPr="00A304CF" w:rsidRDefault="004C3AEC" w:rsidP="00A304CF">
      <w:pPr>
        <w:pStyle w:val="BodyText1"/>
        <w:shd w:val="clear" w:color="auto" w:fill="auto"/>
        <w:spacing w:before="120" w:after="60" w:line="240" w:lineRule="auto"/>
        <w:ind w:firstLine="0"/>
        <w:jc w:val="both"/>
      </w:pPr>
      <w:r w:rsidRPr="00A304CF">
        <w:rPr>
          <w:rStyle w:val="BodytextBold"/>
        </w:rPr>
        <w:t>Remuneration of members of RRT affected by amendments not to be reduced below current rates</w:t>
      </w:r>
    </w:p>
    <w:p w14:paraId="104F73C4" w14:textId="66E24CD2" w:rsidR="00151BAA" w:rsidRPr="00A304CF" w:rsidRDefault="00AD4DFD" w:rsidP="00A304CF">
      <w:pPr>
        <w:pStyle w:val="BodyText1"/>
        <w:shd w:val="clear" w:color="auto" w:fill="auto"/>
        <w:tabs>
          <w:tab w:val="left" w:pos="782"/>
        </w:tabs>
        <w:spacing w:before="120" w:line="240" w:lineRule="auto"/>
        <w:ind w:firstLine="270"/>
        <w:jc w:val="both"/>
      </w:pPr>
      <w:r w:rsidRPr="00A304CF">
        <w:rPr>
          <w:rStyle w:val="BodytextBold"/>
        </w:rPr>
        <w:t>7.</w:t>
      </w:r>
      <w:r w:rsidR="004C3AEC" w:rsidRPr="00A304CF">
        <w:rPr>
          <w:rStyle w:val="BodytextBold"/>
        </w:rPr>
        <w:t>(1)</w:t>
      </w:r>
      <w:r w:rsidRPr="00A304CF">
        <w:t xml:space="preserve"> </w:t>
      </w:r>
      <w:r w:rsidR="004C3AEC" w:rsidRPr="00A304CF">
        <w:t>In this section:</w:t>
      </w:r>
    </w:p>
    <w:p w14:paraId="5318E85D" w14:textId="77777777" w:rsidR="00151BAA" w:rsidRPr="00A304CF" w:rsidRDefault="004C3AEC" w:rsidP="00A304CF">
      <w:pPr>
        <w:pStyle w:val="BodyText1"/>
        <w:shd w:val="clear" w:color="auto" w:fill="auto"/>
        <w:spacing w:before="120" w:line="240" w:lineRule="auto"/>
        <w:ind w:firstLine="0"/>
        <w:jc w:val="both"/>
      </w:pPr>
      <w:r w:rsidRPr="00A304CF">
        <w:t>“</w:t>
      </w:r>
      <w:r w:rsidRPr="00A304CF">
        <w:rPr>
          <w:rStyle w:val="BodytextBold"/>
        </w:rPr>
        <w:t xml:space="preserve">amended Act” </w:t>
      </w:r>
      <w:r w:rsidRPr="00A304CF">
        <w:t xml:space="preserve">means the </w:t>
      </w:r>
      <w:r w:rsidRPr="00A304CF">
        <w:rPr>
          <w:rStyle w:val="BodytextItalic"/>
        </w:rPr>
        <w:t>Migration Act 1958</w:t>
      </w:r>
      <w:r w:rsidRPr="00A304CF">
        <w:t xml:space="preserve"> as in force after the commencement;</w:t>
      </w:r>
    </w:p>
    <w:p w14:paraId="7D972088"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“commencement”</w:t>
      </w:r>
      <w:r w:rsidRPr="00A304CF">
        <w:t xml:space="preserve"> means the commencement of this section;</w:t>
      </w:r>
    </w:p>
    <w:p w14:paraId="29C7FF10"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 xml:space="preserve">“full-time rate” </w:t>
      </w:r>
      <w:r w:rsidRPr="00A304CF">
        <w:t>means the rate at which a full-time member of the RRT (other than the Principal Member) was being paid remuneration immediately before the commencement;</w:t>
      </w:r>
    </w:p>
    <w:p w14:paraId="7890D3D0" w14:textId="77777777" w:rsidR="00AD4DFD" w:rsidRPr="00A304CF" w:rsidRDefault="004C3AEC" w:rsidP="00A304CF">
      <w:pPr>
        <w:pStyle w:val="BodyText1"/>
        <w:shd w:val="clear" w:color="auto" w:fill="auto"/>
        <w:spacing w:before="120" w:line="240" w:lineRule="auto"/>
        <w:ind w:firstLine="0"/>
        <w:jc w:val="both"/>
      </w:pPr>
      <w:r w:rsidRPr="00A304CF">
        <w:rPr>
          <w:rStyle w:val="BodytextBold"/>
        </w:rPr>
        <w:t>“part-time rate”</w:t>
      </w:r>
      <w:r w:rsidRPr="00A304CF">
        <w:t xml:space="preserve"> means the rate at which a part-time member of the RRT was being paid remuneration immediately before the commencement; </w:t>
      </w:r>
    </w:p>
    <w:p w14:paraId="671ACBF2"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“RRT”</w:t>
      </w:r>
      <w:r w:rsidRPr="00A304CF">
        <w:t xml:space="preserve"> means the Refugee Review Tribunal.</w:t>
      </w:r>
    </w:p>
    <w:p w14:paraId="0A0EE6A6" w14:textId="77777777" w:rsidR="00151BAA" w:rsidRPr="00A304CF" w:rsidRDefault="004C3AEC" w:rsidP="00A304CF">
      <w:pPr>
        <w:pStyle w:val="BodyText1"/>
        <w:shd w:val="clear" w:color="auto" w:fill="auto"/>
        <w:tabs>
          <w:tab w:val="left" w:pos="782"/>
        </w:tabs>
        <w:spacing w:before="120" w:line="240" w:lineRule="auto"/>
        <w:ind w:firstLine="270"/>
        <w:jc w:val="both"/>
      </w:pPr>
      <w:r w:rsidRPr="00A304CF">
        <w:rPr>
          <w:rStyle w:val="BodytextBold"/>
        </w:rPr>
        <w:t>(2)</w:t>
      </w:r>
      <w:r w:rsidRPr="00A304CF">
        <w:t xml:space="preserve"> The rate of remuneration prescribed, or determined by the Remuneration Tribunal, for the purposes of section 462 of the amended Act in relation to a member of the RRT (other than the Principal Member) appointed before the commencement must not be less than:</w:t>
      </w:r>
    </w:p>
    <w:p w14:paraId="78B318B6" w14:textId="77777777" w:rsidR="00151BAA" w:rsidRPr="00A304CF" w:rsidRDefault="00AD4DFD" w:rsidP="00A304CF">
      <w:pPr>
        <w:pStyle w:val="BodyText1"/>
        <w:shd w:val="clear" w:color="auto" w:fill="auto"/>
        <w:tabs>
          <w:tab w:val="left" w:pos="712"/>
        </w:tabs>
        <w:spacing w:before="120" w:line="240" w:lineRule="auto"/>
        <w:ind w:left="567" w:hanging="297"/>
        <w:jc w:val="both"/>
      </w:pPr>
      <w:r w:rsidRPr="00B35635">
        <w:t>(a)</w:t>
      </w:r>
      <w:r w:rsidRPr="00A304CF">
        <w:t xml:space="preserve"> </w:t>
      </w:r>
      <w:r w:rsidR="004C3AEC" w:rsidRPr="00A304CF">
        <w:t>if, immediately before the commencement, the member was a full-time member—the full-time rale; or</w:t>
      </w:r>
    </w:p>
    <w:p w14:paraId="09C7F6FB" w14:textId="77777777" w:rsidR="00151BAA" w:rsidRPr="00A304CF" w:rsidRDefault="00AD4DFD" w:rsidP="00A304CF">
      <w:pPr>
        <w:pStyle w:val="BodyText1"/>
        <w:shd w:val="clear" w:color="auto" w:fill="auto"/>
        <w:tabs>
          <w:tab w:val="left" w:pos="712"/>
        </w:tabs>
        <w:spacing w:before="120" w:line="240" w:lineRule="auto"/>
        <w:ind w:left="567" w:hanging="297"/>
        <w:jc w:val="both"/>
      </w:pPr>
      <w:r w:rsidRPr="00B35635">
        <w:t>(b)</w:t>
      </w:r>
      <w:r w:rsidRPr="00A304CF">
        <w:t xml:space="preserve"> </w:t>
      </w:r>
      <w:r w:rsidR="004C3AEC" w:rsidRPr="00A304CF">
        <w:t>if, immediately before the commencement, the member was a part-time member—the part-time rate.</w:t>
      </w:r>
    </w:p>
    <w:p w14:paraId="575AAE35" w14:textId="77777777" w:rsidR="00151BAA" w:rsidRPr="00A304CF" w:rsidRDefault="004C3AEC" w:rsidP="00A304CF">
      <w:pPr>
        <w:pStyle w:val="BodyText1"/>
        <w:shd w:val="clear" w:color="auto" w:fill="auto"/>
        <w:spacing w:before="120" w:after="60" w:line="240" w:lineRule="auto"/>
        <w:ind w:firstLine="0"/>
        <w:jc w:val="both"/>
      </w:pPr>
      <w:r w:rsidRPr="00A304CF">
        <w:rPr>
          <w:rStyle w:val="BodytextBold"/>
        </w:rPr>
        <w:t>Prescribed number of members of Refugee Review Tribunal</w:t>
      </w:r>
    </w:p>
    <w:p w14:paraId="4CDA1BD8" w14:textId="77777777" w:rsidR="00151BAA" w:rsidRPr="00A304CF" w:rsidRDefault="00AD4DFD" w:rsidP="00B35635">
      <w:pPr>
        <w:pStyle w:val="BodyText1"/>
        <w:shd w:val="clear" w:color="auto" w:fill="auto"/>
        <w:tabs>
          <w:tab w:val="left" w:pos="576"/>
        </w:tabs>
        <w:spacing w:before="120" w:line="240" w:lineRule="auto"/>
        <w:ind w:firstLine="270"/>
        <w:jc w:val="both"/>
      </w:pPr>
      <w:r w:rsidRPr="00A304CF">
        <w:rPr>
          <w:b/>
        </w:rPr>
        <w:t>8.</w:t>
      </w:r>
      <w:r w:rsidRPr="00A304CF">
        <w:tab/>
      </w:r>
      <w:r w:rsidR="004C3AEC" w:rsidRPr="00A304CF">
        <w:t xml:space="preserve">Regulations prescribing a number for the purposes of paragraph 458(b) of the </w:t>
      </w:r>
      <w:r w:rsidR="004C3AEC" w:rsidRPr="00A304CF">
        <w:rPr>
          <w:rStyle w:val="BodytextItalic"/>
        </w:rPr>
        <w:t>Migration Act 1958</w:t>
      </w:r>
      <w:r w:rsidR="004C3AEC" w:rsidRPr="00A304CF">
        <w:t xml:space="preserve"> as in force before the commencement of this section have effect, after that commencement, as if the number were prescribed for the purposes of subsection 458(2) of that Act as amended by this Act.</w:t>
      </w:r>
    </w:p>
    <w:p w14:paraId="666AF938" w14:textId="77777777" w:rsidR="00151BAA" w:rsidRPr="00A304CF" w:rsidRDefault="004C3AEC" w:rsidP="00A304CF">
      <w:pPr>
        <w:pStyle w:val="BodyText1"/>
        <w:shd w:val="clear" w:color="auto" w:fill="auto"/>
        <w:spacing w:before="120" w:after="60" w:line="240" w:lineRule="auto"/>
        <w:ind w:firstLine="0"/>
        <w:jc w:val="both"/>
      </w:pPr>
      <w:r w:rsidRPr="00A304CF">
        <w:rPr>
          <w:rStyle w:val="BodytextBold"/>
        </w:rPr>
        <w:t xml:space="preserve">Application of amendments of the </w:t>
      </w:r>
      <w:r w:rsidRPr="00A304CF">
        <w:rPr>
          <w:rStyle w:val="BodytextBold0"/>
        </w:rPr>
        <w:t>Immigration (Education) Act 1971</w:t>
      </w:r>
    </w:p>
    <w:p w14:paraId="30E7CBB0" w14:textId="77777777" w:rsidR="00AD4DFD" w:rsidRPr="00A304CF" w:rsidRDefault="00AD4DFD" w:rsidP="00B35635">
      <w:pPr>
        <w:pStyle w:val="BodyText1"/>
        <w:shd w:val="clear" w:color="auto" w:fill="auto"/>
        <w:tabs>
          <w:tab w:val="left" w:pos="576"/>
        </w:tabs>
        <w:spacing w:before="120" w:line="240" w:lineRule="auto"/>
        <w:ind w:firstLine="270"/>
        <w:jc w:val="both"/>
      </w:pPr>
      <w:r w:rsidRPr="00A304CF">
        <w:rPr>
          <w:b/>
        </w:rPr>
        <w:t>9.</w:t>
      </w:r>
      <w:r w:rsidRPr="00A304CF">
        <w:tab/>
      </w:r>
      <w:r w:rsidR="004C3AEC" w:rsidRPr="00A304CF">
        <w:t xml:space="preserve">The amendments of the </w:t>
      </w:r>
      <w:r w:rsidR="004C3AEC" w:rsidRPr="00A304CF">
        <w:rPr>
          <w:rStyle w:val="BodytextItalic"/>
        </w:rPr>
        <w:t>Immigration (Education) Act 1971</w:t>
      </w:r>
      <w:r w:rsidR="004C3AEC" w:rsidRPr="00A304CF">
        <w:t xml:space="preserve"> made by Schedule 2 apply to enrolments made on or after the day on which that Schedule commences.</w:t>
      </w:r>
    </w:p>
    <w:p w14:paraId="477DD975" w14:textId="77777777" w:rsidR="00071D42" w:rsidRPr="00A304CF" w:rsidRDefault="00071D42" w:rsidP="00A304CF">
      <w:pPr>
        <w:pStyle w:val="BodyText1"/>
        <w:shd w:val="clear" w:color="auto" w:fill="auto"/>
        <w:tabs>
          <w:tab w:val="left" w:pos="783"/>
        </w:tabs>
        <w:spacing w:before="120" w:line="240" w:lineRule="auto"/>
        <w:ind w:firstLine="0"/>
        <w:jc w:val="center"/>
        <w:rPr>
          <w:b/>
        </w:rPr>
      </w:pPr>
      <w:r w:rsidRPr="00A304CF">
        <w:rPr>
          <w:b/>
        </w:rPr>
        <w:t>_______________</w:t>
      </w:r>
    </w:p>
    <w:p w14:paraId="420C3206" w14:textId="77777777" w:rsidR="00AD4DFD" w:rsidRPr="00A304CF" w:rsidRDefault="00AD4DFD"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68E7E5D2" w14:textId="384894A6" w:rsidR="00AD4DFD" w:rsidRPr="00F5596F" w:rsidRDefault="004C3AEC" w:rsidP="00A304CF">
      <w:pPr>
        <w:pStyle w:val="Bodytext70"/>
        <w:shd w:val="clear" w:color="auto" w:fill="auto"/>
        <w:tabs>
          <w:tab w:val="left" w:pos="8370"/>
        </w:tabs>
        <w:spacing w:line="240" w:lineRule="auto"/>
        <w:ind w:left="4176"/>
        <w:jc w:val="both"/>
        <w:rPr>
          <w:sz w:val="20"/>
        </w:rPr>
      </w:pPr>
      <w:r w:rsidRPr="00A304CF">
        <w:rPr>
          <w:b/>
          <w:sz w:val="22"/>
        </w:rPr>
        <w:lastRenderedPageBreak/>
        <w:t>SCHEDULE 1</w:t>
      </w:r>
      <w:r w:rsidR="00AD4DFD" w:rsidRPr="00A304CF">
        <w:rPr>
          <w:sz w:val="22"/>
        </w:rPr>
        <w:tab/>
      </w:r>
      <w:r w:rsidR="00AD4DFD" w:rsidRPr="00F5596F">
        <w:rPr>
          <w:sz w:val="20"/>
        </w:rPr>
        <w:t>Section 3</w:t>
      </w:r>
    </w:p>
    <w:p w14:paraId="23689ABC" w14:textId="77777777" w:rsidR="00151BAA" w:rsidRPr="00A304CF" w:rsidRDefault="004C3AEC" w:rsidP="00A304CF">
      <w:pPr>
        <w:pStyle w:val="BodyText1"/>
        <w:shd w:val="clear" w:color="auto" w:fill="auto"/>
        <w:spacing w:before="120" w:line="240" w:lineRule="auto"/>
        <w:ind w:firstLine="0"/>
        <w:jc w:val="center"/>
      </w:pPr>
      <w:r w:rsidRPr="00A304CF">
        <w:t>AMENDMENTS OF THE MIGRATION ACT 1958</w:t>
      </w:r>
    </w:p>
    <w:p w14:paraId="7F04D1EB" w14:textId="77777777" w:rsidR="00151BAA" w:rsidRPr="00A304CF" w:rsidRDefault="00053DA9" w:rsidP="00053DA9">
      <w:pPr>
        <w:pStyle w:val="Bodytext20"/>
        <w:shd w:val="clear" w:color="auto" w:fill="auto"/>
        <w:spacing w:before="120" w:line="240" w:lineRule="auto"/>
        <w:jc w:val="both"/>
        <w:rPr>
          <w:sz w:val="22"/>
        </w:rPr>
      </w:pPr>
      <w:r>
        <w:rPr>
          <w:sz w:val="22"/>
        </w:rPr>
        <w:t xml:space="preserve">1. </w:t>
      </w:r>
      <w:r w:rsidR="004C3AEC" w:rsidRPr="00A304CF">
        <w:rPr>
          <w:sz w:val="22"/>
        </w:rPr>
        <w:t>Subsection 134(1):</w:t>
      </w:r>
    </w:p>
    <w:p w14:paraId="76F62A57" w14:textId="77777777" w:rsidR="00151BAA" w:rsidRPr="00A304CF" w:rsidRDefault="004C3AEC" w:rsidP="0088653A">
      <w:pPr>
        <w:pStyle w:val="BodyText1"/>
        <w:shd w:val="clear" w:color="auto" w:fill="auto"/>
        <w:spacing w:before="120" w:line="240" w:lineRule="auto"/>
        <w:ind w:firstLine="270"/>
        <w:jc w:val="both"/>
      </w:pPr>
      <w:r w:rsidRPr="00A304CF">
        <w:t>After “business visa” insert “(other than an established business in Australia visa, an investment-linked visa or a family member’s visa)”.</w:t>
      </w:r>
    </w:p>
    <w:p w14:paraId="5CC3431D" w14:textId="77777777" w:rsidR="00151BAA" w:rsidRPr="00A304CF" w:rsidRDefault="00053DA9" w:rsidP="00053DA9">
      <w:pPr>
        <w:pStyle w:val="Bodytext20"/>
        <w:shd w:val="clear" w:color="auto" w:fill="auto"/>
        <w:spacing w:before="120" w:line="240" w:lineRule="auto"/>
        <w:jc w:val="both"/>
        <w:rPr>
          <w:sz w:val="22"/>
        </w:rPr>
      </w:pPr>
      <w:r>
        <w:rPr>
          <w:sz w:val="22"/>
        </w:rPr>
        <w:t xml:space="preserve">2. </w:t>
      </w:r>
      <w:r w:rsidR="004C3AEC" w:rsidRPr="00A304CF">
        <w:rPr>
          <w:sz w:val="22"/>
        </w:rPr>
        <w:t>After subsection 134(3):</w:t>
      </w:r>
    </w:p>
    <w:p w14:paraId="49F2A4F3" w14:textId="77777777" w:rsidR="00151BAA" w:rsidRPr="00A304CF" w:rsidRDefault="004C3AEC" w:rsidP="0088653A">
      <w:pPr>
        <w:pStyle w:val="BodyText1"/>
        <w:shd w:val="clear" w:color="auto" w:fill="auto"/>
        <w:spacing w:before="120" w:line="240" w:lineRule="auto"/>
        <w:ind w:firstLine="270"/>
        <w:jc w:val="both"/>
      </w:pPr>
      <w:r w:rsidRPr="00A304CF">
        <w:t>Insert:</w:t>
      </w:r>
    </w:p>
    <w:p w14:paraId="7CAEC9F4" w14:textId="77777777" w:rsidR="00151BAA" w:rsidRPr="00A304CF" w:rsidRDefault="004C3AEC" w:rsidP="0088653A">
      <w:pPr>
        <w:pStyle w:val="BodyText1"/>
        <w:shd w:val="clear" w:color="auto" w:fill="auto"/>
        <w:spacing w:before="120" w:line="240" w:lineRule="auto"/>
        <w:ind w:firstLine="270"/>
        <w:jc w:val="both"/>
      </w:pPr>
      <w:r w:rsidRPr="00A304CF">
        <w:t>“(3A) Subject to section 135, the Minister may cancel an investment-linked visa (other than a family member’s visa), by written notice to its holder, if the Minister is satisfied that the person, or any of the persons, who held the relevant designated investment when the visa was granted has or have ceased, for any reason, to hold that investment within 3 years of that investment being made.”.</w:t>
      </w:r>
    </w:p>
    <w:p w14:paraId="58868103" w14:textId="77777777" w:rsidR="00151BAA" w:rsidRPr="00A304CF" w:rsidRDefault="00053DA9" w:rsidP="00053DA9">
      <w:pPr>
        <w:pStyle w:val="Bodytext20"/>
        <w:shd w:val="clear" w:color="auto" w:fill="auto"/>
        <w:spacing w:before="120" w:line="240" w:lineRule="auto"/>
        <w:jc w:val="both"/>
        <w:rPr>
          <w:sz w:val="22"/>
        </w:rPr>
      </w:pPr>
      <w:r>
        <w:rPr>
          <w:sz w:val="22"/>
        </w:rPr>
        <w:t xml:space="preserve">3. </w:t>
      </w:r>
      <w:r w:rsidR="004C3AEC" w:rsidRPr="00A304CF">
        <w:rPr>
          <w:sz w:val="22"/>
        </w:rPr>
        <w:t>Paragraph 134(4)(a):</w:t>
      </w:r>
    </w:p>
    <w:p w14:paraId="3B10352B" w14:textId="77777777" w:rsidR="00151BAA" w:rsidRPr="00A304CF" w:rsidRDefault="004C3AEC" w:rsidP="0088653A">
      <w:pPr>
        <w:pStyle w:val="BodyText1"/>
        <w:shd w:val="clear" w:color="auto" w:fill="auto"/>
        <w:spacing w:before="120" w:line="240" w:lineRule="auto"/>
        <w:ind w:firstLine="270"/>
        <w:jc w:val="both"/>
      </w:pPr>
      <w:r w:rsidRPr="00A304CF">
        <w:t>After “subsection (1)” insert “or (3A)”.</w:t>
      </w:r>
    </w:p>
    <w:p w14:paraId="77D48DBB" w14:textId="77777777" w:rsidR="00151BAA" w:rsidRPr="00A304CF" w:rsidRDefault="00053DA9" w:rsidP="00053DA9">
      <w:pPr>
        <w:pStyle w:val="Bodytext20"/>
        <w:shd w:val="clear" w:color="auto" w:fill="auto"/>
        <w:spacing w:before="120" w:line="240" w:lineRule="auto"/>
        <w:jc w:val="both"/>
        <w:rPr>
          <w:sz w:val="22"/>
        </w:rPr>
      </w:pPr>
      <w:r>
        <w:rPr>
          <w:sz w:val="22"/>
        </w:rPr>
        <w:t xml:space="preserve">4. </w:t>
      </w:r>
      <w:r w:rsidR="004C3AEC" w:rsidRPr="00A304CF">
        <w:rPr>
          <w:sz w:val="22"/>
        </w:rPr>
        <w:t>Subsection 134(9):</w:t>
      </w:r>
    </w:p>
    <w:p w14:paraId="304E3A57" w14:textId="77777777" w:rsidR="00151BAA" w:rsidRPr="00A304CF" w:rsidRDefault="004C3AEC" w:rsidP="0088653A">
      <w:pPr>
        <w:pStyle w:val="BodyText1"/>
        <w:shd w:val="clear" w:color="auto" w:fill="auto"/>
        <w:spacing w:before="120" w:line="240" w:lineRule="auto"/>
        <w:ind w:firstLine="270"/>
        <w:jc w:val="both"/>
      </w:pPr>
      <w:r w:rsidRPr="00A304CF">
        <w:t>After “subsection (1)” insert “, (3A)”.</w:t>
      </w:r>
    </w:p>
    <w:p w14:paraId="4420FBBD" w14:textId="77777777" w:rsidR="00151BAA" w:rsidRPr="00A304CF" w:rsidRDefault="00053DA9" w:rsidP="00053DA9">
      <w:pPr>
        <w:pStyle w:val="Bodytext20"/>
        <w:shd w:val="clear" w:color="auto" w:fill="auto"/>
        <w:spacing w:before="120" w:line="240" w:lineRule="auto"/>
        <w:jc w:val="both"/>
        <w:rPr>
          <w:sz w:val="22"/>
        </w:rPr>
      </w:pPr>
      <w:r>
        <w:rPr>
          <w:sz w:val="22"/>
        </w:rPr>
        <w:t xml:space="preserve">5. </w:t>
      </w:r>
      <w:r w:rsidR="004C3AEC" w:rsidRPr="00A304CF">
        <w:rPr>
          <w:sz w:val="22"/>
        </w:rPr>
        <w:t>Subsection 134(10) (paragraphs (a) and (b) of the definition of “business visa”):</w:t>
      </w:r>
    </w:p>
    <w:p w14:paraId="40665D39" w14:textId="77777777" w:rsidR="00151BAA" w:rsidRPr="00A304CF" w:rsidRDefault="004C3AEC" w:rsidP="0088653A">
      <w:pPr>
        <w:pStyle w:val="BodyText1"/>
        <w:shd w:val="clear" w:color="auto" w:fill="auto"/>
        <w:spacing w:before="120" w:line="240" w:lineRule="auto"/>
        <w:ind w:firstLine="270"/>
        <w:jc w:val="both"/>
      </w:pPr>
      <w:r w:rsidRPr="00A304CF">
        <w:t>Omit the paragraphs, substitute:</w:t>
      </w:r>
    </w:p>
    <w:p w14:paraId="32132C33" w14:textId="77777777" w:rsidR="00151BAA" w:rsidRPr="00A304CF" w:rsidRDefault="004C3AEC" w:rsidP="0088653A">
      <w:pPr>
        <w:pStyle w:val="BodyText1"/>
        <w:shd w:val="clear" w:color="auto" w:fill="auto"/>
        <w:spacing w:before="120" w:line="240" w:lineRule="auto"/>
        <w:ind w:firstLine="270"/>
        <w:jc w:val="both"/>
      </w:pPr>
      <w:r w:rsidRPr="00A304CF">
        <w:t>“(a) a visa included in a class of visas, being a class that:</w:t>
      </w:r>
    </w:p>
    <w:p w14:paraId="249367DC" w14:textId="77777777" w:rsidR="00151BAA" w:rsidRPr="00A304CF" w:rsidRDefault="00B24D28" w:rsidP="0088653A">
      <w:pPr>
        <w:pStyle w:val="BodyText1"/>
        <w:shd w:val="clear" w:color="auto" w:fill="auto"/>
        <w:spacing w:before="120" w:line="240" w:lineRule="auto"/>
        <w:ind w:firstLine="855"/>
        <w:jc w:val="both"/>
      </w:pPr>
      <w:r w:rsidRPr="00A304CF">
        <w:t xml:space="preserve">(i) </w:t>
      </w:r>
      <w:r w:rsidR="004C3AEC" w:rsidRPr="00A304CF">
        <w:t>has the words ‘Business Skills’ in its title; and</w:t>
      </w:r>
    </w:p>
    <w:p w14:paraId="460439C4" w14:textId="77777777" w:rsidR="00B24D28" w:rsidRPr="00A304CF" w:rsidRDefault="00B24D28" w:rsidP="0088653A">
      <w:pPr>
        <w:pStyle w:val="BodyText1"/>
        <w:shd w:val="clear" w:color="auto" w:fill="auto"/>
        <w:spacing w:before="120" w:line="240" w:lineRule="auto"/>
        <w:ind w:firstLine="801"/>
        <w:jc w:val="both"/>
      </w:pPr>
      <w:r w:rsidRPr="00A304CF">
        <w:t xml:space="preserve">(ii) </w:t>
      </w:r>
      <w:r w:rsidR="004C3AEC" w:rsidRPr="00A304CF">
        <w:t xml:space="preserve">is prescribed for the purposes of this paragraph; or </w:t>
      </w:r>
    </w:p>
    <w:p w14:paraId="2B28DBB0" w14:textId="77777777" w:rsidR="00151BAA" w:rsidRPr="00A304CF" w:rsidRDefault="004C3AEC" w:rsidP="0088653A">
      <w:pPr>
        <w:pStyle w:val="BodyText1"/>
        <w:shd w:val="clear" w:color="auto" w:fill="auto"/>
        <w:spacing w:before="120" w:line="240" w:lineRule="auto"/>
        <w:ind w:firstLine="369"/>
        <w:jc w:val="both"/>
      </w:pPr>
      <w:r w:rsidRPr="00A304CF">
        <w:t>(b) a visa:</w:t>
      </w:r>
    </w:p>
    <w:p w14:paraId="5980AD5A" w14:textId="77777777" w:rsidR="00151BAA" w:rsidRPr="00A304CF" w:rsidRDefault="00B24D28" w:rsidP="00BB6E97">
      <w:pPr>
        <w:pStyle w:val="BodyText1"/>
        <w:shd w:val="clear" w:color="auto" w:fill="auto"/>
        <w:spacing w:before="120" w:line="240" w:lineRule="auto"/>
        <w:ind w:left="1170" w:hanging="360"/>
        <w:jc w:val="both"/>
      </w:pPr>
      <w:r w:rsidRPr="00A304CF">
        <w:t xml:space="preserve">(i) </w:t>
      </w:r>
      <w:r w:rsidR="004C3AEC" w:rsidRPr="00A304CF">
        <w:t>to which a prescribed provision of the Migration Reform (Transitional Provisions) Regulations applies; and</w:t>
      </w:r>
    </w:p>
    <w:p w14:paraId="38873B4D" w14:textId="77777777" w:rsidR="00151BAA" w:rsidRPr="00A304CF" w:rsidRDefault="00B24D28" w:rsidP="00BB6E97">
      <w:pPr>
        <w:pStyle w:val="BodyText1"/>
        <w:shd w:val="clear" w:color="auto" w:fill="auto"/>
        <w:spacing w:before="120" w:line="240" w:lineRule="auto"/>
        <w:ind w:firstLine="774"/>
        <w:jc w:val="both"/>
      </w:pPr>
      <w:r w:rsidRPr="00A304CF">
        <w:t xml:space="preserve">(ii) </w:t>
      </w:r>
      <w:r w:rsidR="004C3AEC" w:rsidRPr="00A304CF">
        <w:t>that is of a kind prescribed for the purposes of this paragraph; or”.</w:t>
      </w:r>
    </w:p>
    <w:p w14:paraId="36FAB823" w14:textId="77777777" w:rsidR="00151BAA" w:rsidRPr="00A304CF" w:rsidRDefault="00053DA9" w:rsidP="00053DA9">
      <w:pPr>
        <w:pStyle w:val="Bodytext20"/>
        <w:shd w:val="clear" w:color="auto" w:fill="auto"/>
        <w:spacing w:before="120" w:line="240" w:lineRule="auto"/>
        <w:jc w:val="both"/>
        <w:rPr>
          <w:sz w:val="22"/>
        </w:rPr>
      </w:pPr>
      <w:r>
        <w:rPr>
          <w:sz w:val="22"/>
        </w:rPr>
        <w:t xml:space="preserve">6. </w:t>
      </w:r>
      <w:r w:rsidR="004C3AEC" w:rsidRPr="00A304CF">
        <w:rPr>
          <w:sz w:val="22"/>
        </w:rPr>
        <w:t>Subsection 134(10) (paragraph (c) of the definition of “business visa”):</w:t>
      </w:r>
    </w:p>
    <w:p w14:paraId="4B76F546" w14:textId="77777777" w:rsidR="00151BAA" w:rsidRPr="00A304CF" w:rsidRDefault="004C3AEC" w:rsidP="0088653A">
      <w:pPr>
        <w:pStyle w:val="BodyText1"/>
        <w:shd w:val="clear" w:color="auto" w:fill="auto"/>
        <w:spacing w:before="120" w:line="240" w:lineRule="auto"/>
        <w:ind w:firstLine="270"/>
        <w:jc w:val="both"/>
      </w:pPr>
      <w:r w:rsidRPr="00A304CF">
        <w:t>Omit “or” (last occurring).</w:t>
      </w:r>
    </w:p>
    <w:p w14:paraId="2DAC611D" w14:textId="77777777" w:rsidR="00151BAA" w:rsidRPr="00A304CF" w:rsidRDefault="00053DA9" w:rsidP="00053DA9">
      <w:pPr>
        <w:pStyle w:val="Bodytext20"/>
        <w:shd w:val="clear" w:color="auto" w:fill="auto"/>
        <w:spacing w:before="120" w:line="240" w:lineRule="auto"/>
        <w:jc w:val="both"/>
        <w:rPr>
          <w:sz w:val="22"/>
        </w:rPr>
      </w:pPr>
      <w:r>
        <w:rPr>
          <w:sz w:val="22"/>
        </w:rPr>
        <w:t xml:space="preserve">7. </w:t>
      </w:r>
      <w:r w:rsidR="004C3AEC" w:rsidRPr="00A304CF">
        <w:rPr>
          <w:sz w:val="22"/>
        </w:rPr>
        <w:t>Subsection 134(10) (paragraph (d) of the definition of “business visa”):</w:t>
      </w:r>
    </w:p>
    <w:p w14:paraId="4916517A" w14:textId="77777777" w:rsidR="00151BAA" w:rsidRPr="00A304CF" w:rsidRDefault="004C3AEC" w:rsidP="0088653A">
      <w:pPr>
        <w:pStyle w:val="BodyText1"/>
        <w:shd w:val="clear" w:color="auto" w:fill="auto"/>
        <w:spacing w:before="120" w:line="240" w:lineRule="auto"/>
        <w:ind w:firstLine="270"/>
        <w:jc w:val="both"/>
      </w:pPr>
      <w:r w:rsidRPr="00A304CF">
        <w:t>Omit the paragraph.</w:t>
      </w:r>
    </w:p>
    <w:p w14:paraId="78409B25" w14:textId="77777777" w:rsidR="00151BAA" w:rsidRPr="00A304CF" w:rsidRDefault="00053DA9" w:rsidP="00053DA9">
      <w:pPr>
        <w:pStyle w:val="Bodytext20"/>
        <w:shd w:val="clear" w:color="auto" w:fill="auto"/>
        <w:spacing w:before="120" w:line="240" w:lineRule="auto"/>
        <w:jc w:val="both"/>
        <w:rPr>
          <w:sz w:val="22"/>
        </w:rPr>
      </w:pPr>
      <w:r>
        <w:rPr>
          <w:sz w:val="22"/>
        </w:rPr>
        <w:t xml:space="preserve">8. </w:t>
      </w:r>
      <w:r w:rsidR="004C3AEC" w:rsidRPr="00A304CF">
        <w:rPr>
          <w:sz w:val="22"/>
        </w:rPr>
        <w:t>Subsection 134(10) (definition of “member of the family unit”):</w:t>
      </w:r>
    </w:p>
    <w:p w14:paraId="618CD4DF" w14:textId="77777777" w:rsidR="00823EE7" w:rsidRPr="00A304CF" w:rsidRDefault="004C3AEC" w:rsidP="0088653A">
      <w:pPr>
        <w:pStyle w:val="BodyText1"/>
        <w:shd w:val="clear" w:color="auto" w:fill="auto"/>
        <w:spacing w:before="120" w:line="240" w:lineRule="auto"/>
        <w:ind w:firstLine="270"/>
        <w:jc w:val="both"/>
      </w:pPr>
      <w:r w:rsidRPr="00A304CF">
        <w:t>Omit the definition, substitute:</w:t>
      </w:r>
    </w:p>
    <w:p w14:paraId="72CF67B8" w14:textId="77777777" w:rsidR="00823EE7" w:rsidRPr="00A304CF" w:rsidRDefault="00823EE7"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19CAEF96" w14:textId="77777777" w:rsidR="00151BAA" w:rsidRPr="00A304CF" w:rsidRDefault="004C3AEC" w:rsidP="00A304CF">
      <w:pPr>
        <w:pStyle w:val="BodyText1"/>
        <w:shd w:val="clear" w:color="auto" w:fill="auto"/>
        <w:spacing w:line="240" w:lineRule="auto"/>
        <w:ind w:firstLine="0"/>
        <w:jc w:val="center"/>
      </w:pPr>
      <w:r w:rsidRPr="00A304CF">
        <w:rPr>
          <w:rStyle w:val="BodytextBold"/>
        </w:rPr>
        <w:lastRenderedPageBreak/>
        <w:t>SCHEDULE 1</w:t>
      </w:r>
      <w:r w:rsidRPr="00A304CF">
        <w:t>—continued</w:t>
      </w:r>
    </w:p>
    <w:p w14:paraId="19561D25" w14:textId="03F47AF8" w:rsidR="00151BAA" w:rsidRPr="00A304CF" w:rsidRDefault="004C3AEC" w:rsidP="00A304CF">
      <w:pPr>
        <w:pStyle w:val="BodyText1"/>
        <w:shd w:val="clear" w:color="auto" w:fill="auto"/>
        <w:spacing w:before="120" w:line="240" w:lineRule="auto"/>
        <w:ind w:firstLine="0"/>
        <w:jc w:val="both"/>
      </w:pPr>
      <w:r w:rsidRPr="00F5596F">
        <w:rPr>
          <w:rStyle w:val="BodytextBold"/>
          <w:b w:val="0"/>
        </w:rPr>
        <w:t xml:space="preserve">“ </w:t>
      </w:r>
      <w:r w:rsidRPr="00A304CF">
        <w:rPr>
          <w:rStyle w:val="BodytextBold"/>
        </w:rPr>
        <w:t xml:space="preserve">‘member of the family unit’ </w:t>
      </w:r>
      <w:r w:rsidRPr="00A304CF">
        <w:t>has the meaning given by the regulations;”.</w:t>
      </w:r>
    </w:p>
    <w:p w14:paraId="17A8CB24" w14:textId="77777777" w:rsidR="00151BAA" w:rsidRPr="00A304CF" w:rsidRDefault="00823EE7" w:rsidP="00AB5B02">
      <w:pPr>
        <w:pStyle w:val="Bodytext20"/>
        <w:shd w:val="clear" w:color="auto" w:fill="auto"/>
        <w:spacing w:before="120" w:line="240" w:lineRule="auto"/>
        <w:jc w:val="both"/>
        <w:rPr>
          <w:b w:val="0"/>
          <w:sz w:val="22"/>
        </w:rPr>
      </w:pPr>
      <w:r w:rsidRPr="00A304CF">
        <w:rPr>
          <w:rStyle w:val="BodytextBold"/>
          <w:b/>
        </w:rPr>
        <w:t>9.</w:t>
      </w:r>
      <w:r w:rsidR="00AB5B02">
        <w:rPr>
          <w:rStyle w:val="BodytextBold"/>
        </w:rPr>
        <w:t xml:space="preserve"> </w:t>
      </w:r>
      <w:r w:rsidR="004C3AEC" w:rsidRPr="00A304CF">
        <w:rPr>
          <w:rStyle w:val="BodytextBold"/>
          <w:b/>
        </w:rPr>
        <w:t>Subsection 134(10):</w:t>
      </w:r>
    </w:p>
    <w:p w14:paraId="4185EE7B" w14:textId="77777777" w:rsidR="00151BAA" w:rsidRPr="00A304CF" w:rsidRDefault="004C3AEC" w:rsidP="00A304CF">
      <w:pPr>
        <w:pStyle w:val="BodyText1"/>
        <w:shd w:val="clear" w:color="auto" w:fill="auto"/>
        <w:spacing w:before="120" w:line="240" w:lineRule="auto"/>
        <w:ind w:firstLine="270"/>
        <w:jc w:val="both"/>
      </w:pPr>
      <w:r w:rsidRPr="00A304CF">
        <w:t>Insert:</w:t>
      </w:r>
    </w:p>
    <w:p w14:paraId="4A1ACCAF" w14:textId="77777777" w:rsidR="00823EE7" w:rsidRPr="00A304CF" w:rsidRDefault="004C3AEC" w:rsidP="00A304CF">
      <w:pPr>
        <w:pStyle w:val="BodyText1"/>
        <w:shd w:val="clear" w:color="auto" w:fill="auto"/>
        <w:spacing w:before="120" w:line="240" w:lineRule="auto"/>
        <w:ind w:firstLine="0"/>
        <w:jc w:val="both"/>
      </w:pPr>
      <w:r w:rsidRPr="00F5596F">
        <w:rPr>
          <w:rStyle w:val="BodytextBold0"/>
          <w:b w:val="0"/>
          <w:i w:val="0"/>
          <w:iCs w:val="0"/>
        </w:rPr>
        <w:t>“</w:t>
      </w:r>
      <w:r w:rsidRPr="00A304CF">
        <w:rPr>
          <w:rStyle w:val="BodytextBold"/>
        </w:rPr>
        <w:t xml:space="preserve"> ‘designated investment’ </w:t>
      </w:r>
      <w:r w:rsidRPr="00A304CF">
        <w:t>has the meaning given by the regulations;</w:t>
      </w:r>
    </w:p>
    <w:p w14:paraId="012B33EA"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‘established business in Australia visa’</w:t>
      </w:r>
      <w:r w:rsidRPr="00A304CF">
        <w:t xml:space="preserve"> means a business visa a criterion for whose grant:</w:t>
      </w:r>
    </w:p>
    <w:p w14:paraId="71733F6B" w14:textId="77777777" w:rsidR="00151BAA" w:rsidRPr="00A304CF" w:rsidRDefault="00823EE7" w:rsidP="00AB5B02">
      <w:pPr>
        <w:pStyle w:val="BodyText1"/>
        <w:shd w:val="clear" w:color="auto" w:fill="auto"/>
        <w:spacing w:before="120" w:line="240" w:lineRule="auto"/>
        <w:ind w:firstLine="270"/>
        <w:jc w:val="both"/>
      </w:pPr>
      <w:r w:rsidRPr="00A304CF">
        <w:t xml:space="preserve">(a) </w:t>
      </w:r>
      <w:r w:rsidR="004C3AEC" w:rsidRPr="00A304CF">
        <w:t>relates to the applicant having an established business in Australia; or</w:t>
      </w:r>
    </w:p>
    <w:p w14:paraId="6D54DA8A" w14:textId="77777777" w:rsidR="00151BAA" w:rsidRPr="00A304CF" w:rsidRDefault="00823EE7" w:rsidP="00A304CF">
      <w:pPr>
        <w:pStyle w:val="BodyText1"/>
        <w:shd w:val="clear" w:color="auto" w:fill="auto"/>
        <w:spacing w:before="120" w:line="240" w:lineRule="auto"/>
        <w:ind w:left="548" w:hanging="274"/>
        <w:jc w:val="both"/>
      </w:pPr>
      <w:r w:rsidRPr="00A304CF">
        <w:t xml:space="preserve">(b) </w:t>
      </w:r>
      <w:r w:rsidR="004C3AEC" w:rsidRPr="00A304CF">
        <w:t>is that the applicant is a member of the family unit of the holder of a visa a criterion for whose grant is as mentioned in paragraph (a);</w:t>
      </w:r>
    </w:p>
    <w:p w14:paraId="6B50D073"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 xml:space="preserve">‘family member’s visa’ </w:t>
      </w:r>
      <w:r w:rsidRPr="00A304CF">
        <w:t>means a business visa held by a person:</w:t>
      </w:r>
    </w:p>
    <w:p w14:paraId="1659B069" w14:textId="77777777" w:rsidR="00151BAA" w:rsidRPr="00A304CF" w:rsidRDefault="00823EE7" w:rsidP="00A304CF">
      <w:pPr>
        <w:pStyle w:val="BodyText1"/>
        <w:shd w:val="clear" w:color="auto" w:fill="auto"/>
        <w:tabs>
          <w:tab w:val="left" w:pos="717"/>
        </w:tabs>
        <w:spacing w:before="120" w:line="240" w:lineRule="auto"/>
        <w:ind w:firstLine="270"/>
        <w:jc w:val="both"/>
      </w:pPr>
      <w:r w:rsidRPr="00A304CF">
        <w:t xml:space="preserve">(a) </w:t>
      </w:r>
      <w:r w:rsidR="004C3AEC" w:rsidRPr="00A304CF">
        <w:t>who is or was a member of the family unit of another person who held a business visa; and</w:t>
      </w:r>
    </w:p>
    <w:p w14:paraId="09D15D87" w14:textId="77777777" w:rsidR="00151BAA" w:rsidRPr="00A304CF" w:rsidRDefault="00823EE7" w:rsidP="00A304CF">
      <w:pPr>
        <w:pStyle w:val="BodyText1"/>
        <w:shd w:val="clear" w:color="auto" w:fill="auto"/>
        <w:spacing w:before="120" w:line="240" w:lineRule="auto"/>
        <w:ind w:left="548" w:hanging="274"/>
        <w:jc w:val="both"/>
      </w:pPr>
      <w:r w:rsidRPr="00A304CF">
        <w:t xml:space="preserve">(b) </w:t>
      </w:r>
      <w:r w:rsidR="004C3AEC" w:rsidRPr="00A304CF">
        <w:t>who would not have held the business visa if he or she had never been a member of the family unit of the other person;</w:t>
      </w:r>
    </w:p>
    <w:p w14:paraId="3FFDAC0E" w14:textId="77777777" w:rsidR="00151BAA" w:rsidRPr="00A304CF" w:rsidRDefault="00D20C5D" w:rsidP="00A304CF">
      <w:pPr>
        <w:pStyle w:val="BodyText1"/>
        <w:shd w:val="clear" w:color="auto" w:fill="auto"/>
        <w:spacing w:before="120" w:line="240" w:lineRule="auto"/>
        <w:ind w:firstLine="0"/>
        <w:jc w:val="both"/>
      </w:pPr>
      <w:r w:rsidRPr="00A304CF">
        <w:rPr>
          <w:rStyle w:val="BodytextBold"/>
        </w:rPr>
        <w:t>‘investment-l</w:t>
      </w:r>
      <w:r w:rsidR="004C3AEC" w:rsidRPr="00A304CF">
        <w:rPr>
          <w:rStyle w:val="BodytextBold"/>
        </w:rPr>
        <w:t xml:space="preserve">inked visa’ </w:t>
      </w:r>
      <w:r w:rsidR="004C3AEC" w:rsidRPr="00A304CF">
        <w:t>means a business visa a criterion for whose grant:</w:t>
      </w:r>
    </w:p>
    <w:p w14:paraId="01BE6EC7" w14:textId="77777777" w:rsidR="00151BAA" w:rsidRPr="00A304CF" w:rsidRDefault="00823EE7" w:rsidP="002D786E">
      <w:pPr>
        <w:pStyle w:val="BodyText1"/>
        <w:shd w:val="clear" w:color="auto" w:fill="auto"/>
        <w:spacing w:before="120" w:line="240" w:lineRule="auto"/>
        <w:ind w:firstLine="270"/>
        <w:jc w:val="both"/>
      </w:pPr>
      <w:r w:rsidRPr="00A304CF">
        <w:t xml:space="preserve">(a) </w:t>
      </w:r>
      <w:r w:rsidR="004C3AEC" w:rsidRPr="00A304CF">
        <w:t>relates to the holding of a designated investment; or</w:t>
      </w:r>
    </w:p>
    <w:p w14:paraId="01AC8C08" w14:textId="77777777" w:rsidR="00151BAA" w:rsidRPr="00A304CF" w:rsidRDefault="00823EE7" w:rsidP="002D786E">
      <w:pPr>
        <w:pStyle w:val="BodyText1"/>
        <w:shd w:val="clear" w:color="auto" w:fill="auto"/>
        <w:spacing w:before="120" w:line="240" w:lineRule="auto"/>
        <w:ind w:left="594" w:hanging="324"/>
        <w:jc w:val="both"/>
      </w:pPr>
      <w:r w:rsidRPr="00A304CF">
        <w:t xml:space="preserve">(b) </w:t>
      </w:r>
      <w:r w:rsidR="004C3AEC" w:rsidRPr="00A304CF">
        <w:t>is that the applicant is a member of the family unit of the holder of a visa a criterion for whose grant is as mentioned in paragraph (a);</w:t>
      </w:r>
    </w:p>
    <w:p w14:paraId="5384CA2D"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‘relevant designated investment’</w:t>
      </w:r>
      <w:r w:rsidRPr="00F5596F">
        <w:t>,</w:t>
      </w:r>
      <w:r w:rsidRPr="00A304CF">
        <w:t xml:space="preserve"> in relation to an investment-linked visa (other than a family member’s visa), means the designated investment that was, in deciding to grant the visa, regarded as satisfying the criterion referred to in paragraph (a) of the definition of ‘investment-linked visa’;”.</w:t>
      </w:r>
    </w:p>
    <w:p w14:paraId="284D04D3" w14:textId="77777777" w:rsidR="00151BAA" w:rsidRPr="00A304CF" w:rsidRDefault="00823EE7" w:rsidP="00AB5B02">
      <w:pPr>
        <w:pStyle w:val="Bodytext20"/>
        <w:shd w:val="clear" w:color="auto" w:fill="auto"/>
        <w:spacing w:before="120" w:line="240" w:lineRule="auto"/>
        <w:jc w:val="both"/>
        <w:rPr>
          <w:b w:val="0"/>
          <w:sz w:val="22"/>
        </w:rPr>
      </w:pPr>
      <w:r w:rsidRPr="00A304CF">
        <w:rPr>
          <w:rStyle w:val="BodytextBold"/>
          <w:b/>
        </w:rPr>
        <w:t>10.</w:t>
      </w:r>
      <w:r w:rsidR="00AB5B02">
        <w:rPr>
          <w:rStyle w:val="BodytextBold"/>
        </w:rPr>
        <w:t xml:space="preserve"> </w:t>
      </w:r>
      <w:r w:rsidR="004C3AEC" w:rsidRPr="00A304CF">
        <w:rPr>
          <w:rStyle w:val="BodytextBold"/>
          <w:b/>
        </w:rPr>
        <w:t>Subsection 135(1):</w:t>
      </w:r>
    </w:p>
    <w:p w14:paraId="2DBED4BE" w14:textId="77777777" w:rsidR="00151BAA" w:rsidRPr="00A304CF" w:rsidRDefault="004C3AEC" w:rsidP="00A20286">
      <w:pPr>
        <w:pStyle w:val="BodyText1"/>
        <w:shd w:val="clear" w:color="auto" w:fill="auto"/>
        <w:spacing w:before="120" w:line="240" w:lineRule="auto"/>
        <w:ind w:firstLine="270"/>
        <w:jc w:val="both"/>
      </w:pPr>
      <w:r w:rsidRPr="00A304CF">
        <w:t>After “subsection 134(1)” insert “, (3A)”.</w:t>
      </w:r>
    </w:p>
    <w:p w14:paraId="0CF43872" w14:textId="77777777" w:rsidR="00151BAA" w:rsidRPr="00A304CF" w:rsidRDefault="000E29FA" w:rsidP="00AB5B02">
      <w:pPr>
        <w:pStyle w:val="Bodytext20"/>
        <w:shd w:val="clear" w:color="auto" w:fill="auto"/>
        <w:spacing w:before="120" w:line="240" w:lineRule="auto"/>
        <w:jc w:val="both"/>
        <w:rPr>
          <w:b w:val="0"/>
          <w:sz w:val="22"/>
        </w:rPr>
      </w:pPr>
      <w:r w:rsidRPr="00A304CF">
        <w:rPr>
          <w:rStyle w:val="BodytextBold"/>
          <w:b/>
        </w:rPr>
        <w:t>11.</w:t>
      </w:r>
      <w:r w:rsidR="00AB5B02">
        <w:rPr>
          <w:rStyle w:val="BodytextBold"/>
        </w:rPr>
        <w:t xml:space="preserve"> </w:t>
      </w:r>
      <w:r w:rsidR="004C3AEC" w:rsidRPr="00A304CF">
        <w:rPr>
          <w:rStyle w:val="BodytextBold"/>
          <w:b/>
        </w:rPr>
        <w:t>Section 136:</w:t>
      </w:r>
    </w:p>
    <w:p w14:paraId="10262277" w14:textId="77777777" w:rsidR="00151BAA" w:rsidRPr="00A304CF" w:rsidRDefault="004C3AEC" w:rsidP="00A20286">
      <w:pPr>
        <w:pStyle w:val="BodyText1"/>
        <w:shd w:val="clear" w:color="auto" w:fill="auto"/>
        <w:spacing w:before="120" w:line="240" w:lineRule="auto"/>
        <w:ind w:firstLine="270"/>
        <w:jc w:val="both"/>
      </w:pPr>
      <w:r w:rsidRPr="00A304CF">
        <w:t>After “subsection 134(1)” insert “, (3A)”.</w:t>
      </w:r>
    </w:p>
    <w:p w14:paraId="2204F9C9" w14:textId="77777777" w:rsidR="00151BAA" w:rsidRPr="00A304CF" w:rsidRDefault="000E29FA" w:rsidP="00AB5B02">
      <w:pPr>
        <w:pStyle w:val="Bodytext20"/>
        <w:shd w:val="clear" w:color="auto" w:fill="auto"/>
        <w:spacing w:before="120" w:line="240" w:lineRule="auto"/>
        <w:jc w:val="both"/>
        <w:rPr>
          <w:b w:val="0"/>
          <w:sz w:val="22"/>
        </w:rPr>
      </w:pPr>
      <w:r w:rsidRPr="00A304CF">
        <w:rPr>
          <w:rStyle w:val="BodytextBold"/>
          <w:b/>
        </w:rPr>
        <w:t>12.</w:t>
      </w:r>
      <w:r w:rsidR="00AB5B02">
        <w:rPr>
          <w:rStyle w:val="BodytextBold"/>
        </w:rPr>
        <w:t xml:space="preserve"> </w:t>
      </w:r>
      <w:r w:rsidR="004C3AEC" w:rsidRPr="00A304CF">
        <w:rPr>
          <w:rStyle w:val="BodytextBold"/>
          <w:b/>
        </w:rPr>
        <w:t>Subsection 289(3):</w:t>
      </w:r>
    </w:p>
    <w:p w14:paraId="33EF6398" w14:textId="77777777" w:rsidR="00151BAA" w:rsidRPr="00A304CF" w:rsidRDefault="004C3AEC" w:rsidP="00A20286">
      <w:pPr>
        <w:pStyle w:val="BodyText1"/>
        <w:shd w:val="clear" w:color="auto" w:fill="auto"/>
        <w:spacing w:before="120" w:line="240" w:lineRule="auto"/>
        <w:ind w:firstLine="270"/>
        <w:jc w:val="both"/>
      </w:pPr>
      <w:r w:rsidRPr="00A304CF">
        <w:t>Omit “subsection 6(2)”, substitute “subparagraph 6(2)(a)(i) or 6(2)(b)(i) (whichever is relevant)”.</w:t>
      </w:r>
    </w:p>
    <w:p w14:paraId="01CC9451" w14:textId="77777777" w:rsidR="00151BAA" w:rsidRPr="00A304CF" w:rsidRDefault="000E29FA" w:rsidP="00AB5B02">
      <w:pPr>
        <w:pStyle w:val="Bodytext20"/>
        <w:shd w:val="clear" w:color="auto" w:fill="auto"/>
        <w:spacing w:before="120" w:line="240" w:lineRule="auto"/>
        <w:jc w:val="both"/>
        <w:rPr>
          <w:b w:val="0"/>
          <w:sz w:val="22"/>
        </w:rPr>
      </w:pPr>
      <w:r w:rsidRPr="00A304CF">
        <w:rPr>
          <w:rStyle w:val="BodytextBold"/>
          <w:b/>
        </w:rPr>
        <w:t>13.</w:t>
      </w:r>
      <w:r w:rsidR="00AB5B02">
        <w:rPr>
          <w:rStyle w:val="BodytextBold"/>
        </w:rPr>
        <w:t xml:space="preserve"> </w:t>
      </w:r>
      <w:r w:rsidR="004C3AEC" w:rsidRPr="00A304CF">
        <w:rPr>
          <w:rStyle w:val="BodytextBold"/>
          <w:b/>
        </w:rPr>
        <w:t>Subsection 301(2):</w:t>
      </w:r>
    </w:p>
    <w:p w14:paraId="20628F97" w14:textId="77777777" w:rsidR="00151BAA" w:rsidRPr="00A304CF" w:rsidRDefault="004C3AEC" w:rsidP="00A20286">
      <w:pPr>
        <w:pStyle w:val="BodyText1"/>
        <w:shd w:val="clear" w:color="auto" w:fill="auto"/>
        <w:spacing w:before="120" w:line="240" w:lineRule="auto"/>
        <w:ind w:firstLine="270"/>
        <w:jc w:val="both"/>
      </w:pPr>
      <w:r w:rsidRPr="00A304CF">
        <w:t>Omit “subsection 6(2)”, substitute “subparagraph 6(2)(a)(i) or 6(2)(b)(i) (whichever is relevant)”.</w:t>
      </w:r>
    </w:p>
    <w:p w14:paraId="002B5520" w14:textId="77777777" w:rsidR="00151BAA" w:rsidRPr="00A304CF" w:rsidRDefault="000E29FA" w:rsidP="00AB5B02">
      <w:pPr>
        <w:pStyle w:val="Bodytext20"/>
        <w:shd w:val="clear" w:color="auto" w:fill="auto"/>
        <w:spacing w:before="120" w:line="240" w:lineRule="auto"/>
        <w:jc w:val="both"/>
        <w:rPr>
          <w:b w:val="0"/>
          <w:sz w:val="22"/>
        </w:rPr>
      </w:pPr>
      <w:r w:rsidRPr="00A304CF">
        <w:rPr>
          <w:rStyle w:val="BodytextBold"/>
          <w:b/>
        </w:rPr>
        <w:t>14.</w:t>
      </w:r>
      <w:r w:rsidR="00AB5B02">
        <w:rPr>
          <w:rStyle w:val="BodytextBold"/>
        </w:rPr>
        <w:t xml:space="preserve"> </w:t>
      </w:r>
      <w:r w:rsidR="004C3AEC" w:rsidRPr="00A304CF">
        <w:rPr>
          <w:rStyle w:val="BodytextBold"/>
          <w:b/>
        </w:rPr>
        <w:t>Section 337 (subparagraph (b)(iii) of the definition of “Part 5 reviewable decision”):</w:t>
      </w:r>
    </w:p>
    <w:p w14:paraId="196D58C3" w14:textId="77777777" w:rsidR="000E29FA" w:rsidRPr="00A304CF" w:rsidRDefault="004C3AEC" w:rsidP="00A20286">
      <w:pPr>
        <w:pStyle w:val="BodyText1"/>
        <w:shd w:val="clear" w:color="auto" w:fill="auto"/>
        <w:spacing w:before="120" w:line="240" w:lineRule="auto"/>
        <w:ind w:firstLine="270"/>
        <w:jc w:val="both"/>
      </w:pPr>
      <w:r w:rsidRPr="00A304CF">
        <w:t>After “subsection 134(1)” insert “, (3A)”.</w:t>
      </w:r>
    </w:p>
    <w:p w14:paraId="12F2E3CC" w14:textId="77777777" w:rsidR="000E29FA" w:rsidRPr="00A304CF" w:rsidRDefault="000E29FA"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0B19B860" w14:textId="77777777" w:rsidR="00151BAA" w:rsidRPr="00A304CF" w:rsidRDefault="004C3AEC" w:rsidP="00A304CF">
      <w:pPr>
        <w:pStyle w:val="BodyText1"/>
        <w:shd w:val="clear" w:color="auto" w:fill="auto"/>
        <w:spacing w:line="240" w:lineRule="auto"/>
        <w:ind w:firstLine="0"/>
        <w:jc w:val="center"/>
      </w:pPr>
      <w:r w:rsidRPr="00A304CF">
        <w:rPr>
          <w:rStyle w:val="BodytextBold"/>
        </w:rPr>
        <w:lastRenderedPageBreak/>
        <w:t>SCHEDULE 1—</w:t>
      </w:r>
      <w:r w:rsidRPr="00A304CF">
        <w:t>continued</w:t>
      </w:r>
    </w:p>
    <w:p w14:paraId="74C2E770" w14:textId="77777777" w:rsidR="00151BAA" w:rsidRPr="00A304CF" w:rsidRDefault="00A06527" w:rsidP="00A06527">
      <w:pPr>
        <w:pStyle w:val="Bodytext20"/>
        <w:shd w:val="clear" w:color="auto" w:fill="auto"/>
        <w:spacing w:before="120" w:line="240" w:lineRule="auto"/>
        <w:jc w:val="both"/>
        <w:rPr>
          <w:sz w:val="22"/>
        </w:rPr>
      </w:pPr>
      <w:r>
        <w:rPr>
          <w:sz w:val="22"/>
        </w:rPr>
        <w:t xml:space="preserve">15. </w:t>
      </w:r>
      <w:r w:rsidR="004C3AEC" w:rsidRPr="00A304CF">
        <w:rPr>
          <w:sz w:val="22"/>
        </w:rPr>
        <w:t>After section 353:</w:t>
      </w:r>
    </w:p>
    <w:p w14:paraId="7435984B" w14:textId="77777777" w:rsidR="00151BAA" w:rsidRPr="00A304CF" w:rsidRDefault="004C3AEC" w:rsidP="00A304CF">
      <w:pPr>
        <w:pStyle w:val="BodyText1"/>
        <w:shd w:val="clear" w:color="auto" w:fill="auto"/>
        <w:spacing w:before="120" w:line="240" w:lineRule="auto"/>
        <w:ind w:firstLine="274"/>
        <w:jc w:val="both"/>
      </w:pPr>
      <w:r w:rsidRPr="00A304CF">
        <w:t>Insert:</w:t>
      </w:r>
    </w:p>
    <w:p w14:paraId="47207B25" w14:textId="77777777" w:rsidR="00151BAA" w:rsidRPr="00A304CF" w:rsidRDefault="004C3AEC" w:rsidP="00A304CF">
      <w:pPr>
        <w:pStyle w:val="Bodytext20"/>
        <w:shd w:val="clear" w:color="auto" w:fill="auto"/>
        <w:spacing w:before="120" w:line="240" w:lineRule="auto"/>
        <w:jc w:val="both"/>
        <w:rPr>
          <w:sz w:val="22"/>
        </w:rPr>
      </w:pPr>
      <w:r w:rsidRPr="00A304CF">
        <w:rPr>
          <w:sz w:val="22"/>
        </w:rPr>
        <w:t>Principal Member may give directions</w:t>
      </w:r>
    </w:p>
    <w:p w14:paraId="442104B2" w14:textId="77777777" w:rsidR="00151BAA" w:rsidRPr="00A304CF" w:rsidRDefault="004C3AEC" w:rsidP="00A304CF">
      <w:pPr>
        <w:pStyle w:val="BodyText1"/>
        <w:shd w:val="clear" w:color="auto" w:fill="auto"/>
        <w:spacing w:before="120" w:line="240" w:lineRule="auto"/>
        <w:ind w:firstLine="274"/>
        <w:jc w:val="both"/>
      </w:pPr>
      <w:r w:rsidRPr="00A304CF">
        <w:t>“353A. The Principal Member may, in writing, give directions, not inconsistent with this Act or the regulations, as to:</w:t>
      </w:r>
    </w:p>
    <w:p w14:paraId="41BDFABA" w14:textId="77777777" w:rsidR="00151BAA" w:rsidRPr="00A304CF" w:rsidRDefault="00574B4B" w:rsidP="00A304CF">
      <w:pPr>
        <w:pStyle w:val="BodyText1"/>
        <w:shd w:val="clear" w:color="auto" w:fill="auto"/>
        <w:tabs>
          <w:tab w:val="left" w:pos="716"/>
        </w:tabs>
        <w:spacing w:before="120" w:line="240" w:lineRule="auto"/>
        <w:ind w:firstLine="270"/>
        <w:jc w:val="both"/>
      </w:pPr>
      <w:r w:rsidRPr="00A304CF">
        <w:t xml:space="preserve">(a) </w:t>
      </w:r>
      <w:r w:rsidR="004C3AEC" w:rsidRPr="00A304CF">
        <w:t>the operation of the Tribunal; and</w:t>
      </w:r>
    </w:p>
    <w:p w14:paraId="30489826" w14:textId="77777777" w:rsidR="00151BAA" w:rsidRPr="00A304CF" w:rsidRDefault="00574B4B" w:rsidP="00A304CF">
      <w:pPr>
        <w:pStyle w:val="BodyText1"/>
        <w:shd w:val="clear" w:color="auto" w:fill="auto"/>
        <w:tabs>
          <w:tab w:val="left" w:pos="716"/>
        </w:tabs>
        <w:spacing w:before="120" w:line="240" w:lineRule="auto"/>
        <w:ind w:firstLine="270"/>
        <w:jc w:val="both"/>
      </w:pPr>
      <w:r w:rsidRPr="00A304CF">
        <w:t xml:space="preserve">(b) </w:t>
      </w:r>
      <w:r w:rsidR="004C3AEC" w:rsidRPr="00A304CF">
        <w:t>the conduct of reviews by the Tribunal.”.</w:t>
      </w:r>
    </w:p>
    <w:p w14:paraId="6C01B6D4" w14:textId="77777777" w:rsidR="00151BAA" w:rsidRPr="00A304CF" w:rsidRDefault="00A06527" w:rsidP="00A06527">
      <w:pPr>
        <w:pStyle w:val="Bodytext20"/>
        <w:shd w:val="clear" w:color="auto" w:fill="auto"/>
        <w:spacing w:before="120" w:line="240" w:lineRule="auto"/>
        <w:jc w:val="both"/>
        <w:rPr>
          <w:sz w:val="22"/>
        </w:rPr>
      </w:pPr>
      <w:r>
        <w:rPr>
          <w:sz w:val="22"/>
        </w:rPr>
        <w:t xml:space="preserve">16. </w:t>
      </w:r>
      <w:r w:rsidR="004C3AEC" w:rsidRPr="00A304CF">
        <w:rPr>
          <w:sz w:val="22"/>
        </w:rPr>
        <w:t>Paragraph 358(l)(a):</w:t>
      </w:r>
    </w:p>
    <w:p w14:paraId="18CFD8BB" w14:textId="77777777" w:rsidR="00151BAA" w:rsidRPr="00A304CF" w:rsidRDefault="004C3AEC" w:rsidP="00A304CF">
      <w:pPr>
        <w:pStyle w:val="BodyText1"/>
        <w:shd w:val="clear" w:color="auto" w:fill="auto"/>
        <w:spacing w:before="120" w:line="240" w:lineRule="auto"/>
        <w:ind w:firstLine="274"/>
        <w:jc w:val="both"/>
      </w:pPr>
      <w:r w:rsidRPr="00A304CF">
        <w:t>Omit “statutory declaration”, substitute “written statement”.</w:t>
      </w:r>
    </w:p>
    <w:p w14:paraId="78BA3F31" w14:textId="77777777" w:rsidR="00151BAA" w:rsidRPr="00A304CF" w:rsidRDefault="00A06527" w:rsidP="00A06527">
      <w:pPr>
        <w:pStyle w:val="Bodytext20"/>
        <w:shd w:val="clear" w:color="auto" w:fill="auto"/>
        <w:spacing w:before="120" w:line="240" w:lineRule="auto"/>
        <w:jc w:val="both"/>
        <w:rPr>
          <w:sz w:val="22"/>
        </w:rPr>
      </w:pPr>
      <w:r>
        <w:rPr>
          <w:sz w:val="22"/>
        </w:rPr>
        <w:t xml:space="preserve">17. </w:t>
      </w:r>
      <w:r w:rsidR="004C3AEC" w:rsidRPr="00A304CF">
        <w:rPr>
          <w:sz w:val="22"/>
        </w:rPr>
        <w:t>Paragraph 360(l)(a):</w:t>
      </w:r>
    </w:p>
    <w:p w14:paraId="1C174306" w14:textId="77777777" w:rsidR="00151BAA" w:rsidRPr="00A304CF" w:rsidRDefault="004C3AEC" w:rsidP="00A304CF">
      <w:pPr>
        <w:pStyle w:val="BodyText1"/>
        <w:shd w:val="clear" w:color="auto" w:fill="auto"/>
        <w:spacing w:before="120" w:line="240" w:lineRule="auto"/>
        <w:ind w:firstLine="274"/>
        <w:jc w:val="both"/>
      </w:pPr>
      <w:r w:rsidRPr="00A304CF">
        <w:t>Omit the paragraph, substitute:</w:t>
      </w:r>
    </w:p>
    <w:p w14:paraId="4372F959" w14:textId="77777777" w:rsidR="00151BAA" w:rsidRPr="00A304CF" w:rsidRDefault="004C3AEC" w:rsidP="002D786E">
      <w:pPr>
        <w:pStyle w:val="BodyText1"/>
        <w:shd w:val="clear" w:color="auto" w:fill="auto"/>
        <w:spacing w:before="120" w:line="240" w:lineRule="auto"/>
        <w:ind w:left="666" w:hanging="396"/>
        <w:jc w:val="both"/>
      </w:pPr>
      <w:r w:rsidRPr="00A304CF">
        <w:t>“(a) must give the applicant the opportunity to appear before it to give evidence and present arguments relating to the issues arising in relation to the decision under review; and”.</w:t>
      </w:r>
    </w:p>
    <w:p w14:paraId="2CD49FB4" w14:textId="77777777" w:rsidR="00151BAA" w:rsidRPr="00A304CF" w:rsidRDefault="00A06527" w:rsidP="00A06527">
      <w:pPr>
        <w:pStyle w:val="Bodytext20"/>
        <w:shd w:val="clear" w:color="auto" w:fill="auto"/>
        <w:spacing w:before="120" w:line="240" w:lineRule="auto"/>
        <w:jc w:val="both"/>
        <w:rPr>
          <w:sz w:val="22"/>
        </w:rPr>
      </w:pPr>
      <w:r>
        <w:rPr>
          <w:sz w:val="22"/>
        </w:rPr>
        <w:t xml:space="preserve">18. </w:t>
      </w:r>
      <w:r w:rsidR="004C3AEC" w:rsidRPr="00A304CF">
        <w:rPr>
          <w:sz w:val="22"/>
        </w:rPr>
        <w:t>Subsection 360(2):</w:t>
      </w:r>
    </w:p>
    <w:p w14:paraId="73FF8418" w14:textId="15664A66" w:rsidR="00151BAA" w:rsidRPr="00A304CF" w:rsidRDefault="004C3AEC" w:rsidP="00A304CF">
      <w:pPr>
        <w:pStyle w:val="BodyText1"/>
        <w:shd w:val="clear" w:color="auto" w:fill="auto"/>
        <w:spacing w:before="120" w:line="240" w:lineRule="auto"/>
        <w:ind w:firstLine="274"/>
        <w:jc w:val="both"/>
      </w:pPr>
      <w:r w:rsidRPr="00A304CF">
        <w:t>Omit “The”, substitute “Except as provided in paragraph (</w:t>
      </w:r>
      <w:r w:rsidR="00F5596F">
        <w:t>1</w:t>
      </w:r>
      <w:r w:rsidRPr="00A304CF">
        <w:t>)(a), the”.</w:t>
      </w:r>
    </w:p>
    <w:p w14:paraId="2C7B8667" w14:textId="77777777" w:rsidR="00151BAA" w:rsidRPr="00A304CF" w:rsidRDefault="00A06527" w:rsidP="00A20286">
      <w:pPr>
        <w:pStyle w:val="Bodytext20"/>
        <w:shd w:val="clear" w:color="auto" w:fill="auto"/>
        <w:tabs>
          <w:tab w:val="left" w:pos="369"/>
        </w:tabs>
        <w:spacing w:before="120" w:line="240" w:lineRule="auto"/>
        <w:jc w:val="both"/>
        <w:rPr>
          <w:sz w:val="22"/>
        </w:rPr>
      </w:pPr>
      <w:r>
        <w:rPr>
          <w:sz w:val="22"/>
        </w:rPr>
        <w:t xml:space="preserve">19. </w:t>
      </w:r>
      <w:r w:rsidR="004C3AEC" w:rsidRPr="00A304CF">
        <w:rPr>
          <w:sz w:val="22"/>
        </w:rPr>
        <w:t>Paragraph 361(l)(a):</w:t>
      </w:r>
    </w:p>
    <w:p w14:paraId="19DFF6A9" w14:textId="77777777" w:rsidR="00151BAA" w:rsidRPr="00A304CF" w:rsidRDefault="004C3AEC" w:rsidP="00A304CF">
      <w:pPr>
        <w:pStyle w:val="BodyText1"/>
        <w:shd w:val="clear" w:color="auto" w:fill="auto"/>
        <w:spacing w:before="120" w:line="240" w:lineRule="auto"/>
        <w:ind w:firstLine="274"/>
        <w:jc w:val="both"/>
      </w:pPr>
      <w:r w:rsidRPr="00A304CF">
        <w:t>Omit the paragraph, substitute:</w:t>
      </w:r>
    </w:p>
    <w:p w14:paraId="400671AF" w14:textId="77777777" w:rsidR="00151BAA" w:rsidRPr="00A304CF" w:rsidRDefault="004C3AEC" w:rsidP="00A304CF">
      <w:pPr>
        <w:pStyle w:val="BodyText1"/>
        <w:shd w:val="clear" w:color="auto" w:fill="auto"/>
        <w:spacing w:before="120" w:line="240" w:lineRule="auto"/>
        <w:ind w:left="720" w:hanging="450"/>
        <w:jc w:val="both"/>
      </w:pPr>
      <w:r w:rsidRPr="00A304CF">
        <w:t>“(a) that he or she is entitled to appear before the Tribunal to give evidence and present arguments relating to the issues arising in relation to the decision under review; and”.</w:t>
      </w:r>
    </w:p>
    <w:p w14:paraId="52441A91" w14:textId="77777777" w:rsidR="00151BAA" w:rsidRPr="00A304CF" w:rsidRDefault="00A06527" w:rsidP="00A20286">
      <w:pPr>
        <w:pStyle w:val="Bodytext20"/>
        <w:shd w:val="clear" w:color="auto" w:fill="auto"/>
        <w:tabs>
          <w:tab w:val="left" w:pos="369"/>
        </w:tabs>
        <w:spacing w:before="120" w:line="240" w:lineRule="auto"/>
        <w:jc w:val="both"/>
        <w:rPr>
          <w:sz w:val="22"/>
        </w:rPr>
      </w:pPr>
      <w:r>
        <w:rPr>
          <w:sz w:val="22"/>
        </w:rPr>
        <w:t xml:space="preserve">20. </w:t>
      </w:r>
      <w:r w:rsidR="004C3AEC" w:rsidRPr="00A304CF">
        <w:rPr>
          <w:sz w:val="22"/>
        </w:rPr>
        <w:t>Paragraph 361(l)(b):</w:t>
      </w:r>
    </w:p>
    <w:p w14:paraId="19BC1E45" w14:textId="77777777" w:rsidR="00151BAA" w:rsidRPr="00A304CF" w:rsidRDefault="004C3AEC" w:rsidP="00A304CF">
      <w:pPr>
        <w:pStyle w:val="BodyText1"/>
        <w:shd w:val="clear" w:color="auto" w:fill="auto"/>
        <w:spacing w:before="120" w:line="240" w:lineRule="auto"/>
        <w:ind w:firstLine="274"/>
        <w:jc w:val="both"/>
      </w:pPr>
      <w:r w:rsidRPr="00A304CF">
        <w:t>Omit “subsection (2)”, substitute “subsections (2) and (2A)”.</w:t>
      </w:r>
    </w:p>
    <w:p w14:paraId="60E1FEA1" w14:textId="77777777" w:rsidR="00151BAA" w:rsidRPr="00A304CF" w:rsidRDefault="00A06527" w:rsidP="00A20286">
      <w:pPr>
        <w:pStyle w:val="Bodytext20"/>
        <w:shd w:val="clear" w:color="auto" w:fill="auto"/>
        <w:tabs>
          <w:tab w:val="left" w:pos="369"/>
        </w:tabs>
        <w:spacing w:before="120" w:line="240" w:lineRule="auto"/>
        <w:jc w:val="both"/>
        <w:rPr>
          <w:sz w:val="22"/>
        </w:rPr>
      </w:pPr>
      <w:r>
        <w:rPr>
          <w:sz w:val="22"/>
        </w:rPr>
        <w:t xml:space="preserve">21. </w:t>
      </w:r>
      <w:r w:rsidR="004C3AEC" w:rsidRPr="00A304CF">
        <w:rPr>
          <w:sz w:val="22"/>
        </w:rPr>
        <w:t>After subsection 361(2):</w:t>
      </w:r>
    </w:p>
    <w:p w14:paraId="58F23DDA" w14:textId="77777777" w:rsidR="00151BAA" w:rsidRPr="00A304CF" w:rsidRDefault="004C3AEC" w:rsidP="00A304CF">
      <w:pPr>
        <w:pStyle w:val="BodyText1"/>
        <w:shd w:val="clear" w:color="auto" w:fill="auto"/>
        <w:spacing w:before="120" w:line="240" w:lineRule="auto"/>
        <w:ind w:firstLine="274"/>
        <w:jc w:val="both"/>
      </w:pPr>
      <w:r w:rsidRPr="00A304CF">
        <w:t>Insert:</w:t>
      </w:r>
    </w:p>
    <w:p w14:paraId="603BCC74" w14:textId="77777777" w:rsidR="00151BAA" w:rsidRPr="00A304CF" w:rsidRDefault="004C3AEC" w:rsidP="00A304CF">
      <w:pPr>
        <w:pStyle w:val="BodyText1"/>
        <w:shd w:val="clear" w:color="auto" w:fill="auto"/>
        <w:spacing w:before="120" w:line="240" w:lineRule="auto"/>
        <w:ind w:firstLine="270"/>
        <w:jc w:val="both"/>
      </w:pPr>
      <w:r w:rsidRPr="00A304CF">
        <w:t>“(2A) The applicant may, within 7 days after being notified under subsection (1), give the Tribunal written notice that the applicant wants the Tribunal to obtain:</w:t>
      </w:r>
    </w:p>
    <w:p w14:paraId="711F6C6F" w14:textId="77777777" w:rsidR="00151BAA" w:rsidRPr="00A304CF" w:rsidRDefault="00624ACD" w:rsidP="00A304CF">
      <w:pPr>
        <w:pStyle w:val="BodyText1"/>
        <w:shd w:val="clear" w:color="auto" w:fill="auto"/>
        <w:tabs>
          <w:tab w:val="left" w:pos="716"/>
        </w:tabs>
        <w:spacing w:before="120" w:line="240" w:lineRule="auto"/>
        <w:ind w:firstLine="270"/>
        <w:jc w:val="both"/>
      </w:pPr>
      <w:r w:rsidRPr="00A304CF">
        <w:t xml:space="preserve">(a) </w:t>
      </w:r>
      <w:r w:rsidR="004C3AEC" w:rsidRPr="00A304CF">
        <w:t>written evidence from a person or persons named in the notice; or</w:t>
      </w:r>
    </w:p>
    <w:p w14:paraId="5D8FC68C" w14:textId="77777777" w:rsidR="00151BAA" w:rsidRPr="00A304CF" w:rsidRDefault="00624ACD" w:rsidP="00A304CF">
      <w:pPr>
        <w:pStyle w:val="BodyText1"/>
        <w:shd w:val="clear" w:color="auto" w:fill="auto"/>
        <w:tabs>
          <w:tab w:val="left" w:pos="716"/>
        </w:tabs>
        <w:spacing w:before="120" w:line="240" w:lineRule="auto"/>
        <w:ind w:firstLine="270"/>
        <w:jc w:val="both"/>
      </w:pPr>
      <w:r w:rsidRPr="00A304CF">
        <w:t xml:space="preserve">(b) </w:t>
      </w:r>
      <w:r w:rsidR="004C3AEC" w:rsidRPr="00A304CF">
        <w:t>other written material relating to the issues arising in relation to the decision under review.”.</w:t>
      </w:r>
    </w:p>
    <w:p w14:paraId="6FC0DC2C" w14:textId="77777777" w:rsidR="00151BAA" w:rsidRPr="00A304CF" w:rsidRDefault="00574B4B" w:rsidP="00A20286">
      <w:pPr>
        <w:pStyle w:val="Bodytext20"/>
        <w:shd w:val="clear" w:color="auto" w:fill="auto"/>
        <w:tabs>
          <w:tab w:val="left" w:pos="369"/>
        </w:tabs>
        <w:spacing w:before="120" w:line="240" w:lineRule="auto"/>
        <w:jc w:val="both"/>
        <w:rPr>
          <w:sz w:val="22"/>
        </w:rPr>
      </w:pPr>
      <w:r w:rsidRPr="00A304CF">
        <w:rPr>
          <w:sz w:val="22"/>
        </w:rPr>
        <w:t>22</w:t>
      </w:r>
      <w:r w:rsidR="00624ACD" w:rsidRPr="00A304CF">
        <w:rPr>
          <w:sz w:val="22"/>
        </w:rPr>
        <w:t>.</w:t>
      </w:r>
      <w:r w:rsidR="00A06527">
        <w:rPr>
          <w:sz w:val="22"/>
        </w:rPr>
        <w:t xml:space="preserve"> </w:t>
      </w:r>
      <w:r w:rsidR="004C3AEC" w:rsidRPr="00A304CF">
        <w:rPr>
          <w:sz w:val="22"/>
        </w:rPr>
        <w:t>Subsection 361(3):</w:t>
      </w:r>
    </w:p>
    <w:p w14:paraId="54CB72BA" w14:textId="77777777" w:rsidR="00151BAA" w:rsidRPr="00A304CF" w:rsidRDefault="004C3AEC" w:rsidP="00A304CF">
      <w:pPr>
        <w:pStyle w:val="BodyText1"/>
        <w:shd w:val="clear" w:color="auto" w:fill="auto"/>
        <w:spacing w:before="120" w:line="240" w:lineRule="auto"/>
        <w:ind w:firstLine="274"/>
        <w:jc w:val="both"/>
      </w:pPr>
      <w:r w:rsidRPr="00A304CF">
        <w:t>Omit the subsection, substitute:</w:t>
      </w:r>
    </w:p>
    <w:p w14:paraId="1BFD3565" w14:textId="14D57670" w:rsidR="00624ACD" w:rsidRPr="00A304CF" w:rsidRDefault="004C3AEC" w:rsidP="00A20286">
      <w:pPr>
        <w:pStyle w:val="BodyText1"/>
        <w:shd w:val="clear" w:color="auto" w:fill="auto"/>
        <w:spacing w:before="120" w:line="240" w:lineRule="auto"/>
        <w:ind w:firstLine="274"/>
        <w:jc w:val="both"/>
      </w:pPr>
      <w:r w:rsidRPr="00A304CF">
        <w:t>“(3) If the Tribunal is notified by an applicant under subsection (2) or (2A), the Tribunal must have regard to the applicant’s notice but is not required to comply with it.”</w:t>
      </w:r>
    </w:p>
    <w:p w14:paraId="5BF625C7" w14:textId="77777777" w:rsidR="00624ACD" w:rsidRPr="00A304CF" w:rsidRDefault="00624ACD"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0D142514" w14:textId="77777777" w:rsidR="00151BAA" w:rsidRPr="00A304CF" w:rsidRDefault="004C3AEC" w:rsidP="00A304CF">
      <w:pPr>
        <w:pStyle w:val="BodyText1"/>
        <w:shd w:val="clear" w:color="auto" w:fill="auto"/>
        <w:spacing w:line="240" w:lineRule="auto"/>
        <w:ind w:firstLine="0"/>
        <w:jc w:val="center"/>
      </w:pPr>
      <w:r w:rsidRPr="00A304CF">
        <w:rPr>
          <w:rStyle w:val="BodytextBold"/>
        </w:rPr>
        <w:lastRenderedPageBreak/>
        <w:t>SCHEDULE 1</w:t>
      </w:r>
      <w:r w:rsidRPr="00A304CF">
        <w:t>—continued</w:t>
      </w:r>
    </w:p>
    <w:p w14:paraId="58DF2550" w14:textId="77777777" w:rsidR="00151BAA" w:rsidRPr="00A304CF" w:rsidRDefault="00A612A8" w:rsidP="00A612A8">
      <w:pPr>
        <w:pStyle w:val="BodyText1"/>
        <w:shd w:val="clear" w:color="auto" w:fill="auto"/>
        <w:spacing w:before="120" w:line="240" w:lineRule="auto"/>
        <w:ind w:firstLine="0"/>
        <w:jc w:val="both"/>
      </w:pPr>
      <w:r>
        <w:rPr>
          <w:rStyle w:val="BodytextBold"/>
        </w:rPr>
        <w:t xml:space="preserve">23. </w:t>
      </w:r>
      <w:r w:rsidR="004C3AEC" w:rsidRPr="00A304CF">
        <w:rPr>
          <w:rStyle w:val="BodytextBold"/>
        </w:rPr>
        <w:t>After section 362:</w:t>
      </w:r>
    </w:p>
    <w:p w14:paraId="03A75EFC" w14:textId="77777777" w:rsidR="00151BAA" w:rsidRPr="00A304CF" w:rsidRDefault="004C3AEC" w:rsidP="00A304CF">
      <w:pPr>
        <w:pStyle w:val="BodyText1"/>
        <w:shd w:val="clear" w:color="auto" w:fill="auto"/>
        <w:spacing w:before="120" w:line="240" w:lineRule="auto"/>
        <w:ind w:firstLine="270"/>
        <w:jc w:val="both"/>
      </w:pPr>
      <w:r w:rsidRPr="00A304CF">
        <w:t>Insert:</w:t>
      </w:r>
    </w:p>
    <w:p w14:paraId="46F392C2" w14:textId="77777777" w:rsidR="00151BAA" w:rsidRPr="00A304CF" w:rsidRDefault="004C3AEC" w:rsidP="00A304CF">
      <w:pPr>
        <w:pStyle w:val="BodyText1"/>
        <w:shd w:val="clear" w:color="auto" w:fill="auto"/>
        <w:tabs>
          <w:tab w:val="left" w:pos="410"/>
        </w:tabs>
        <w:spacing w:before="120" w:after="60" w:line="240" w:lineRule="auto"/>
        <w:ind w:firstLine="0"/>
        <w:jc w:val="both"/>
      </w:pPr>
      <w:r w:rsidRPr="00A304CF">
        <w:rPr>
          <w:rStyle w:val="BodytextBold"/>
        </w:rPr>
        <w:t>Applicant entitled to have access to written material before Tribunal</w:t>
      </w:r>
    </w:p>
    <w:p w14:paraId="0951F293" w14:textId="77777777" w:rsidR="00151BAA" w:rsidRPr="00A304CF" w:rsidRDefault="004C3AEC" w:rsidP="00A304CF">
      <w:pPr>
        <w:pStyle w:val="BodyText1"/>
        <w:shd w:val="clear" w:color="auto" w:fill="auto"/>
        <w:spacing w:before="120" w:line="240" w:lineRule="auto"/>
        <w:ind w:firstLine="270"/>
        <w:jc w:val="both"/>
      </w:pPr>
      <w:r w:rsidRPr="00A304CF">
        <w:t>“362A.(1) This section applies if:</w:t>
      </w:r>
    </w:p>
    <w:p w14:paraId="27D39991" w14:textId="77777777" w:rsidR="00151BAA" w:rsidRPr="00A304CF" w:rsidRDefault="00E92563" w:rsidP="00A304CF">
      <w:pPr>
        <w:pStyle w:val="BodyText1"/>
        <w:shd w:val="clear" w:color="auto" w:fill="auto"/>
        <w:spacing w:before="120" w:line="240" w:lineRule="auto"/>
        <w:ind w:firstLine="270"/>
        <w:jc w:val="both"/>
      </w:pPr>
      <w:r w:rsidRPr="00A304CF">
        <w:t xml:space="preserve">(a) </w:t>
      </w:r>
      <w:r w:rsidR="004C3AEC" w:rsidRPr="00A304CF">
        <w:t>section 359 does not apply to the review of a decision; and</w:t>
      </w:r>
    </w:p>
    <w:p w14:paraId="7BB710EF" w14:textId="77777777" w:rsidR="00151BAA" w:rsidRPr="00A304CF" w:rsidRDefault="00E92563" w:rsidP="00A304CF">
      <w:pPr>
        <w:pStyle w:val="BodyText1"/>
        <w:shd w:val="clear" w:color="auto" w:fill="auto"/>
        <w:spacing w:before="120" w:line="240" w:lineRule="auto"/>
        <w:ind w:firstLine="270"/>
        <w:jc w:val="both"/>
      </w:pPr>
      <w:r w:rsidRPr="00A304CF">
        <w:t xml:space="preserve">(b) </w:t>
      </w:r>
      <w:r w:rsidR="004C3AEC" w:rsidRPr="00A304CF">
        <w:t>the Tribunal has not yet given the applicant a copy of the statement required by subsection 368(1).</w:t>
      </w:r>
    </w:p>
    <w:p w14:paraId="3911A90B" w14:textId="77777777" w:rsidR="00151BAA" w:rsidRPr="00A304CF" w:rsidRDefault="004C3AEC" w:rsidP="00A304CF">
      <w:pPr>
        <w:pStyle w:val="BodyText1"/>
        <w:shd w:val="clear" w:color="auto" w:fill="auto"/>
        <w:spacing w:before="120" w:line="240" w:lineRule="auto"/>
        <w:ind w:firstLine="270"/>
        <w:jc w:val="both"/>
      </w:pPr>
      <w:r w:rsidRPr="00A304CF">
        <w:t>“(2) The applicant, and any assistant under section 366A, are entitled, subject to sections 375A and 376, to have access to any written material, or a copy of any written material, given or produced to the Tribunal for the purposes of the review.”.</w:t>
      </w:r>
    </w:p>
    <w:p w14:paraId="758EED86" w14:textId="77777777" w:rsidR="00151BAA" w:rsidRPr="00A304CF" w:rsidRDefault="00A612A8" w:rsidP="00A612A8">
      <w:pPr>
        <w:pStyle w:val="BodyText1"/>
        <w:shd w:val="clear" w:color="auto" w:fill="auto"/>
        <w:spacing w:before="120" w:line="240" w:lineRule="auto"/>
        <w:ind w:firstLine="0"/>
        <w:jc w:val="both"/>
      </w:pPr>
      <w:r>
        <w:rPr>
          <w:rStyle w:val="BodytextBold"/>
        </w:rPr>
        <w:t>24.</w:t>
      </w:r>
      <w:r w:rsidR="00E92563" w:rsidRPr="00A304CF">
        <w:rPr>
          <w:rStyle w:val="BodytextBold"/>
        </w:rPr>
        <w:t xml:space="preserve"> </w:t>
      </w:r>
      <w:r w:rsidR="004C3AEC" w:rsidRPr="00A304CF">
        <w:rPr>
          <w:rStyle w:val="BodytextBold"/>
        </w:rPr>
        <w:t>Subsections 363(6) and (7):</w:t>
      </w:r>
    </w:p>
    <w:p w14:paraId="073B286B" w14:textId="77777777" w:rsidR="00151BAA" w:rsidRPr="00A304CF" w:rsidRDefault="004C3AEC" w:rsidP="00A304CF">
      <w:pPr>
        <w:pStyle w:val="BodyText1"/>
        <w:shd w:val="clear" w:color="auto" w:fill="auto"/>
        <w:spacing w:before="120" w:line="240" w:lineRule="auto"/>
        <w:ind w:firstLine="270"/>
        <w:jc w:val="both"/>
      </w:pPr>
      <w:r w:rsidRPr="00A304CF">
        <w:t>Omit the subsections.</w:t>
      </w:r>
    </w:p>
    <w:p w14:paraId="038A325E" w14:textId="77777777" w:rsidR="00151BAA" w:rsidRPr="00A304CF" w:rsidRDefault="00A612A8" w:rsidP="00A612A8">
      <w:pPr>
        <w:pStyle w:val="BodyText1"/>
        <w:shd w:val="clear" w:color="auto" w:fill="auto"/>
        <w:spacing w:before="120" w:line="240" w:lineRule="auto"/>
        <w:ind w:firstLine="0"/>
        <w:jc w:val="both"/>
      </w:pPr>
      <w:r>
        <w:rPr>
          <w:rStyle w:val="BodytextBold"/>
        </w:rPr>
        <w:t xml:space="preserve">25. </w:t>
      </w:r>
      <w:r w:rsidR="004C3AEC" w:rsidRPr="00A304CF">
        <w:rPr>
          <w:rStyle w:val="BodytextBold"/>
        </w:rPr>
        <w:t>After section 363:</w:t>
      </w:r>
    </w:p>
    <w:p w14:paraId="67BAFB0A" w14:textId="77777777" w:rsidR="00151BAA" w:rsidRPr="00A304CF" w:rsidRDefault="004C3AEC" w:rsidP="00A304CF">
      <w:pPr>
        <w:pStyle w:val="BodyText1"/>
        <w:shd w:val="clear" w:color="auto" w:fill="auto"/>
        <w:spacing w:before="120" w:line="240" w:lineRule="auto"/>
        <w:ind w:firstLine="270"/>
        <w:jc w:val="both"/>
      </w:pPr>
      <w:r w:rsidRPr="00A304CF">
        <w:t>Insert:</w:t>
      </w:r>
    </w:p>
    <w:p w14:paraId="0B3DA5FF" w14:textId="77777777" w:rsidR="00151BAA" w:rsidRPr="00A304CF" w:rsidRDefault="004C3AEC" w:rsidP="00A612A8">
      <w:pPr>
        <w:pStyle w:val="BodyText1"/>
        <w:shd w:val="clear" w:color="auto" w:fill="auto"/>
        <w:spacing w:before="120" w:after="60" w:line="240" w:lineRule="auto"/>
        <w:ind w:firstLine="0"/>
        <w:jc w:val="both"/>
        <w:rPr>
          <w:b/>
        </w:rPr>
      </w:pPr>
      <w:r w:rsidRPr="00A304CF">
        <w:rPr>
          <w:b/>
        </w:rPr>
        <w:t>Tribunal does not have power to permit a person to do something he or she is not entitled to do</w:t>
      </w:r>
    </w:p>
    <w:p w14:paraId="5715E8AC" w14:textId="77777777" w:rsidR="00151BAA" w:rsidRPr="00A304CF" w:rsidRDefault="004C3AEC" w:rsidP="00A304CF">
      <w:pPr>
        <w:pStyle w:val="BodyText1"/>
        <w:shd w:val="clear" w:color="auto" w:fill="auto"/>
        <w:spacing w:before="120" w:line="240" w:lineRule="auto"/>
        <w:ind w:firstLine="270"/>
        <w:jc w:val="both"/>
      </w:pPr>
      <w:r w:rsidRPr="00A304CF">
        <w:t>“363A. If a provision of this Part states that a person is not entitled to do something, or to be assisted or represented by another person, then, unless a provision expressly provides otherwise, the Tribunal does not have power to permit the person to do that thing, or to be assisted or represented by another person.”.</w:t>
      </w:r>
    </w:p>
    <w:p w14:paraId="7E8C01CC" w14:textId="77777777" w:rsidR="00151BAA" w:rsidRPr="00A304CF" w:rsidRDefault="00A612A8" w:rsidP="00A304CF">
      <w:pPr>
        <w:pStyle w:val="BodyText1"/>
        <w:shd w:val="clear" w:color="auto" w:fill="auto"/>
        <w:tabs>
          <w:tab w:val="left" w:pos="410"/>
        </w:tabs>
        <w:spacing w:before="120" w:line="240" w:lineRule="auto"/>
        <w:ind w:firstLine="0"/>
        <w:jc w:val="both"/>
      </w:pPr>
      <w:r>
        <w:rPr>
          <w:rStyle w:val="BodytextBold"/>
        </w:rPr>
        <w:t xml:space="preserve">26. </w:t>
      </w:r>
      <w:r w:rsidR="004C3AEC" w:rsidRPr="00A304CF">
        <w:rPr>
          <w:rStyle w:val="BodytextBold"/>
        </w:rPr>
        <w:t>After section 366:</w:t>
      </w:r>
    </w:p>
    <w:p w14:paraId="5C2DDDDA" w14:textId="77777777" w:rsidR="00151BAA" w:rsidRPr="00A304CF" w:rsidRDefault="004C3AEC" w:rsidP="00A304CF">
      <w:pPr>
        <w:pStyle w:val="BodyText1"/>
        <w:shd w:val="clear" w:color="auto" w:fill="auto"/>
        <w:spacing w:before="120" w:line="240" w:lineRule="auto"/>
        <w:ind w:firstLine="270"/>
        <w:jc w:val="both"/>
      </w:pPr>
      <w:r w:rsidRPr="00A304CF">
        <w:t>Insert:</w:t>
      </w:r>
    </w:p>
    <w:p w14:paraId="66A4E004" w14:textId="77777777" w:rsidR="00151BAA" w:rsidRPr="00A304CF" w:rsidRDefault="004C3AEC" w:rsidP="00A304CF">
      <w:pPr>
        <w:pStyle w:val="BodyText1"/>
        <w:shd w:val="clear" w:color="auto" w:fill="auto"/>
        <w:tabs>
          <w:tab w:val="left" w:pos="410"/>
        </w:tabs>
        <w:spacing w:before="120" w:after="60" w:line="240" w:lineRule="auto"/>
        <w:ind w:firstLine="0"/>
        <w:jc w:val="both"/>
        <w:rPr>
          <w:b/>
        </w:rPr>
      </w:pPr>
      <w:r w:rsidRPr="00A304CF">
        <w:rPr>
          <w:b/>
        </w:rPr>
        <w:t>Applicant may be assisted by another person while appearing before Tribunal</w:t>
      </w:r>
    </w:p>
    <w:p w14:paraId="5E32E1E7" w14:textId="5622B42A" w:rsidR="00151BAA" w:rsidRPr="00A304CF" w:rsidRDefault="004C3AEC" w:rsidP="00A304CF">
      <w:pPr>
        <w:pStyle w:val="BodyText1"/>
        <w:shd w:val="clear" w:color="auto" w:fill="auto"/>
        <w:spacing w:before="120" w:line="240" w:lineRule="auto"/>
        <w:ind w:firstLine="270"/>
        <w:jc w:val="both"/>
      </w:pPr>
      <w:r w:rsidRPr="00A304CF">
        <w:t xml:space="preserve">“366A.(1) The applicant is entitled, while appearing before the Tribunal, to have another person (the </w:t>
      </w:r>
      <w:r w:rsidRPr="00A612A8">
        <w:rPr>
          <w:b/>
        </w:rPr>
        <w:t>‘assistant</w:t>
      </w:r>
      <w:r w:rsidRPr="00F5596F">
        <w:rPr>
          <w:b/>
        </w:rPr>
        <w:t>’</w:t>
      </w:r>
      <w:r w:rsidRPr="00A304CF">
        <w:t>) present to assist him or her.</w:t>
      </w:r>
    </w:p>
    <w:p w14:paraId="61113CB3" w14:textId="77777777" w:rsidR="00151BAA" w:rsidRPr="00A304CF" w:rsidRDefault="004C3AEC" w:rsidP="00A304CF">
      <w:pPr>
        <w:pStyle w:val="BodyText1"/>
        <w:shd w:val="clear" w:color="auto" w:fill="auto"/>
        <w:spacing w:before="120" w:line="240" w:lineRule="auto"/>
        <w:ind w:firstLine="270"/>
        <w:jc w:val="both"/>
      </w:pPr>
      <w:r w:rsidRPr="00A304CF">
        <w:t>“(2) The assistant is not entitled to present arguments to the Tribunal, or to address the Tribunal, unless the Tribunal is satisfied that, because of exceptional circumstances, the assistant should be allowed to do so.</w:t>
      </w:r>
    </w:p>
    <w:p w14:paraId="6D527A70" w14:textId="77777777" w:rsidR="00151BAA" w:rsidRPr="00A304CF" w:rsidRDefault="004C3AEC" w:rsidP="00A304CF">
      <w:pPr>
        <w:pStyle w:val="BodyText1"/>
        <w:shd w:val="clear" w:color="auto" w:fill="auto"/>
        <w:spacing w:before="120" w:line="240" w:lineRule="auto"/>
        <w:ind w:firstLine="270"/>
        <w:jc w:val="both"/>
      </w:pPr>
      <w:r w:rsidRPr="00A304CF">
        <w:t>“(3) Except as provided in this section, the applicant is not entitled, while appearing before the Tribunal, to be represented by another person.</w:t>
      </w:r>
    </w:p>
    <w:p w14:paraId="10300B9C" w14:textId="77777777" w:rsidR="005F3036" w:rsidRPr="00A304CF" w:rsidRDefault="004C3AEC" w:rsidP="00A304CF">
      <w:pPr>
        <w:pStyle w:val="BodyText1"/>
        <w:shd w:val="clear" w:color="auto" w:fill="auto"/>
        <w:spacing w:before="120" w:line="240" w:lineRule="auto"/>
        <w:ind w:firstLine="270"/>
        <w:jc w:val="both"/>
      </w:pPr>
      <w:r w:rsidRPr="00A304CF">
        <w:t>“(4) This section does not affect the entitlement of the applicant to engage a person to assist or represent him or her otherwise than while appearing before the Tribunal.</w:t>
      </w:r>
    </w:p>
    <w:p w14:paraId="1E3A08F6" w14:textId="77777777" w:rsidR="005F3036" w:rsidRPr="00A304CF" w:rsidRDefault="005F3036"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33767C11" w14:textId="77777777" w:rsidR="00151BAA" w:rsidRPr="00A304CF" w:rsidRDefault="004C3AEC" w:rsidP="00A304CF">
      <w:pPr>
        <w:pStyle w:val="BodyText1"/>
        <w:shd w:val="clear" w:color="auto" w:fill="auto"/>
        <w:spacing w:line="240" w:lineRule="auto"/>
        <w:ind w:firstLine="0"/>
        <w:jc w:val="center"/>
      </w:pPr>
      <w:r w:rsidRPr="00A304CF">
        <w:rPr>
          <w:rStyle w:val="BodytextBold"/>
        </w:rPr>
        <w:lastRenderedPageBreak/>
        <w:t>SCHEDULE 1</w:t>
      </w:r>
      <w:r w:rsidRPr="00A304CF">
        <w:t>—continued</w:t>
      </w:r>
    </w:p>
    <w:p w14:paraId="63826294" w14:textId="77777777" w:rsidR="00151BAA" w:rsidRPr="00A304CF" w:rsidRDefault="004C3AEC" w:rsidP="00A304CF">
      <w:pPr>
        <w:pStyle w:val="Bodytext20"/>
        <w:shd w:val="clear" w:color="auto" w:fill="auto"/>
        <w:spacing w:before="120" w:after="60" w:line="240" w:lineRule="auto"/>
        <w:jc w:val="both"/>
        <w:rPr>
          <w:sz w:val="22"/>
        </w:rPr>
      </w:pPr>
      <w:r w:rsidRPr="00A304CF">
        <w:rPr>
          <w:sz w:val="22"/>
        </w:rPr>
        <w:t>Other persons not to be assisted or repre</w:t>
      </w:r>
      <w:r w:rsidR="00F85363">
        <w:rPr>
          <w:sz w:val="22"/>
        </w:rPr>
        <w:t>sented while appearing before Tr</w:t>
      </w:r>
      <w:r w:rsidRPr="00A304CF">
        <w:rPr>
          <w:sz w:val="22"/>
        </w:rPr>
        <w:t>ibunal</w:t>
      </w:r>
    </w:p>
    <w:p w14:paraId="1C0CAFC5" w14:textId="77777777" w:rsidR="00151BAA" w:rsidRPr="00A304CF" w:rsidRDefault="004C3AEC" w:rsidP="00A304CF">
      <w:pPr>
        <w:pStyle w:val="BodyText1"/>
        <w:shd w:val="clear" w:color="auto" w:fill="auto"/>
        <w:spacing w:before="120" w:line="240" w:lineRule="auto"/>
        <w:ind w:firstLine="270"/>
        <w:jc w:val="both"/>
      </w:pPr>
      <w:r w:rsidRPr="00A304CF">
        <w:t>“366B.</w:t>
      </w:r>
      <w:r w:rsidR="00FC1486" w:rsidRPr="00A304CF">
        <w:t xml:space="preserve"> </w:t>
      </w:r>
      <w:r w:rsidRPr="00A304CF">
        <w:t>(1) A person, other than the applicant, is not entitled, while appearing before the Tribunal, to:</w:t>
      </w:r>
    </w:p>
    <w:p w14:paraId="2DBFD08A" w14:textId="77777777" w:rsidR="00151BAA" w:rsidRPr="00A304CF" w:rsidRDefault="00375D2F" w:rsidP="00A304CF">
      <w:pPr>
        <w:pStyle w:val="BodyText1"/>
        <w:shd w:val="clear" w:color="auto" w:fill="auto"/>
        <w:spacing w:before="120" w:line="240" w:lineRule="auto"/>
        <w:ind w:firstLine="270"/>
        <w:jc w:val="both"/>
      </w:pPr>
      <w:r w:rsidRPr="00A304CF">
        <w:t xml:space="preserve">(a) </w:t>
      </w:r>
      <w:r w:rsidR="004C3AEC" w:rsidRPr="00A304CF">
        <w:t>have another person present to assist him or her; or</w:t>
      </w:r>
    </w:p>
    <w:p w14:paraId="32B00BE9" w14:textId="77777777" w:rsidR="00151BAA" w:rsidRPr="00A304CF" w:rsidRDefault="00375D2F" w:rsidP="00A304CF">
      <w:pPr>
        <w:pStyle w:val="BodyText1"/>
        <w:shd w:val="clear" w:color="auto" w:fill="auto"/>
        <w:spacing w:before="120" w:line="240" w:lineRule="auto"/>
        <w:ind w:firstLine="270"/>
        <w:jc w:val="both"/>
      </w:pPr>
      <w:r w:rsidRPr="00A304CF">
        <w:t xml:space="preserve">(b) </w:t>
      </w:r>
      <w:r w:rsidR="004C3AEC" w:rsidRPr="00A304CF">
        <w:t>be represented by another person.</w:t>
      </w:r>
    </w:p>
    <w:p w14:paraId="26C5B1F4" w14:textId="77777777" w:rsidR="00151BAA" w:rsidRPr="00A304CF" w:rsidRDefault="004C3AEC" w:rsidP="00A304CF">
      <w:pPr>
        <w:pStyle w:val="BodyText1"/>
        <w:shd w:val="clear" w:color="auto" w:fill="auto"/>
        <w:spacing w:before="120" w:line="240" w:lineRule="auto"/>
        <w:ind w:firstLine="270"/>
        <w:jc w:val="both"/>
      </w:pPr>
      <w:r w:rsidRPr="00A304CF">
        <w:t>“(2) This section does not affect the entitlement of the person to engage a person to assist or represent him or her otherwise than while appearing before the Tribunal.</w:t>
      </w:r>
    </w:p>
    <w:p w14:paraId="09489BFC" w14:textId="77777777" w:rsidR="00151BAA" w:rsidRPr="00A304CF" w:rsidRDefault="004C3AEC" w:rsidP="00A304CF">
      <w:pPr>
        <w:pStyle w:val="Bodytext20"/>
        <w:shd w:val="clear" w:color="auto" w:fill="auto"/>
        <w:spacing w:before="120" w:after="60" w:line="240" w:lineRule="auto"/>
        <w:jc w:val="both"/>
        <w:rPr>
          <w:sz w:val="22"/>
        </w:rPr>
      </w:pPr>
      <w:r w:rsidRPr="00A304CF">
        <w:rPr>
          <w:sz w:val="22"/>
        </w:rPr>
        <w:t>Interpreters</w:t>
      </w:r>
    </w:p>
    <w:p w14:paraId="4194CAD1" w14:textId="77777777" w:rsidR="00151BAA" w:rsidRPr="00A304CF" w:rsidRDefault="00FC1486" w:rsidP="00A304CF">
      <w:pPr>
        <w:pStyle w:val="BodyText1"/>
        <w:shd w:val="clear" w:color="auto" w:fill="auto"/>
        <w:spacing w:before="120" w:line="240" w:lineRule="auto"/>
        <w:ind w:firstLine="270"/>
        <w:jc w:val="both"/>
      </w:pPr>
      <w:r w:rsidRPr="00A304CF">
        <w:t>“366C. (</w:t>
      </w:r>
      <w:r w:rsidR="004C3AEC" w:rsidRPr="00A304CF">
        <w:t>1) A person appearing before the Tribunal to give evidence may request the Tribunal to appoint an interpreter for the purposes of communication between the Tribunal and the person.</w:t>
      </w:r>
    </w:p>
    <w:p w14:paraId="04359D94" w14:textId="77777777" w:rsidR="00151BAA" w:rsidRPr="00A304CF" w:rsidRDefault="004C3AEC" w:rsidP="00A304CF">
      <w:pPr>
        <w:pStyle w:val="BodyText1"/>
        <w:shd w:val="clear" w:color="auto" w:fill="auto"/>
        <w:spacing w:before="120" w:line="240" w:lineRule="auto"/>
        <w:ind w:firstLine="270"/>
        <w:jc w:val="both"/>
      </w:pPr>
      <w:r w:rsidRPr="00A304CF">
        <w:t>“(2) The Tribunal must comply with a request made by a person under subsection (1) unless it considers that the person is sufficiently proficient in English.</w:t>
      </w:r>
    </w:p>
    <w:p w14:paraId="17EAEE97" w14:textId="77777777" w:rsidR="00151BAA" w:rsidRPr="00A304CF" w:rsidRDefault="004C3AEC" w:rsidP="00A304CF">
      <w:pPr>
        <w:pStyle w:val="BodyText1"/>
        <w:shd w:val="clear" w:color="auto" w:fill="auto"/>
        <w:spacing w:before="120" w:line="240" w:lineRule="auto"/>
        <w:ind w:firstLine="270"/>
        <w:jc w:val="both"/>
      </w:pPr>
      <w:r w:rsidRPr="00A304CF">
        <w:t>“(3) If the Tribunal considers that a person appearing before it to give evidence is not sufficiently proficient in English, the Tribunal must appoint an interpreter for the purposes of communication between the Tribunal and the person, even though the person has not made a request under subsection (1).</w:t>
      </w:r>
    </w:p>
    <w:p w14:paraId="2ACFD6B2" w14:textId="77777777" w:rsidR="00151BAA" w:rsidRPr="00A304CF" w:rsidRDefault="004C3AEC" w:rsidP="00A304CF">
      <w:pPr>
        <w:pStyle w:val="Bodytext20"/>
        <w:shd w:val="clear" w:color="auto" w:fill="auto"/>
        <w:spacing w:before="120" w:after="60" w:line="240" w:lineRule="auto"/>
        <w:jc w:val="both"/>
        <w:rPr>
          <w:sz w:val="22"/>
        </w:rPr>
      </w:pPr>
      <w:r w:rsidRPr="00A304CF">
        <w:rPr>
          <w:sz w:val="22"/>
        </w:rPr>
        <w:t>Examination and cross-examination not permitted</w:t>
      </w:r>
    </w:p>
    <w:p w14:paraId="026C3B37" w14:textId="77777777" w:rsidR="00151BAA" w:rsidRPr="00A304CF" w:rsidRDefault="004C3AEC" w:rsidP="00A304CF">
      <w:pPr>
        <w:pStyle w:val="BodyText1"/>
        <w:shd w:val="clear" w:color="auto" w:fill="auto"/>
        <w:spacing w:before="120" w:line="240" w:lineRule="auto"/>
        <w:ind w:firstLine="270"/>
        <w:jc w:val="both"/>
      </w:pPr>
      <w:r w:rsidRPr="00A304CF">
        <w:t>“366D. A person is not entitled to examine or cross-examine any person appearing before the Tribunal to give evidence.”.</w:t>
      </w:r>
    </w:p>
    <w:p w14:paraId="0D286A93" w14:textId="77777777" w:rsidR="00151BAA" w:rsidRPr="00A304CF" w:rsidRDefault="005F09BE" w:rsidP="005F09BE">
      <w:pPr>
        <w:pStyle w:val="Bodytext20"/>
        <w:shd w:val="clear" w:color="auto" w:fill="auto"/>
        <w:spacing w:before="120" w:line="240" w:lineRule="auto"/>
        <w:jc w:val="both"/>
        <w:rPr>
          <w:sz w:val="22"/>
        </w:rPr>
      </w:pPr>
      <w:r>
        <w:rPr>
          <w:sz w:val="22"/>
        </w:rPr>
        <w:t xml:space="preserve">27. </w:t>
      </w:r>
      <w:r w:rsidR="004C3AEC" w:rsidRPr="00A304CF">
        <w:rPr>
          <w:sz w:val="22"/>
        </w:rPr>
        <w:t>Subsection 368(1):</w:t>
      </w:r>
    </w:p>
    <w:p w14:paraId="628D48B8" w14:textId="77777777" w:rsidR="00151BAA" w:rsidRPr="00A304CF" w:rsidRDefault="004C3AEC" w:rsidP="00A304CF">
      <w:pPr>
        <w:pStyle w:val="BodyText1"/>
        <w:shd w:val="clear" w:color="auto" w:fill="auto"/>
        <w:spacing w:before="120" w:line="240" w:lineRule="auto"/>
        <w:ind w:firstLine="270"/>
        <w:jc w:val="both"/>
      </w:pPr>
      <w:r w:rsidRPr="00A304CF">
        <w:t>Omit “shall”, substitute “must, subject to paragraph 375A(2)(b),”.</w:t>
      </w:r>
    </w:p>
    <w:p w14:paraId="612B97F8" w14:textId="77777777" w:rsidR="00151BAA" w:rsidRPr="00A304CF" w:rsidRDefault="005F09BE" w:rsidP="005F09BE">
      <w:pPr>
        <w:pStyle w:val="Bodytext20"/>
        <w:shd w:val="clear" w:color="auto" w:fill="auto"/>
        <w:spacing w:before="120" w:line="240" w:lineRule="auto"/>
        <w:jc w:val="both"/>
        <w:rPr>
          <w:sz w:val="22"/>
        </w:rPr>
      </w:pPr>
      <w:r>
        <w:rPr>
          <w:sz w:val="22"/>
        </w:rPr>
        <w:t xml:space="preserve">28. </w:t>
      </w:r>
      <w:r w:rsidR="004C3AEC" w:rsidRPr="00A304CF">
        <w:rPr>
          <w:sz w:val="22"/>
        </w:rPr>
        <w:t>After section 375:</w:t>
      </w:r>
    </w:p>
    <w:p w14:paraId="6071ED8B" w14:textId="77777777" w:rsidR="00151BAA" w:rsidRPr="00A304CF" w:rsidRDefault="004C3AEC" w:rsidP="00A304CF">
      <w:pPr>
        <w:pStyle w:val="BodyText1"/>
        <w:shd w:val="clear" w:color="auto" w:fill="auto"/>
        <w:spacing w:before="120" w:line="240" w:lineRule="auto"/>
        <w:ind w:firstLine="270"/>
        <w:jc w:val="both"/>
      </w:pPr>
      <w:r w:rsidRPr="00A304CF">
        <w:t>Insert:</w:t>
      </w:r>
    </w:p>
    <w:p w14:paraId="0DB2CF48" w14:textId="77777777" w:rsidR="00151BAA" w:rsidRPr="00A304CF" w:rsidRDefault="004C3AEC" w:rsidP="00A304CF">
      <w:pPr>
        <w:pStyle w:val="Bodytext20"/>
        <w:shd w:val="clear" w:color="auto" w:fill="auto"/>
        <w:spacing w:before="120" w:after="60" w:line="240" w:lineRule="auto"/>
        <w:jc w:val="both"/>
        <w:rPr>
          <w:sz w:val="22"/>
        </w:rPr>
      </w:pPr>
      <w:r w:rsidRPr="00A304CF">
        <w:rPr>
          <w:sz w:val="22"/>
        </w:rPr>
        <w:t>Certain information only to be disclosed to Tribunal</w:t>
      </w:r>
    </w:p>
    <w:p w14:paraId="1FC6B235" w14:textId="77777777" w:rsidR="00151BAA" w:rsidRPr="00A304CF" w:rsidRDefault="004C3AEC" w:rsidP="00A304CF">
      <w:pPr>
        <w:pStyle w:val="BodyText1"/>
        <w:shd w:val="clear" w:color="auto" w:fill="auto"/>
        <w:spacing w:before="120" w:line="240" w:lineRule="auto"/>
        <w:ind w:firstLine="270"/>
        <w:jc w:val="both"/>
      </w:pPr>
      <w:r w:rsidRPr="00A304CF">
        <w:t>“375A.</w:t>
      </w:r>
      <w:r w:rsidR="00FC1486" w:rsidRPr="00A304CF">
        <w:t xml:space="preserve"> </w:t>
      </w:r>
      <w:r w:rsidRPr="00A304CF">
        <w:t>(1) This section applies to a document or information if the Minister:</w:t>
      </w:r>
    </w:p>
    <w:p w14:paraId="24AF65CF" w14:textId="77777777" w:rsidR="00375D2F" w:rsidRPr="00A304CF" w:rsidRDefault="00375D2F" w:rsidP="00F85363">
      <w:pPr>
        <w:pStyle w:val="BodyText1"/>
        <w:shd w:val="clear" w:color="auto" w:fill="auto"/>
        <w:spacing w:before="120" w:line="240" w:lineRule="auto"/>
        <w:ind w:left="567" w:hanging="297"/>
        <w:jc w:val="both"/>
      </w:pPr>
      <w:r w:rsidRPr="00A304CF">
        <w:t xml:space="preserve">(a) </w:t>
      </w:r>
      <w:r w:rsidR="004C3AEC" w:rsidRPr="00A304CF">
        <w:t>has certified, in writing, that the disclosure, otherwise than to the Tribunal, of any matter contained in the document, or of the information, would be contrary to the public interest for any reason specified in the certificate (other than a reason set out in paragraph 375(a) or (b)); and</w:t>
      </w:r>
    </w:p>
    <w:p w14:paraId="77E185C5" w14:textId="77777777" w:rsidR="00375D2F" w:rsidRPr="00A304CF" w:rsidRDefault="00375D2F"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21D5D306" w14:textId="77777777" w:rsidR="00151BAA" w:rsidRPr="00A304CF" w:rsidRDefault="004C3AEC" w:rsidP="00A304CF">
      <w:pPr>
        <w:pStyle w:val="BodyText1"/>
        <w:shd w:val="clear" w:color="auto" w:fill="auto"/>
        <w:spacing w:line="240" w:lineRule="auto"/>
        <w:ind w:firstLine="0"/>
        <w:jc w:val="center"/>
      </w:pPr>
      <w:r w:rsidRPr="00A304CF">
        <w:rPr>
          <w:rStyle w:val="BodytextBold"/>
        </w:rPr>
        <w:lastRenderedPageBreak/>
        <w:t>SCHEDULE 1</w:t>
      </w:r>
      <w:r w:rsidRPr="00A304CF">
        <w:t>—continued</w:t>
      </w:r>
    </w:p>
    <w:p w14:paraId="230D5BC8" w14:textId="77777777" w:rsidR="00151BAA" w:rsidRPr="00A304CF" w:rsidRDefault="00D10593" w:rsidP="00A304CF">
      <w:pPr>
        <w:pStyle w:val="BodyText1"/>
        <w:shd w:val="clear" w:color="auto" w:fill="auto"/>
        <w:spacing w:before="120" w:line="240" w:lineRule="auto"/>
        <w:ind w:left="603" w:hanging="333"/>
        <w:jc w:val="both"/>
      </w:pPr>
      <w:r w:rsidRPr="00A304CF">
        <w:t xml:space="preserve">(b) </w:t>
      </w:r>
      <w:r w:rsidR="004C3AEC" w:rsidRPr="00A304CF">
        <w:t>has included in the certificate a statement that the document or information must only be disclosed to the Tribunal.</w:t>
      </w:r>
    </w:p>
    <w:p w14:paraId="5286CFE3" w14:textId="77777777" w:rsidR="00151BAA" w:rsidRPr="00A304CF" w:rsidRDefault="004C3AEC" w:rsidP="00A304CF">
      <w:pPr>
        <w:pStyle w:val="BodyText1"/>
        <w:shd w:val="clear" w:color="auto" w:fill="auto"/>
        <w:spacing w:before="120" w:line="240" w:lineRule="auto"/>
        <w:ind w:firstLine="270"/>
        <w:jc w:val="both"/>
      </w:pPr>
      <w:r w:rsidRPr="00A304CF">
        <w:t>“(2) If, pursuant to a requirement of or under this Act, the Secretary gives to the Tribunal a document or information to which this section applies:</w:t>
      </w:r>
    </w:p>
    <w:p w14:paraId="18E21534" w14:textId="77777777" w:rsidR="00151BAA" w:rsidRPr="00A304CF" w:rsidRDefault="00D10593" w:rsidP="00A304CF">
      <w:pPr>
        <w:pStyle w:val="BodyText1"/>
        <w:shd w:val="clear" w:color="auto" w:fill="auto"/>
        <w:spacing w:before="120" w:line="240" w:lineRule="auto"/>
        <w:ind w:left="603" w:hanging="333"/>
        <w:jc w:val="both"/>
      </w:pPr>
      <w:r w:rsidRPr="00A304CF">
        <w:t xml:space="preserve">(a) </w:t>
      </w:r>
      <w:r w:rsidR="004C3AEC" w:rsidRPr="00A304CF">
        <w:t>the Secretary must notify the Tribunal in writing that this section applies to the document or information; and</w:t>
      </w:r>
    </w:p>
    <w:p w14:paraId="34542849" w14:textId="77777777" w:rsidR="00151BAA" w:rsidRPr="00A304CF" w:rsidRDefault="00D10593" w:rsidP="00A304CF">
      <w:pPr>
        <w:pStyle w:val="BodyText1"/>
        <w:shd w:val="clear" w:color="auto" w:fill="auto"/>
        <w:spacing w:before="120" w:line="240" w:lineRule="auto"/>
        <w:ind w:left="603" w:hanging="333"/>
        <w:jc w:val="both"/>
      </w:pPr>
      <w:r w:rsidRPr="00A304CF">
        <w:t xml:space="preserve">(b) </w:t>
      </w:r>
      <w:r w:rsidR="004C3AEC" w:rsidRPr="00A304CF">
        <w:t>the Tribunal must do all things necessary to ensure that the document or information is not disclosed to any person other than a member of the Tribunal as constituted for the purposes of the particular review.”.</w:t>
      </w:r>
    </w:p>
    <w:p w14:paraId="1B9A3B6F" w14:textId="77777777" w:rsidR="00151BAA" w:rsidRPr="00A304CF" w:rsidRDefault="00211114" w:rsidP="00211114">
      <w:pPr>
        <w:pStyle w:val="Bodytext20"/>
        <w:shd w:val="clear" w:color="auto" w:fill="auto"/>
        <w:spacing w:before="120" w:line="240" w:lineRule="auto"/>
        <w:jc w:val="both"/>
        <w:rPr>
          <w:sz w:val="22"/>
        </w:rPr>
      </w:pPr>
      <w:r>
        <w:rPr>
          <w:sz w:val="22"/>
        </w:rPr>
        <w:t xml:space="preserve">29. </w:t>
      </w:r>
      <w:r w:rsidR="004C3AEC" w:rsidRPr="00A304CF">
        <w:rPr>
          <w:sz w:val="22"/>
        </w:rPr>
        <w:t>Paragraph 376(l)(a):</w:t>
      </w:r>
    </w:p>
    <w:p w14:paraId="06E6CCAC" w14:textId="77777777" w:rsidR="00151BAA" w:rsidRPr="00A304CF" w:rsidRDefault="004C3AEC" w:rsidP="00A304CF">
      <w:pPr>
        <w:pStyle w:val="BodyText1"/>
        <w:shd w:val="clear" w:color="auto" w:fill="auto"/>
        <w:spacing w:before="120" w:line="240" w:lineRule="auto"/>
        <w:ind w:firstLine="270"/>
        <w:jc w:val="both"/>
      </w:pPr>
      <w:r w:rsidRPr="00A304CF">
        <w:t>Omit the paragraph, substitute:</w:t>
      </w:r>
    </w:p>
    <w:p w14:paraId="5F469090" w14:textId="77777777" w:rsidR="00151BAA" w:rsidRPr="00A304CF" w:rsidRDefault="004C3AEC" w:rsidP="00A304CF">
      <w:pPr>
        <w:pStyle w:val="BodyText1"/>
        <w:shd w:val="clear" w:color="auto" w:fill="auto"/>
        <w:spacing w:before="120" w:line="240" w:lineRule="auto"/>
        <w:ind w:firstLine="270"/>
        <w:jc w:val="both"/>
      </w:pPr>
      <w:r w:rsidRPr="00A304CF">
        <w:t>“(a) the Minister:</w:t>
      </w:r>
    </w:p>
    <w:p w14:paraId="3124D95A" w14:textId="77777777" w:rsidR="00151BAA" w:rsidRPr="00A304CF" w:rsidRDefault="00ED172C" w:rsidP="00A304CF">
      <w:pPr>
        <w:pStyle w:val="BodyText1"/>
        <w:shd w:val="clear" w:color="auto" w:fill="auto"/>
        <w:tabs>
          <w:tab w:val="left" w:pos="1206"/>
        </w:tabs>
        <w:spacing w:before="120" w:line="240" w:lineRule="auto"/>
        <w:ind w:left="1053" w:hanging="261"/>
        <w:jc w:val="both"/>
      </w:pPr>
      <w:r w:rsidRPr="00A304CF">
        <w:t xml:space="preserve">(i) </w:t>
      </w:r>
      <w:r w:rsidR="004C3AEC" w:rsidRPr="00A304CF">
        <w:t>has certified, in writing, that the disclosure of any matter contained in the document, or of the information, would be contrary to the public interest for any reason specified in the certificate (other than a reason set out in paragraph 375(a) or</w:t>
      </w:r>
      <w:r w:rsidRPr="00A304CF">
        <w:t xml:space="preserve"> (b)</w:t>
      </w:r>
      <w:r w:rsidR="004C3AEC" w:rsidRPr="00A304CF">
        <w:t>) that could form the basis for a claim by the Crown in right of the Commonwealth in a judicial proceeding that the matter contained in the document, or the information, should not be disclosed; and</w:t>
      </w:r>
    </w:p>
    <w:p w14:paraId="6DB320E4" w14:textId="77777777" w:rsidR="00151BAA" w:rsidRPr="00A304CF" w:rsidRDefault="00ED172C" w:rsidP="00A304CF">
      <w:pPr>
        <w:pStyle w:val="BodyText1"/>
        <w:shd w:val="clear" w:color="auto" w:fill="auto"/>
        <w:tabs>
          <w:tab w:val="left" w:pos="1206"/>
        </w:tabs>
        <w:spacing w:before="120" w:line="240" w:lineRule="auto"/>
        <w:ind w:left="1053" w:hanging="342"/>
        <w:jc w:val="both"/>
      </w:pPr>
      <w:r w:rsidRPr="00A304CF">
        <w:t xml:space="preserve">(ii) </w:t>
      </w:r>
      <w:r w:rsidR="004C3AEC" w:rsidRPr="00A304CF">
        <w:t>has not included a statement in the certificate that the document or information must only be disclosed to the Tribunal; or”.</w:t>
      </w:r>
    </w:p>
    <w:p w14:paraId="0C01CACF" w14:textId="77777777" w:rsidR="00151BAA" w:rsidRPr="00A304CF" w:rsidRDefault="00211114" w:rsidP="00211114">
      <w:pPr>
        <w:pStyle w:val="Bodytext20"/>
        <w:shd w:val="clear" w:color="auto" w:fill="auto"/>
        <w:spacing w:before="120" w:line="240" w:lineRule="auto"/>
        <w:jc w:val="both"/>
        <w:rPr>
          <w:sz w:val="22"/>
        </w:rPr>
      </w:pPr>
      <w:r>
        <w:rPr>
          <w:sz w:val="22"/>
        </w:rPr>
        <w:t xml:space="preserve">30. </w:t>
      </w:r>
      <w:r w:rsidR="004C3AEC" w:rsidRPr="00A304CF">
        <w:rPr>
          <w:sz w:val="22"/>
        </w:rPr>
        <w:t>Paragraph 376(l)(b):</w:t>
      </w:r>
    </w:p>
    <w:p w14:paraId="3BCE23F7" w14:textId="77777777" w:rsidR="00151BAA" w:rsidRPr="00A304CF" w:rsidRDefault="004C3AEC" w:rsidP="00A304CF">
      <w:pPr>
        <w:pStyle w:val="BodyText1"/>
        <w:shd w:val="clear" w:color="auto" w:fill="auto"/>
        <w:spacing w:before="120" w:line="240" w:lineRule="auto"/>
        <w:ind w:firstLine="270"/>
        <w:jc w:val="both"/>
      </w:pPr>
      <w:r w:rsidRPr="00A304CF">
        <w:t>Add at the end:</w:t>
      </w:r>
    </w:p>
    <w:p w14:paraId="6E46A07B" w14:textId="77777777" w:rsidR="00151BAA" w:rsidRPr="00A304CF" w:rsidRDefault="004C3AEC" w:rsidP="00A304CF">
      <w:pPr>
        <w:pStyle w:val="BodyText1"/>
        <w:shd w:val="clear" w:color="auto" w:fill="auto"/>
        <w:spacing w:before="120" w:line="240" w:lineRule="auto"/>
        <w:ind w:firstLine="0"/>
        <w:jc w:val="both"/>
      </w:pPr>
      <w:r w:rsidRPr="00A304CF">
        <w:t>“and section 375A does not apply to the document or information”.</w:t>
      </w:r>
    </w:p>
    <w:p w14:paraId="26878226" w14:textId="77777777" w:rsidR="00151BAA" w:rsidRPr="00A304CF" w:rsidRDefault="00211114" w:rsidP="00211114">
      <w:pPr>
        <w:pStyle w:val="Bodytext20"/>
        <w:shd w:val="clear" w:color="auto" w:fill="auto"/>
        <w:spacing w:before="120" w:line="240" w:lineRule="auto"/>
        <w:jc w:val="both"/>
        <w:rPr>
          <w:sz w:val="22"/>
        </w:rPr>
      </w:pPr>
      <w:r>
        <w:rPr>
          <w:sz w:val="22"/>
        </w:rPr>
        <w:t xml:space="preserve">31. </w:t>
      </w:r>
      <w:r w:rsidR="004C3AEC" w:rsidRPr="00A304CF">
        <w:rPr>
          <w:sz w:val="22"/>
        </w:rPr>
        <w:t>Paragraph 376(3)(b):</w:t>
      </w:r>
    </w:p>
    <w:p w14:paraId="3798C233" w14:textId="77777777" w:rsidR="00151BAA" w:rsidRPr="00A304CF" w:rsidRDefault="004C3AEC" w:rsidP="00A304CF">
      <w:pPr>
        <w:pStyle w:val="BodyText1"/>
        <w:shd w:val="clear" w:color="auto" w:fill="auto"/>
        <w:spacing w:before="120" w:line="240" w:lineRule="auto"/>
        <w:ind w:firstLine="270"/>
        <w:jc w:val="both"/>
      </w:pPr>
      <w:r w:rsidRPr="00A304CF">
        <w:t>Add at the end “or to any other person who has given oral or written evidence to the Tribunal”.</w:t>
      </w:r>
    </w:p>
    <w:p w14:paraId="7A5EE28F" w14:textId="77777777" w:rsidR="00151BAA" w:rsidRPr="00A304CF" w:rsidRDefault="00211114" w:rsidP="00211114">
      <w:pPr>
        <w:pStyle w:val="Bodytext20"/>
        <w:shd w:val="clear" w:color="auto" w:fill="auto"/>
        <w:spacing w:before="120" w:line="240" w:lineRule="auto"/>
        <w:jc w:val="both"/>
        <w:rPr>
          <w:sz w:val="22"/>
        </w:rPr>
      </w:pPr>
      <w:r>
        <w:rPr>
          <w:sz w:val="22"/>
        </w:rPr>
        <w:t xml:space="preserve">32. </w:t>
      </w:r>
      <w:r w:rsidR="004C3AEC" w:rsidRPr="00A304CF">
        <w:rPr>
          <w:sz w:val="22"/>
        </w:rPr>
        <w:t>Subsection 381(3):</w:t>
      </w:r>
    </w:p>
    <w:p w14:paraId="25268575" w14:textId="77777777" w:rsidR="00151BAA" w:rsidRPr="00A304CF" w:rsidRDefault="004C3AEC" w:rsidP="00A304CF">
      <w:pPr>
        <w:pStyle w:val="BodyText1"/>
        <w:shd w:val="clear" w:color="auto" w:fill="auto"/>
        <w:spacing w:before="120" w:line="240" w:lineRule="auto"/>
        <w:ind w:firstLine="270"/>
        <w:jc w:val="both"/>
      </w:pPr>
      <w:r w:rsidRPr="00A304CF">
        <w:t>Omit “The following material”, substitute “Subject to paragraph 375A(2)(b), the following material”.</w:t>
      </w:r>
    </w:p>
    <w:p w14:paraId="51DA9692" w14:textId="77777777" w:rsidR="00151BAA" w:rsidRPr="00A304CF" w:rsidRDefault="00211114" w:rsidP="00211114">
      <w:pPr>
        <w:pStyle w:val="Bodytext20"/>
        <w:shd w:val="clear" w:color="auto" w:fill="auto"/>
        <w:spacing w:before="120" w:line="240" w:lineRule="auto"/>
        <w:jc w:val="both"/>
        <w:rPr>
          <w:sz w:val="22"/>
        </w:rPr>
      </w:pPr>
      <w:r>
        <w:rPr>
          <w:sz w:val="22"/>
        </w:rPr>
        <w:t xml:space="preserve">33. </w:t>
      </w:r>
      <w:r w:rsidR="004C3AEC" w:rsidRPr="00A304CF">
        <w:rPr>
          <w:sz w:val="22"/>
        </w:rPr>
        <w:t>Paragraph 388(a):</w:t>
      </w:r>
    </w:p>
    <w:p w14:paraId="49CF3A4D" w14:textId="5056330D" w:rsidR="00ED172C" w:rsidRPr="00A304CF" w:rsidRDefault="004C3AEC" w:rsidP="00A304CF">
      <w:pPr>
        <w:pStyle w:val="BodyText1"/>
        <w:shd w:val="clear" w:color="auto" w:fill="auto"/>
        <w:spacing w:before="120" w:line="240" w:lineRule="auto"/>
        <w:ind w:firstLine="270"/>
        <w:jc w:val="both"/>
      </w:pPr>
      <w:r w:rsidRPr="00A304CF">
        <w:t xml:space="preserve">Omit “The Principal Member”, substitute “Subject to paragraph 375A(2)(b) of the </w:t>
      </w:r>
      <w:r w:rsidRPr="00A304CF">
        <w:rPr>
          <w:rStyle w:val="BodytextItalic"/>
        </w:rPr>
        <w:t>Migration Act 1958</w:t>
      </w:r>
      <w:r w:rsidRPr="00F5596F">
        <w:rPr>
          <w:rStyle w:val="BodytextItalic"/>
          <w:i w:val="0"/>
        </w:rPr>
        <w:t>,</w:t>
      </w:r>
      <w:r w:rsidRPr="00F5596F">
        <w:rPr>
          <w:i/>
        </w:rPr>
        <w:t xml:space="preserve"> </w:t>
      </w:r>
      <w:r w:rsidRPr="00A304CF">
        <w:t>the Principal Member”.</w:t>
      </w:r>
    </w:p>
    <w:p w14:paraId="2DFC7EF4" w14:textId="77777777" w:rsidR="00ED172C" w:rsidRPr="00A304CF" w:rsidRDefault="00ED172C"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4A9F2E75" w14:textId="77777777" w:rsidR="00151BAA" w:rsidRPr="00A304CF" w:rsidRDefault="004C3AEC" w:rsidP="00A304CF">
      <w:pPr>
        <w:pStyle w:val="BodyText1"/>
        <w:shd w:val="clear" w:color="auto" w:fill="auto"/>
        <w:spacing w:line="240" w:lineRule="auto"/>
        <w:ind w:firstLine="0"/>
        <w:jc w:val="center"/>
      </w:pPr>
      <w:r w:rsidRPr="00A304CF">
        <w:rPr>
          <w:rStyle w:val="BodytextBold"/>
        </w:rPr>
        <w:lastRenderedPageBreak/>
        <w:t>SCHEDULE 1</w:t>
      </w:r>
      <w:r w:rsidRPr="00A304CF">
        <w:t>—continued</w:t>
      </w:r>
    </w:p>
    <w:p w14:paraId="57C613D9" w14:textId="77777777" w:rsidR="00151BAA" w:rsidRPr="00A304CF" w:rsidRDefault="002C6FEB" w:rsidP="002C6FEB">
      <w:pPr>
        <w:pStyle w:val="Bodytext20"/>
        <w:shd w:val="clear" w:color="auto" w:fill="auto"/>
        <w:spacing w:before="120" w:line="240" w:lineRule="auto"/>
        <w:jc w:val="both"/>
        <w:rPr>
          <w:b w:val="0"/>
          <w:sz w:val="22"/>
        </w:rPr>
      </w:pPr>
      <w:r>
        <w:rPr>
          <w:rStyle w:val="BodytextBold"/>
          <w:b/>
        </w:rPr>
        <w:t xml:space="preserve">34. </w:t>
      </w:r>
      <w:r w:rsidR="004C3AEC" w:rsidRPr="00A304CF">
        <w:rPr>
          <w:rStyle w:val="BodytextBold"/>
          <w:b/>
        </w:rPr>
        <w:t>Subsection 398(1):</w:t>
      </w:r>
    </w:p>
    <w:p w14:paraId="64F44166" w14:textId="77777777" w:rsidR="00151BAA" w:rsidRPr="00A304CF" w:rsidRDefault="004C3AEC" w:rsidP="00A304CF">
      <w:pPr>
        <w:pStyle w:val="BodyText1"/>
        <w:shd w:val="clear" w:color="auto" w:fill="auto"/>
        <w:spacing w:before="120" w:line="240" w:lineRule="auto"/>
        <w:ind w:firstLine="270"/>
        <w:jc w:val="both"/>
      </w:pPr>
      <w:r w:rsidRPr="00A304CF">
        <w:t>Omit “The Principal Member shall”, substitute “A member is to”.</w:t>
      </w:r>
    </w:p>
    <w:p w14:paraId="097DD088" w14:textId="77777777" w:rsidR="00151BAA" w:rsidRPr="00A304CF" w:rsidRDefault="002C6FEB" w:rsidP="002C6FEB">
      <w:pPr>
        <w:pStyle w:val="Bodytext20"/>
        <w:shd w:val="clear" w:color="auto" w:fill="auto"/>
        <w:spacing w:before="120" w:line="240" w:lineRule="auto"/>
        <w:jc w:val="both"/>
        <w:rPr>
          <w:b w:val="0"/>
          <w:sz w:val="22"/>
        </w:rPr>
      </w:pPr>
      <w:r>
        <w:rPr>
          <w:rStyle w:val="BodytextBold"/>
          <w:b/>
        </w:rPr>
        <w:t xml:space="preserve">35. </w:t>
      </w:r>
      <w:r w:rsidR="004C3AEC" w:rsidRPr="00A304CF">
        <w:rPr>
          <w:rStyle w:val="BodytextBold"/>
          <w:b/>
        </w:rPr>
        <w:t>Subsection 398(2):</w:t>
      </w:r>
    </w:p>
    <w:p w14:paraId="3AB5A927" w14:textId="77777777" w:rsidR="00151BAA" w:rsidRPr="00A304CF" w:rsidRDefault="004C3AEC" w:rsidP="00A304CF">
      <w:pPr>
        <w:pStyle w:val="BodyText1"/>
        <w:shd w:val="clear" w:color="auto" w:fill="auto"/>
        <w:spacing w:before="120" w:line="240" w:lineRule="auto"/>
        <w:ind w:firstLine="270"/>
        <w:jc w:val="both"/>
      </w:pPr>
      <w:r w:rsidRPr="00A304CF">
        <w:t>Omit “the remuneration of the Principal Member”, substitute “a member’s remuneration”.</w:t>
      </w:r>
    </w:p>
    <w:p w14:paraId="66271C66" w14:textId="77777777" w:rsidR="00151BAA" w:rsidRPr="00A304CF" w:rsidRDefault="002C6FEB" w:rsidP="002C6FEB">
      <w:pPr>
        <w:pStyle w:val="Bodytext20"/>
        <w:shd w:val="clear" w:color="auto" w:fill="auto"/>
        <w:spacing w:before="120" w:line="240" w:lineRule="auto"/>
        <w:jc w:val="both"/>
        <w:rPr>
          <w:sz w:val="22"/>
        </w:rPr>
      </w:pPr>
      <w:r>
        <w:t xml:space="preserve">36. </w:t>
      </w:r>
      <w:r w:rsidR="004C3AEC" w:rsidRPr="00A304CF">
        <w:rPr>
          <w:sz w:val="22"/>
        </w:rPr>
        <w:t>Subsection 398(2):</w:t>
      </w:r>
    </w:p>
    <w:p w14:paraId="05797017" w14:textId="77777777" w:rsidR="00151BAA" w:rsidRPr="00A304CF" w:rsidRDefault="004C3AEC" w:rsidP="00A304CF">
      <w:pPr>
        <w:pStyle w:val="BodyText1"/>
        <w:shd w:val="clear" w:color="auto" w:fill="auto"/>
        <w:spacing w:before="120" w:line="240" w:lineRule="auto"/>
        <w:ind w:firstLine="270"/>
        <w:jc w:val="both"/>
      </w:pPr>
      <w:r w:rsidRPr="00A304CF">
        <w:t>Omit “Principal Member shall be”, substitute “member is to be”.</w:t>
      </w:r>
    </w:p>
    <w:p w14:paraId="1ECDDF93" w14:textId="77777777" w:rsidR="00151BAA" w:rsidRPr="00A304CF" w:rsidRDefault="002C6FEB" w:rsidP="002C6FEB">
      <w:pPr>
        <w:pStyle w:val="Bodytext20"/>
        <w:shd w:val="clear" w:color="auto" w:fill="auto"/>
        <w:spacing w:before="120" w:line="240" w:lineRule="auto"/>
        <w:jc w:val="both"/>
        <w:rPr>
          <w:b w:val="0"/>
          <w:sz w:val="22"/>
        </w:rPr>
      </w:pPr>
      <w:r>
        <w:rPr>
          <w:rStyle w:val="BodytextBold"/>
          <w:b/>
        </w:rPr>
        <w:t xml:space="preserve">37. </w:t>
      </w:r>
      <w:r w:rsidR="004C3AEC" w:rsidRPr="00A304CF">
        <w:rPr>
          <w:rStyle w:val="BodytextBold"/>
          <w:b/>
        </w:rPr>
        <w:t>Section 399:</w:t>
      </w:r>
    </w:p>
    <w:p w14:paraId="5B06CD3D" w14:textId="77777777" w:rsidR="00151BAA" w:rsidRPr="00A304CF" w:rsidRDefault="004C3AEC" w:rsidP="00A304CF">
      <w:pPr>
        <w:pStyle w:val="BodyText1"/>
        <w:shd w:val="clear" w:color="auto" w:fill="auto"/>
        <w:spacing w:before="120" w:line="240" w:lineRule="auto"/>
        <w:ind w:firstLine="270"/>
        <w:jc w:val="both"/>
      </w:pPr>
      <w:r w:rsidRPr="00A304CF">
        <w:t>Repeal the section.</w:t>
      </w:r>
    </w:p>
    <w:p w14:paraId="2EFC77E6" w14:textId="77777777" w:rsidR="00151BAA" w:rsidRPr="00A304CF" w:rsidRDefault="002C6FEB" w:rsidP="002C6FEB">
      <w:pPr>
        <w:pStyle w:val="Bodytext20"/>
        <w:shd w:val="clear" w:color="auto" w:fill="auto"/>
        <w:spacing w:before="120" w:line="240" w:lineRule="auto"/>
        <w:jc w:val="both"/>
        <w:rPr>
          <w:b w:val="0"/>
          <w:sz w:val="22"/>
        </w:rPr>
      </w:pPr>
      <w:r>
        <w:rPr>
          <w:rStyle w:val="BodytextBold"/>
          <w:b/>
        </w:rPr>
        <w:t xml:space="preserve">38. </w:t>
      </w:r>
      <w:r w:rsidR="004C3AEC" w:rsidRPr="00A304CF">
        <w:rPr>
          <w:rStyle w:val="BodytextBold"/>
          <w:b/>
        </w:rPr>
        <w:t>Section 410:</w:t>
      </w:r>
    </w:p>
    <w:p w14:paraId="26908B1F" w14:textId="77777777" w:rsidR="00151BAA" w:rsidRPr="00A304CF" w:rsidRDefault="004C3AEC" w:rsidP="00A304CF">
      <w:pPr>
        <w:pStyle w:val="BodyText1"/>
        <w:shd w:val="clear" w:color="auto" w:fill="auto"/>
        <w:spacing w:before="120" w:line="240" w:lineRule="auto"/>
        <w:ind w:firstLine="270"/>
        <w:jc w:val="both"/>
      </w:pPr>
      <w:r w:rsidRPr="00A304CF">
        <w:t>Insert:</w:t>
      </w:r>
    </w:p>
    <w:p w14:paraId="1235F291" w14:textId="32EB7EBB" w:rsidR="00151BAA" w:rsidRPr="00A304CF" w:rsidRDefault="004C3AEC" w:rsidP="00A304CF">
      <w:pPr>
        <w:pStyle w:val="BodyText1"/>
        <w:shd w:val="clear" w:color="auto" w:fill="auto"/>
        <w:spacing w:before="120" w:line="240" w:lineRule="auto"/>
        <w:ind w:firstLine="0"/>
        <w:jc w:val="both"/>
      </w:pPr>
      <w:r w:rsidRPr="00F5596F">
        <w:t>“</w:t>
      </w:r>
      <w:r w:rsidRPr="00A304CF">
        <w:rPr>
          <w:b/>
        </w:rPr>
        <w:t xml:space="preserve"> ‘Deputy Principal Member’</w:t>
      </w:r>
      <w:r w:rsidRPr="00A304CF">
        <w:t xml:space="preserve"> means the Deputy Principal Member of the Tribunal;”.</w:t>
      </w:r>
    </w:p>
    <w:p w14:paraId="3AA75109" w14:textId="77777777" w:rsidR="00151BAA" w:rsidRPr="00A304CF" w:rsidRDefault="002C6FEB" w:rsidP="002C6FEB">
      <w:pPr>
        <w:pStyle w:val="Bodytext20"/>
        <w:shd w:val="clear" w:color="auto" w:fill="auto"/>
        <w:spacing w:before="120" w:line="240" w:lineRule="auto"/>
        <w:jc w:val="both"/>
        <w:rPr>
          <w:b w:val="0"/>
          <w:sz w:val="22"/>
        </w:rPr>
      </w:pPr>
      <w:r>
        <w:rPr>
          <w:rStyle w:val="BodytextBold"/>
          <w:b/>
        </w:rPr>
        <w:t xml:space="preserve">39. </w:t>
      </w:r>
      <w:r w:rsidR="004C3AEC" w:rsidRPr="00A304CF">
        <w:rPr>
          <w:rStyle w:val="BodytextBold"/>
          <w:b/>
        </w:rPr>
        <w:t>Paragraph 458(b):</w:t>
      </w:r>
    </w:p>
    <w:p w14:paraId="3FDC8E20" w14:textId="77777777" w:rsidR="00151BAA" w:rsidRPr="00A304CF" w:rsidRDefault="004C3AEC" w:rsidP="00A304CF">
      <w:pPr>
        <w:pStyle w:val="BodyText1"/>
        <w:shd w:val="clear" w:color="auto" w:fill="auto"/>
        <w:spacing w:before="120" w:line="240" w:lineRule="auto"/>
        <w:ind w:firstLine="270"/>
        <w:jc w:val="both"/>
      </w:pPr>
      <w:r w:rsidRPr="00A304CF">
        <w:t>Omit the paragraph, substitute:</w:t>
      </w:r>
    </w:p>
    <w:p w14:paraId="0B4542E3" w14:textId="77777777" w:rsidR="00151BAA" w:rsidRPr="00A304CF" w:rsidRDefault="004C3AEC" w:rsidP="00A304CF">
      <w:pPr>
        <w:pStyle w:val="BodyText1"/>
        <w:shd w:val="clear" w:color="auto" w:fill="auto"/>
        <w:spacing w:before="120" w:line="240" w:lineRule="auto"/>
        <w:ind w:firstLine="270"/>
        <w:jc w:val="both"/>
      </w:pPr>
      <w:r w:rsidRPr="00A304CF">
        <w:t>“(b) a Deputy Principal Member; and</w:t>
      </w:r>
    </w:p>
    <w:p w14:paraId="7B23A919" w14:textId="77777777" w:rsidR="00151BAA" w:rsidRPr="00A304CF" w:rsidRDefault="0032675A" w:rsidP="00A304CF">
      <w:pPr>
        <w:pStyle w:val="BodyText1"/>
        <w:shd w:val="clear" w:color="auto" w:fill="auto"/>
        <w:tabs>
          <w:tab w:val="left" w:pos="729"/>
        </w:tabs>
        <w:spacing w:before="120" w:line="240" w:lineRule="auto"/>
        <w:ind w:left="720" w:hanging="360"/>
        <w:jc w:val="both"/>
      </w:pPr>
      <w:r w:rsidRPr="00A304CF">
        <w:t xml:space="preserve">(c) </w:t>
      </w:r>
      <w:r w:rsidR="004C3AEC" w:rsidRPr="00A304CF">
        <w:t>such number of Senior Members and other members as are appointed in accordance with this Act.”.</w:t>
      </w:r>
    </w:p>
    <w:p w14:paraId="221B0B7C" w14:textId="77777777" w:rsidR="00151BAA" w:rsidRPr="00A304CF" w:rsidRDefault="002C6FEB" w:rsidP="002C6FEB">
      <w:pPr>
        <w:pStyle w:val="Bodytext20"/>
        <w:shd w:val="clear" w:color="auto" w:fill="auto"/>
        <w:spacing w:before="120" w:line="240" w:lineRule="auto"/>
        <w:jc w:val="both"/>
        <w:rPr>
          <w:b w:val="0"/>
          <w:sz w:val="22"/>
        </w:rPr>
      </w:pPr>
      <w:r>
        <w:rPr>
          <w:rStyle w:val="BodytextBold"/>
          <w:b/>
        </w:rPr>
        <w:t xml:space="preserve">40. </w:t>
      </w:r>
      <w:r w:rsidR="004C3AEC" w:rsidRPr="00A304CF">
        <w:rPr>
          <w:rStyle w:val="BodytextBold"/>
          <w:b/>
        </w:rPr>
        <w:t>Section 458:</w:t>
      </w:r>
    </w:p>
    <w:p w14:paraId="02946101" w14:textId="77777777" w:rsidR="00151BAA" w:rsidRPr="00A304CF" w:rsidRDefault="004C3AEC" w:rsidP="00A304CF">
      <w:pPr>
        <w:pStyle w:val="BodyText1"/>
        <w:shd w:val="clear" w:color="auto" w:fill="auto"/>
        <w:spacing w:before="120" w:line="240" w:lineRule="auto"/>
        <w:ind w:firstLine="270"/>
        <w:jc w:val="both"/>
      </w:pPr>
      <w:r w:rsidRPr="00A304CF">
        <w:t>Add at the end:</w:t>
      </w:r>
    </w:p>
    <w:p w14:paraId="115A0562" w14:textId="427E1B7D" w:rsidR="00151BAA" w:rsidRPr="00A304CF" w:rsidRDefault="004C3AEC" w:rsidP="00A304CF">
      <w:pPr>
        <w:pStyle w:val="BodyText1"/>
        <w:shd w:val="clear" w:color="auto" w:fill="auto"/>
        <w:spacing w:before="120" w:line="240" w:lineRule="auto"/>
        <w:ind w:firstLine="270"/>
        <w:jc w:val="both"/>
      </w:pPr>
      <w:r w:rsidRPr="00A304CF">
        <w:t>“(2) The total number of persons appointed under paragraphs (</w:t>
      </w:r>
      <w:r w:rsidR="00F5596F">
        <w:t>1</w:t>
      </w:r>
      <w:r w:rsidRPr="00A304CF">
        <w:t>)(b) and (</w:t>
      </w:r>
      <w:r w:rsidR="00F5596F">
        <w:t>1</w:t>
      </w:r>
      <w:r w:rsidRPr="00A304CF">
        <w:t>)(c) must not exceed the prescribed number.”.</w:t>
      </w:r>
    </w:p>
    <w:p w14:paraId="458D45EA" w14:textId="77777777" w:rsidR="00151BAA" w:rsidRPr="00A304CF" w:rsidRDefault="002C6FEB" w:rsidP="002C6FEB">
      <w:pPr>
        <w:pStyle w:val="Bodytext20"/>
        <w:shd w:val="clear" w:color="auto" w:fill="auto"/>
        <w:spacing w:before="120" w:line="240" w:lineRule="auto"/>
        <w:jc w:val="both"/>
        <w:rPr>
          <w:b w:val="0"/>
          <w:sz w:val="22"/>
        </w:rPr>
      </w:pPr>
      <w:r>
        <w:rPr>
          <w:rStyle w:val="BodytextBold"/>
          <w:b/>
        </w:rPr>
        <w:t xml:space="preserve">41. </w:t>
      </w:r>
      <w:r w:rsidR="004C3AEC" w:rsidRPr="00A304CF">
        <w:rPr>
          <w:rStyle w:val="BodytextBold"/>
          <w:b/>
        </w:rPr>
        <w:t>Subsection 462(1):</w:t>
      </w:r>
    </w:p>
    <w:p w14:paraId="57BFED29" w14:textId="77777777" w:rsidR="00151BAA" w:rsidRPr="00A304CF" w:rsidRDefault="004C3AEC" w:rsidP="00A304CF">
      <w:pPr>
        <w:pStyle w:val="BodyText1"/>
        <w:shd w:val="clear" w:color="auto" w:fill="auto"/>
        <w:spacing w:before="120" w:line="240" w:lineRule="auto"/>
        <w:ind w:firstLine="270"/>
        <w:jc w:val="both"/>
      </w:pPr>
      <w:r w:rsidRPr="00A304CF">
        <w:t>Omit “The Principal Member”, substitute “A member”.</w:t>
      </w:r>
    </w:p>
    <w:p w14:paraId="78FA1ED9" w14:textId="77777777" w:rsidR="00151BAA" w:rsidRPr="00A304CF" w:rsidRDefault="002C6FEB" w:rsidP="002C6FEB">
      <w:pPr>
        <w:pStyle w:val="Bodytext20"/>
        <w:shd w:val="clear" w:color="auto" w:fill="auto"/>
        <w:spacing w:before="120" w:line="240" w:lineRule="auto"/>
        <w:jc w:val="both"/>
        <w:rPr>
          <w:sz w:val="22"/>
        </w:rPr>
      </w:pPr>
      <w:r>
        <w:t xml:space="preserve">42. </w:t>
      </w:r>
      <w:r w:rsidR="004C3AEC" w:rsidRPr="00A304CF">
        <w:rPr>
          <w:sz w:val="22"/>
        </w:rPr>
        <w:t>Subsection 462(1):</w:t>
      </w:r>
    </w:p>
    <w:p w14:paraId="2E7E6CAF" w14:textId="77777777" w:rsidR="00151BAA" w:rsidRPr="00A304CF" w:rsidRDefault="004C3AEC" w:rsidP="00A304CF">
      <w:pPr>
        <w:pStyle w:val="BodyText1"/>
        <w:shd w:val="clear" w:color="auto" w:fill="auto"/>
        <w:spacing w:before="120" w:line="240" w:lineRule="auto"/>
        <w:ind w:firstLine="270"/>
        <w:jc w:val="both"/>
      </w:pPr>
      <w:r w:rsidRPr="00A304CF">
        <w:t>Omit “Principal Member” (last occurring), substitute “member”.</w:t>
      </w:r>
    </w:p>
    <w:p w14:paraId="431C472C" w14:textId="77777777" w:rsidR="00151BAA" w:rsidRPr="00A304CF" w:rsidRDefault="002C6FEB" w:rsidP="002C6FEB">
      <w:pPr>
        <w:pStyle w:val="Bodytext20"/>
        <w:shd w:val="clear" w:color="auto" w:fill="auto"/>
        <w:spacing w:before="120" w:line="240" w:lineRule="auto"/>
        <w:jc w:val="both"/>
        <w:rPr>
          <w:b w:val="0"/>
          <w:sz w:val="22"/>
        </w:rPr>
      </w:pPr>
      <w:r>
        <w:rPr>
          <w:rStyle w:val="BodytextBold"/>
          <w:b/>
        </w:rPr>
        <w:t xml:space="preserve">43. </w:t>
      </w:r>
      <w:r w:rsidR="004C3AEC" w:rsidRPr="00A304CF">
        <w:rPr>
          <w:rStyle w:val="BodytextBold"/>
          <w:b/>
        </w:rPr>
        <w:t>Subsection 462(2):</w:t>
      </w:r>
    </w:p>
    <w:p w14:paraId="2EE33568" w14:textId="77777777" w:rsidR="00151BAA" w:rsidRPr="00A304CF" w:rsidRDefault="004C3AEC" w:rsidP="00A304CF">
      <w:pPr>
        <w:pStyle w:val="BodyText1"/>
        <w:shd w:val="clear" w:color="auto" w:fill="auto"/>
        <w:spacing w:before="120" w:line="240" w:lineRule="auto"/>
        <w:ind w:firstLine="270"/>
        <w:jc w:val="both"/>
      </w:pPr>
      <w:r w:rsidRPr="00A304CF">
        <w:t>Omit “The Principal Member”, substitute “A member”.</w:t>
      </w:r>
    </w:p>
    <w:p w14:paraId="5D84A920" w14:textId="77777777" w:rsidR="00151BAA" w:rsidRPr="00A304CF" w:rsidRDefault="002C6FEB" w:rsidP="002C6FEB">
      <w:pPr>
        <w:pStyle w:val="Bodytext20"/>
        <w:shd w:val="clear" w:color="auto" w:fill="auto"/>
        <w:spacing w:before="120" w:line="240" w:lineRule="auto"/>
        <w:jc w:val="both"/>
        <w:rPr>
          <w:b w:val="0"/>
          <w:sz w:val="22"/>
        </w:rPr>
      </w:pPr>
      <w:r>
        <w:rPr>
          <w:rStyle w:val="BodytextBold"/>
          <w:b/>
        </w:rPr>
        <w:t xml:space="preserve">44. </w:t>
      </w:r>
      <w:r w:rsidR="004C3AEC" w:rsidRPr="00A304CF">
        <w:rPr>
          <w:rStyle w:val="BodytextBold"/>
          <w:b/>
        </w:rPr>
        <w:t>Section 463:</w:t>
      </w:r>
    </w:p>
    <w:p w14:paraId="4559225E" w14:textId="77777777" w:rsidR="0032675A" w:rsidRPr="00A304CF" w:rsidRDefault="004C3AEC" w:rsidP="00A304CF">
      <w:pPr>
        <w:pStyle w:val="BodyText1"/>
        <w:shd w:val="clear" w:color="auto" w:fill="auto"/>
        <w:spacing w:before="120" w:line="240" w:lineRule="auto"/>
        <w:ind w:firstLine="270"/>
        <w:jc w:val="both"/>
      </w:pPr>
      <w:r w:rsidRPr="00A304CF">
        <w:t>Repeal the section.</w:t>
      </w:r>
    </w:p>
    <w:p w14:paraId="07883FA7" w14:textId="77777777" w:rsidR="0032675A" w:rsidRPr="00A304CF" w:rsidRDefault="0032675A"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10FE926F" w14:textId="77777777" w:rsidR="00151BAA" w:rsidRPr="00A304CF" w:rsidRDefault="004C3AEC" w:rsidP="00A304CF">
      <w:pPr>
        <w:pStyle w:val="BodyText1"/>
        <w:shd w:val="clear" w:color="auto" w:fill="auto"/>
        <w:spacing w:line="240" w:lineRule="auto"/>
        <w:ind w:firstLine="0"/>
        <w:jc w:val="center"/>
      </w:pPr>
      <w:r w:rsidRPr="00A304CF">
        <w:rPr>
          <w:rStyle w:val="BodytextBold"/>
        </w:rPr>
        <w:lastRenderedPageBreak/>
        <w:t>SCHEDULE 1</w:t>
      </w:r>
      <w:r w:rsidRPr="00A304CF">
        <w:t>—continued</w:t>
      </w:r>
    </w:p>
    <w:p w14:paraId="1144589C" w14:textId="77777777" w:rsidR="00151BAA" w:rsidRPr="00A304CF" w:rsidRDefault="00D70D1D" w:rsidP="00D70D1D">
      <w:pPr>
        <w:pStyle w:val="Bodytext20"/>
        <w:shd w:val="clear" w:color="auto" w:fill="auto"/>
        <w:spacing w:before="120" w:line="240" w:lineRule="auto"/>
        <w:jc w:val="both"/>
        <w:rPr>
          <w:sz w:val="22"/>
        </w:rPr>
      </w:pPr>
      <w:r>
        <w:rPr>
          <w:sz w:val="22"/>
        </w:rPr>
        <w:t>45.</w:t>
      </w:r>
      <w:r w:rsidR="002C2E5B" w:rsidRPr="00A304CF">
        <w:rPr>
          <w:sz w:val="22"/>
        </w:rPr>
        <w:t xml:space="preserve"> </w:t>
      </w:r>
      <w:r w:rsidR="004C3AEC" w:rsidRPr="00A304CF">
        <w:rPr>
          <w:sz w:val="22"/>
        </w:rPr>
        <w:t>After subsection 469(1):</w:t>
      </w:r>
    </w:p>
    <w:p w14:paraId="06081990" w14:textId="77777777" w:rsidR="00151BAA" w:rsidRPr="00A304CF" w:rsidRDefault="004C3AEC" w:rsidP="00A304CF">
      <w:pPr>
        <w:pStyle w:val="BodyText1"/>
        <w:shd w:val="clear" w:color="auto" w:fill="auto"/>
        <w:spacing w:before="120" w:line="240" w:lineRule="auto"/>
        <w:ind w:firstLine="270"/>
        <w:jc w:val="both"/>
      </w:pPr>
      <w:r w:rsidRPr="00A304CF">
        <w:t>Insert:</w:t>
      </w:r>
    </w:p>
    <w:p w14:paraId="7FC96853" w14:textId="77777777" w:rsidR="00151BAA" w:rsidRPr="00A304CF" w:rsidRDefault="00D70D1D" w:rsidP="00A304CF">
      <w:pPr>
        <w:pStyle w:val="BodyText1"/>
        <w:shd w:val="clear" w:color="auto" w:fill="auto"/>
        <w:spacing w:before="120" w:line="240" w:lineRule="auto"/>
        <w:ind w:firstLine="270"/>
        <w:jc w:val="both"/>
      </w:pPr>
      <w:r>
        <w:t>“(1</w:t>
      </w:r>
      <w:r w:rsidR="004C3AEC" w:rsidRPr="00A304CF">
        <w:t>A) The Minister may appoint a person to act in the office of Deputy Principal Member:</w:t>
      </w:r>
    </w:p>
    <w:p w14:paraId="6CB42F23" w14:textId="77777777" w:rsidR="00151BAA" w:rsidRPr="00A304CF" w:rsidRDefault="002C2E5B" w:rsidP="00A304CF">
      <w:pPr>
        <w:pStyle w:val="BodyText1"/>
        <w:shd w:val="clear" w:color="auto" w:fill="auto"/>
        <w:spacing w:before="120" w:line="240" w:lineRule="auto"/>
        <w:ind w:left="603" w:hanging="333"/>
        <w:jc w:val="both"/>
      </w:pPr>
      <w:r w:rsidRPr="00A304CF">
        <w:t xml:space="preserve">(a) </w:t>
      </w:r>
      <w:r w:rsidR="004C3AEC" w:rsidRPr="00A304CF">
        <w:t>during a vacancy in the office, whether or not an appointment has previously been made to the office; or</w:t>
      </w:r>
    </w:p>
    <w:p w14:paraId="57813CA3" w14:textId="77777777" w:rsidR="00151BAA" w:rsidRPr="00A304CF" w:rsidRDefault="002C2E5B" w:rsidP="00A304CF">
      <w:pPr>
        <w:pStyle w:val="BodyText1"/>
        <w:shd w:val="clear" w:color="auto" w:fill="auto"/>
        <w:spacing w:before="120" w:line="240" w:lineRule="auto"/>
        <w:ind w:left="576" w:hanging="306"/>
        <w:jc w:val="both"/>
      </w:pPr>
      <w:r w:rsidRPr="00A304CF">
        <w:t xml:space="preserve">(b) </w:t>
      </w:r>
      <w:r w:rsidR="004C3AEC" w:rsidRPr="00A304CF">
        <w:t>during any period, or during all periods, when the Deputy Principal Member is absent from duty or from Australia or is, for any reason, unable to perform the duties of the office.”.</w:t>
      </w:r>
    </w:p>
    <w:p w14:paraId="14001AD9" w14:textId="77777777" w:rsidR="00151BAA" w:rsidRPr="00A304CF" w:rsidRDefault="00D70D1D" w:rsidP="00D70D1D">
      <w:pPr>
        <w:pStyle w:val="Bodytext20"/>
        <w:shd w:val="clear" w:color="auto" w:fill="auto"/>
        <w:spacing w:before="120" w:line="240" w:lineRule="auto"/>
        <w:jc w:val="both"/>
        <w:rPr>
          <w:sz w:val="22"/>
        </w:rPr>
      </w:pPr>
      <w:r>
        <w:rPr>
          <w:sz w:val="22"/>
        </w:rPr>
        <w:t xml:space="preserve">46. </w:t>
      </w:r>
      <w:r w:rsidR="004C3AEC" w:rsidRPr="00A304CF">
        <w:rPr>
          <w:sz w:val="22"/>
        </w:rPr>
        <w:t>Subsection 469(2):</w:t>
      </w:r>
    </w:p>
    <w:p w14:paraId="6312C44E" w14:textId="77777777" w:rsidR="00151BAA" w:rsidRPr="00A304CF" w:rsidRDefault="004C3AEC" w:rsidP="00A304CF">
      <w:pPr>
        <w:pStyle w:val="BodyText1"/>
        <w:shd w:val="clear" w:color="auto" w:fill="auto"/>
        <w:spacing w:before="120" w:line="240" w:lineRule="auto"/>
        <w:ind w:firstLine="270"/>
        <w:jc w:val="both"/>
      </w:pPr>
      <w:r w:rsidRPr="00A304CF">
        <w:t>Omit “the office”, substitute “an office”.</w:t>
      </w:r>
    </w:p>
    <w:p w14:paraId="6201DD7E" w14:textId="77777777" w:rsidR="00151BAA" w:rsidRPr="00A304CF" w:rsidRDefault="00D70D1D" w:rsidP="00D70D1D">
      <w:pPr>
        <w:pStyle w:val="Bodytext20"/>
        <w:shd w:val="clear" w:color="auto" w:fill="auto"/>
        <w:spacing w:before="120" w:line="240" w:lineRule="auto"/>
        <w:jc w:val="both"/>
        <w:rPr>
          <w:sz w:val="22"/>
        </w:rPr>
      </w:pPr>
      <w:r>
        <w:rPr>
          <w:sz w:val="22"/>
        </w:rPr>
        <w:t xml:space="preserve">47. </w:t>
      </w:r>
      <w:r w:rsidR="004C3AEC" w:rsidRPr="00A304CF">
        <w:rPr>
          <w:sz w:val="22"/>
        </w:rPr>
        <w:t>Subsection 469(3):</w:t>
      </w:r>
    </w:p>
    <w:p w14:paraId="7C9B1FF5" w14:textId="77777777" w:rsidR="00151BAA" w:rsidRPr="00A304CF" w:rsidRDefault="004C3AEC" w:rsidP="00A304CF">
      <w:pPr>
        <w:pStyle w:val="BodyText1"/>
        <w:shd w:val="clear" w:color="auto" w:fill="auto"/>
        <w:spacing w:before="120" w:line="240" w:lineRule="auto"/>
        <w:ind w:firstLine="270"/>
        <w:jc w:val="both"/>
      </w:pPr>
      <w:r w:rsidRPr="00A304CF">
        <w:t>Omit “the office” (first occurring), substitute “an office”.</w:t>
      </w:r>
    </w:p>
    <w:p w14:paraId="6625FD80" w14:textId="77777777" w:rsidR="00151BAA" w:rsidRPr="00A304CF" w:rsidRDefault="002C2E5B" w:rsidP="00D70D1D">
      <w:pPr>
        <w:pStyle w:val="Bodytext20"/>
        <w:shd w:val="clear" w:color="auto" w:fill="auto"/>
        <w:spacing w:before="120" w:line="240" w:lineRule="auto"/>
        <w:jc w:val="both"/>
        <w:rPr>
          <w:sz w:val="22"/>
        </w:rPr>
      </w:pPr>
      <w:r w:rsidRPr="00A304CF">
        <w:rPr>
          <w:sz w:val="22"/>
        </w:rPr>
        <w:t>48.</w:t>
      </w:r>
      <w:r w:rsidR="00D70D1D" w:rsidRPr="00D70D1D">
        <w:rPr>
          <w:rStyle w:val="BodytextBold0"/>
          <w:b/>
        </w:rPr>
        <w:t xml:space="preserve"> </w:t>
      </w:r>
      <w:r w:rsidR="004C3AEC" w:rsidRPr="00A304CF">
        <w:rPr>
          <w:sz w:val="22"/>
        </w:rPr>
        <w:t>Subsection 469(4):</w:t>
      </w:r>
    </w:p>
    <w:p w14:paraId="5A7B0F4F" w14:textId="77777777" w:rsidR="00151BAA" w:rsidRPr="00A304CF" w:rsidRDefault="004C3AEC" w:rsidP="00A304CF">
      <w:pPr>
        <w:pStyle w:val="BodyText1"/>
        <w:shd w:val="clear" w:color="auto" w:fill="auto"/>
        <w:spacing w:before="120" w:line="240" w:lineRule="auto"/>
        <w:ind w:firstLine="270"/>
        <w:jc w:val="both"/>
      </w:pPr>
      <w:r w:rsidRPr="00A304CF">
        <w:t>Add at the end “concerned”.</w:t>
      </w:r>
    </w:p>
    <w:p w14:paraId="3E07348C" w14:textId="77777777" w:rsidR="00151BAA" w:rsidRPr="00A304CF" w:rsidRDefault="00D70D1D" w:rsidP="00D70D1D">
      <w:pPr>
        <w:pStyle w:val="Bodytext20"/>
        <w:shd w:val="clear" w:color="auto" w:fill="auto"/>
        <w:spacing w:before="120" w:line="240" w:lineRule="auto"/>
        <w:jc w:val="both"/>
        <w:rPr>
          <w:sz w:val="22"/>
        </w:rPr>
      </w:pPr>
      <w:r>
        <w:rPr>
          <w:sz w:val="22"/>
        </w:rPr>
        <w:t xml:space="preserve">49. </w:t>
      </w:r>
      <w:r w:rsidR="004C3AEC" w:rsidRPr="00A304CF">
        <w:rPr>
          <w:sz w:val="22"/>
        </w:rPr>
        <w:t>Paragraph 469(6)(c):</w:t>
      </w:r>
    </w:p>
    <w:p w14:paraId="3577B973" w14:textId="77777777" w:rsidR="00151BAA" w:rsidRPr="00A304CF" w:rsidRDefault="004C3AEC" w:rsidP="00A304CF">
      <w:pPr>
        <w:pStyle w:val="BodyText1"/>
        <w:shd w:val="clear" w:color="auto" w:fill="auto"/>
        <w:spacing w:before="120" w:line="240" w:lineRule="auto"/>
        <w:ind w:firstLine="270"/>
        <w:jc w:val="both"/>
      </w:pPr>
      <w:r w:rsidRPr="00A304CF">
        <w:t>After “holder of the office” insert “concerned”.</w:t>
      </w:r>
    </w:p>
    <w:p w14:paraId="4D123B68" w14:textId="77777777" w:rsidR="00151BAA" w:rsidRPr="00A304CF" w:rsidRDefault="00D70D1D" w:rsidP="00D70D1D">
      <w:pPr>
        <w:pStyle w:val="Bodytext20"/>
        <w:shd w:val="clear" w:color="auto" w:fill="auto"/>
        <w:spacing w:before="120" w:line="240" w:lineRule="auto"/>
        <w:jc w:val="both"/>
        <w:rPr>
          <w:sz w:val="22"/>
        </w:rPr>
      </w:pPr>
      <w:r>
        <w:rPr>
          <w:sz w:val="22"/>
        </w:rPr>
        <w:t xml:space="preserve">50. </w:t>
      </w:r>
      <w:r w:rsidR="004C3AEC" w:rsidRPr="00A304CF">
        <w:rPr>
          <w:sz w:val="22"/>
        </w:rPr>
        <w:t>Subsection 469(9) (paragraph (a) of the definition of “normal terminating event”):</w:t>
      </w:r>
    </w:p>
    <w:p w14:paraId="4F7DDB53" w14:textId="30D9E303" w:rsidR="00151BAA" w:rsidRPr="00A304CF" w:rsidRDefault="004C3AEC" w:rsidP="00A304CF">
      <w:pPr>
        <w:pStyle w:val="BodyText1"/>
        <w:shd w:val="clear" w:color="auto" w:fill="auto"/>
        <w:spacing w:before="120" w:line="240" w:lineRule="auto"/>
        <w:ind w:firstLine="270"/>
        <w:jc w:val="both"/>
      </w:pPr>
      <w:r w:rsidRPr="00A304CF">
        <w:t>After “paragraph (</w:t>
      </w:r>
      <w:r w:rsidR="00F5596F">
        <w:t>1</w:t>
      </w:r>
      <w:r w:rsidRPr="00A304CF">
        <w:t>)(a)” insert “or (</w:t>
      </w:r>
      <w:r w:rsidR="00F5596F">
        <w:t>1</w:t>
      </w:r>
      <w:r w:rsidRPr="00A304CF">
        <w:t>A)(a)”.</w:t>
      </w:r>
    </w:p>
    <w:p w14:paraId="2A53D120" w14:textId="77777777" w:rsidR="00151BAA" w:rsidRPr="00A304CF" w:rsidRDefault="00D70D1D" w:rsidP="00D70D1D">
      <w:pPr>
        <w:pStyle w:val="Bodytext20"/>
        <w:shd w:val="clear" w:color="auto" w:fill="auto"/>
        <w:spacing w:before="120" w:line="240" w:lineRule="auto"/>
        <w:jc w:val="both"/>
        <w:rPr>
          <w:sz w:val="22"/>
        </w:rPr>
      </w:pPr>
      <w:r>
        <w:rPr>
          <w:sz w:val="22"/>
        </w:rPr>
        <w:t xml:space="preserve">51. </w:t>
      </w:r>
      <w:r w:rsidR="004C3AEC" w:rsidRPr="00A304CF">
        <w:rPr>
          <w:sz w:val="22"/>
        </w:rPr>
        <w:t>Subsection 469(9) (paragraph (b) of the definition of “normal terminating event”):</w:t>
      </w:r>
    </w:p>
    <w:p w14:paraId="6C8A8786" w14:textId="100926ED" w:rsidR="002C2E5B" w:rsidRPr="00A304CF" w:rsidRDefault="004C3AEC" w:rsidP="00A304CF">
      <w:pPr>
        <w:pStyle w:val="BodyText1"/>
        <w:shd w:val="clear" w:color="auto" w:fill="auto"/>
        <w:spacing w:before="120" w:line="240" w:lineRule="auto"/>
        <w:ind w:firstLine="270"/>
        <w:jc w:val="both"/>
      </w:pPr>
      <w:r w:rsidRPr="00A304CF">
        <w:t>After “paragraph (</w:t>
      </w:r>
      <w:r w:rsidR="00F5596F">
        <w:t>1</w:t>
      </w:r>
      <w:r w:rsidRPr="00A304CF">
        <w:t>)(b)” insert “or (</w:t>
      </w:r>
      <w:r w:rsidR="00F5596F">
        <w:t>1</w:t>
      </w:r>
      <w:r w:rsidRPr="00A304CF">
        <w:t>A)(b)”.</w:t>
      </w:r>
    </w:p>
    <w:p w14:paraId="197E03C9" w14:textId="77777777" w:rsidR="002C2E5B" w:rsidRPr="00A304CF" w:rsidRDefault="002C2E5B" w:rsidP="00A304CF">
      <w:pPr>
        <w:pStyle w:val="BodyText1"/>
        <w:shd w:val="clear" w:color="auto" w:fill="auto"/>
        <w:spacing w:before="120" w:line="240" w:lineRule="auto"/>
        <w:ind w:firstLine="0"/>
        <w:jc w:val="center"/>
      </w:pPr>
      <w:r w:rsidRPr="00A304CF">
        <w:t>––––––––––––––––</w:t>
      </w:r>
    </w:p>
    <w:p w14:paraId="12640346" w14:textId="77777777" w:rsidR="002C2E5B" w:rsidRPr="00A304CF" w:rsidRDefault="002C2E5B"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21DE5253" w14:textId="222F9ECA" w:rsidR="00151BAA" w:rsidRPr="00F5596F" w:rsidRDefault="004C3AEC" w:rsidP="00A304CF">
      <w:pPr>
        <w:pStyle w:val="BodyText1"/>
        <w:shd w:val="clear" w:color="auto" w:fill="auto"/>
        <w:tabs>
          <w:tab w:val="left" w:pos="8469"/>
        </w:tabs>
        <w:spacing w:line="240" w:lineRule="auto"/>
        <w:ind w:firstLine="3402"/>
        <w:jc w:val="center"/>
        <w:rPr>
          <w:sz w:val="20"/>
        </w:rPr>
      </w:pPr>
      <w:r w:rsidRPr="00A304CF">
        <w:rPr>
          <w:rStyle w:val="BodytextBold"/>
        </w:rPr>
        <w:lastRenderedPageBreak/>
        <w:t>SCHEDULE 2</w:t>
      </w:r>
      <w:r w:rsidR="00FC1486" w:rsidRPr="00A304CF">
        <w:rPr>
          <w:rStyle w:val="BodytextBold"/>
        </w:rPr>
        <w:tab/>
      </w:r>
      <w:r w:rsidR="00FC1486" w:rsidRPr="00F5596F">
        <w:rPr>
          <w:rStyle w:val="BodytextBold"/>
          <w:b w:val="0"/>
          <w:sz w:val="20"/>
        </w:rPr>
        <w:t>Section 4</w:t>
      </w:r>
    </w:p>
    <w:p w14:paraId="6908EEFA" w14:textId="77777777" w:rsidR="00151BAA" w:rsidRPr="00A304CF" w:rsidRDefault="004C3AEC" w:rsidP="00A304CF">
      <w:pPr>
        <w:pStyle w:val="BodyText1"/>
        <w:shd w:val="clear" w:color="auto" w:fill="auto"/>
        <w:spacing w:before="120" w:line="240" w:lineRule="auto"/>
        <w:ind w:firstLine="0"/>
        <w:jc w:val="center"/>
      </w:pPr>
      <w:r w:rsidRPr="00A304CF">
        <w:t>AMENDMENTS OF THE IMMIGRATION (EDUCATION) ACT 1971</w:t>
      </w:r>
    </w:p>
    <w:p w14:paraId="16C4C8D6" w14:textId="77777777" w:rsidR="00151BAA" w:rsidRPr="00F85363" w:rsidRDefault="000E2228" w:rsidP="000E2228">
      <w:pPr>
        <w:pStyle w:val="Bodytext20"/>
        <w:shd w:val="clear" w:color="auto" w:fill="auto"/>
        <w:spacing w:before="120" w:line="240" w:lineRule="auto"/>
        <w:jc w:val="both"/>
      </w:pPr>
      <w:r>
        <w:t xml:space="preserve">1. </w:t>
      </w:r>
      <w:r w:rsidR="004C3AEC" w:rsidRPr="00F85363">
        <w:t>Subsection 4A(1):</w:t>
      </w:r>
    </w:p>
    <w:p w14:paraId="16596F52" w14:textId="77777777" w:rsidR="00151BAA" w:rsidRPr="00A304CF" w:rsidRDefault="004C3AEC" w:rsidP="00F85363">
      <w:pPr>
        <w:pStyle w:val="BodyText1"/>
        <w:shd w:val="clear" w:color="auto" w:fill="auto"/>
        <w:spacing w:before="120" w:line="240" w:lineRule="auto"/>
        <w:ind w:firstLine="270"/>
        <w:jc w:val="both"/>
      </w:pPr>
      <w:r w:rsidRPr="00A304CF">
        <w:t>Omit “$250”, substitute “the applicable fee limit”.</w:t>
      </w:r>
    </w:p>
    <w:p w14:paraId="00104B66" w14:textId="77777777" w:rsidR="00151BAA" w:rsidRPr="00F85363" w:rsidRDefault="000E2228" w:rsidP="000E2228">
      <w:pPr>
        <w:pStyle w:val="Bodytext20"/>
        <w:shd w:val="clear" w:color="auto" w:fill="auto"/>
        <w:spacing w:before="120" w:line="240" w:lineRule="auto"/>
        <w:jc w:val="both"/>
      </w:pPr>
      <w:r>
        <w:t xml:space="preserve">2. </w:t>
      </w:r>
      <w:r w:rsidR="004C3AEC" w:rsidRPr="00F85363">
        <w:t>After subsection 4</w:t>
      </w:r>
      <w:r w:rsidR="00FC1486" w:rsidRPr="00F85363">
        <w:t xml:space="preserve"> </w:t>
      </w:r>
      <w:r w:rsidR="004C3AEC" w:rsidRPr="00F85363">
        <w:t>A(3):</w:t>
      </w:r>
    </w:p>
    <w:p w14:paraId="0C293AC9" w14:textId="77777777" w:rsidR="00151BAA" w:rsidRPr="00A304CF" w:rsidRDefault="004C3AEC" w:rsidP="00F85363">
      <w:pPr>
        <w:pStyle w:val="BodyText1"/>
        <w:shd w:val="clear" w:color="auto" w:fill="auto"/>
        <w:spacing w:before="120" w:line="240" w:lineRule="auto"/>
        <w:ind w:firstLine="270"/>
        <w:jc w:val="both"/>
      </w:pPr>
      <w:r w:rsidRPr="00A304CF">
        <w:t>Insert:</w:t>
      </w:r>
    </w:p>
    <w:p w14:paraId="24C0E360" w14:textId="5E98B14E" w:rsidR="00151BAA" w:rsidRDefault="004C3AEC" w:rsidP="00DC13D0">
      <w:pPr>
        <w:pStyle w:val="BodyText1"/>
        <w:shd w:val="clear" w:color="auto" w:fill="auto"/>
        <w:spacing w:before="120" w:after="120" w:line="240" w:lineRule="auto"/>
        <w:ind w:firstLine="270"/>
        <w:jc w:val="both"/>
      </w:pPr>
      <w:r w:rsidRPr="00A304CF">
        <w:t xml:space="preserve">“(3A) The </w:t>
      </w:r>
      <w:r w:rsidRPr="00A304CF">
        <w:rPr>
          <w:rStyle w:val="BodytextBold"/>
        </w:rPr>
        <w:t>applicable fee limit</w:t>
      </w:r>
      <w:r w:rsidRPr="00A304CF">
        <w:t xml:space="preserve"> in relation to a course that a person enrols in during a financial year starting on or after 1 July 1995 is, subject to subsection (3B), the amount worked out under the formula:</w:t>
      </w:r>
    </w:p>
    <w:p w14:paraId="22D6E2DE" w14:textId="2D0A93D0" w:rsidR="00F5596F" w:rsidRDefault="00F5596F" w:rsidP="00F5596F">
      <w:pPr>
        <w:pStyle w:val="BodyText1"/>
        <w:shd w:val="clear" w:color="auto" w:fill="auto"/>
        <w:spacing w:before="120" w:after="120" w:line="240" w:lineRule="auto"/>
        <w:ind w:firstLine="270"/>
        <w:jc w:val="center"/>
      </w:pPr>
      <w:r w:rsidRPr="00F5596F">
        <w:rPr>
          <w:position w:val="-20"/>
        </w:rPr>
        <w:pict w14:anchorId="2B9C7A3F">
          <v:shape id="_x0000_i1033" type="#_x0000_t75" style="width:2in;height:28.8pt">
            <v:imagedata r:id="rId10" o:title=""/>
          </v:shape>
        </w:pict>
      </w:r>
    </w:p>
    <w:p w14:paraId="2B2C00FB" w14:textId="77777777" w:rsidR="00151BAA" w:rsidRPr="00A304CF" w:rsidRDefault="004C3AEC" w:rsidP="00A304CF">
      <w:pPr>
        <w:pStyle w:val="BodyText1"/>
        <w:shd w:val="clear" w:color="auto" w:fill="auto"/>
        <w:spacing w:before="120" w:line="240" w:lineRule="auto"/>
        <w:ind w:firstLine="0"/>
        <w:jc w:val="both"/>
      </w:pPr>
      <w:r w:rsidRPr="00A304CF">
        <w:t>where:</w:t>
      </w:r>
    </w:p>
    <w:p w14:paraId="522E7107" w14:textId="09D54CA3" w:rsidR="00151BAA" w:rsidRPr="00A304CF" w:rsidRDefault="004C3AEC" w:rsidP="00A304CF">
      <w:pPr>
        <w:pStyle w:val="BodyText1"/>
        <w:shd w:val="clear" w:color="auto" w:fill="auto"/>
        <w:spacing w:before="120" w:line="240" w:lineRule="auto"/>
        <w:ind w:firstLine="0"/>
        <w:jc w:val="both"/>
      </w:pPr>
      <w:r w:rsidRPr="00A304CF">
        <w:rPr>
          <w:rStyle w:val="BodytextBold"/>
        </w:rPr>
        <w:t xml:space="preserve">‘new </w:t>
      </w:r>
      <w:proofErr w:type="spellStart"/>
      <w:r w:rsidRPr="00A304CF">
        <w:rPr>
          <w:rStyle w:val="BodytextBold"/>
        </w:rPr>
        <w:t>CGFCE</w:t>
      </w:r>
      <w:proofErr w:type="spellEnd"/>
      <w:r w:rsidRPr="00F5596F">
        <w:rPr>
          <w:b/>
        </w:rPr>
        <w:t xml:space="preserve"> number’ </w:t>
      </w:r>
      <w:r w:rsidRPr="00A304CF">
        <w:t>means the number worked out as follows:</w:t>
      </w:r>
    </w:p>
    <w:p w14:paraId="5AB2FD32" w14:textId="77777777" w:rsidR="00151BAA" w:rsidRPr="00A304CF" w:rsidRDefault="00C516EF" w:rsidP="00A304CF">
      <w:pPr>
        <w:pStyle w:val="BodyText1"/>
        <w:shd w:val="clear" w:color="auto" w:fill="auto"/>
        <w:spacing w:before="120" w:line="240" w:lineRule="auto"/>
        <w:ind w:left="576" w:hanging="306"/>
        <w:jc w:val="both"/>
      </w:pPr>
      <w:r w:rsidRPr="00A304CF">
        <w:t xml:space="preserve">(a) </w:t>
      </w:r>
      <w:r w:rsidR="004C3AEC" w:rsidRPr="00A304CF">
        <w:t>take the first set of Commonwealth Government Final Consumption Expenditure Implicit Price Deflators to be issued by the Department of Finance after 1 January in the previous financial year;</w:t>
      </w:r>
    </w:p>
    <w:p w14:paraId="1FA85756" w14:textId="77777777" w:rsidR="00151BAA" w:rsidRPr="00A304CF" w:rsidRDefault="00C516EF" w:rsidP="00A304CF">
      <w:pPr>
        <w:pStyle w:val="BodyText1"/>
        <w:shd w:val="clear" w:color="auto" w:fill="auto"/>
        <w:spacing w:before="120" w:line="240" w:lineRule="auto"/>
        <w:ind w:firstLine="270"/>
        <w:jc w:val="both"/>
      </w:pPr>
      <w:r w:rsidRPr="00A304CF">
        <w:t xml:space="preserve">(b) </w:t>
      </w:r>
      <w:r w:rsidR="004C3AEC" w:rsidRPr="00A304CF">
        <w:t>find the number that relates to the period ending on 31 December in the previous financial year;</w:t>
      </w:r>
    </w:p>
    <w:p w14:paraId="182B2E80" w14:textId="77777777" w:rsidR="00151BAA" w:rsidRPr="00A304CF" w:rsidRDefault="00C516EF" w:rsidP="00A304CF">
      <w:pPr>
        <w:pStyle w:val="BodyText1"/>
        <w:shd w:val="clear" w:color="auto" w:fill="auto"/>
        <w:spacing w:before="120" w:line="240" w:lineRule="auto"/>
        <w:ind w:firstLine="270"/>
        <w:jc w:val="both"/>
      </w:pPr>
      <w:r w:rsidRPr="00A304CF">
        <w:t xml:space="preserve">(c) </w:t>
      </w:r>
      <w:r w:rsidR="004C3AEC" w:rsidRPr="00A304CF">
        <w:t>that number is the new CGFCE number;</w:t>
      </w:r>
    </w:p>
    <w:p w14:paraId="4BA39714" w14:textId="77777777" w:rsidR="00151BAA" w:rsidRPr="00A304CF" w:rsidRDefault="004C3AEC" w:rsidP="00A304CF">
      <w:pPr>
        <w:pStyle w:val="BodyText1"/>
        <w:shd w:val="clear" w:color="auto" w:fill="auto"/>
        <w:spacing w:before="120" w:line="240" w:lineRule="auto"/>
        <w:ind w:firstLine="0"/>
        <w:jc w:val="both"/>
      </w:pPr>
      <w:r w:rsidRPr="00A304CF">
        <w:rPr>
          <w:rStyle w:val="BodytextBold"/>
        </w:rPr>
        <w:t>‘base CGFCE number’</w:t>
      </w:r>
      <w:r w:rsidRPr="00A304CF">
        <w:t xml:space="preserve"> means the number worked out as follows:</w:t>
      </w:r>
    </w:p>
    <w:p w14:paraId="5DE7A50B" w14:textId="77777777" w:rsidR="00151BAA" w:rsidRPr="00A304CF" w:rsidRDefault="00C516EF" w:rsidP="00A304CF">
      <w:pPr>
        <w:pStyle w:val="BodyText1"/>
        <w:shd w:val="clear" w:color="auto" w:fill="auto"/>
        <w:spacing w:before="120" w:line="240" w:lineRule="auto"/>
        <w:ind w:left="576" w:hanging="306"/>
        <w:jc w:val="both"/>
      </w:pPr>
      <w:r w:rsidRPr="00A304CF">
        <w:t xml:space="preserve">(a) </w:t>
      </w:r>
      <w:r w:rsidR="004C3AEC" w:rsidRPr="00A304CF">
        <w:t>take the first set of Commonwealth Government Final Consumption Expenditure Implicit Price Deflators to be issued by the Department of Finance after 1 January in the previous financial year;</w:t>
      </w:r>
    </w:p>
    <w:p w14:paraId="1AB37B7A" w14:textId="77777777" w:rsidR="00151BAA" w:rsidRPr="00A304CF" w:rsidRDefault="00C516EF" w:rsidP="00A304CF">
      <w:pPr>
        <w:pStyle w:val="BodyText1"/>
        <w:shd w:val="clear" w:color="auto" w:fill="auto"/>
        <w:spacing w:before="120" w:line="240" w:lineRule="auto"/>
        <w:ind w:firstLine="270"/>
        <w:jc w:val="both"/>
      </w:pPr>
      <w:r w:rsidRPr="00A304CF">
        <w:t xml:space="preserve">(b) </w:t>
      </w:r>
      <w:r w:rsidR="004C3AEC" w:rsidRPr="00A304CF">
        <w:t>find the number that relates to the period ending on 31 December 1993;</w:t>
      </w:r>
    </w:p>
    <w:p w14:paraId="7294C10C" w14:textId="77777777" w:rsidR="00151BAA" w:rsidRPr="00A304CF" w:rsidRDefault="00C516EF" w:rsidP="00A304CF">
      <w:pPr>
        <w:pStyle w:val="BodyText1"/>
        <w:shd w:val="clear" w:color="auto" w:fill="auto"/>
        <w:spacing w:before="120" w:line="240" w:lineRule="auto"/>
        <w:ind w:firstLine="270"/>
        <w:jc w:val="both"/>
      </w:pPr>
      <w:r w:rsidRPr="00A304CF">
        <w:t xml:space="preserve">(c) </w:t>
      </w:r>
      <w:r w:rsidR="004C3AEC" w:rsidRPr="00A304CF">
        <w:t>that number is the base CGFCE number.</w:t>
      </w:r>
    </w:p>
    <w:p w14:paraId="4FBEDF5F" w14:textId="77777777" w:rsidR="00151BAA" w:rsidRPr="00A304CF" w:rsidRDefault="004C3AEC" w:rsidP="00A304CF">
      <w:pPr>
        <w:pStyle w:val="BodyText1"/>
        <w:shd w:val="clear" w:color="auto" w:fill="auto"/>
        <w:spacing w:before="120" w:line="240" w:lineRule="auto"/>
        <w:ind w:firstLine="270"/>
        <w:jc w:val="both"/>
      </w:pPr>
      <w:r w:rsidRPr="00A304CF">
        <w:t>“(3B) If an amount worked out under the formula in subsection (3A) is not a multiple of $5, the amount is to be rounded as follows:</w:t>
      </w:r>
    </w:p>
    <w:p w14:paraId="688C1CA5" w14:textId="77777777" w:rsidR="00151BAA" w:rsidRPr="00A304CF" w:rsidRDefault="00C516EF" w:rsidP="00A304CF">
      <w:pPr>
        <w:pStyle w:val="BodyText1"/>
        <w:shd w:val="clear" w:color="auto" w:fill="auto"/>
        <w:spacing w:before="120" w:line="240" w:lineRule="auto"/>
        <w:ind w:left="576" w:hanging="306"/>
        <w:jc w:val="both"/>
      </w:pPr>
      <w:r w:rsidRPr="00A304CF">
        <w:t xml:space="preserve">(a) </w:t>
      </w:r>
      <w:r w:rsidR="004C3AEC" w:rsidRPr="00A304CF">
        <w:t>if the amount exceeds the nearest lower multiple of $5 by $2.50 or more—round the amount up to the nearest higher multiple of $5;</w:t>
      </w:r>
    </w:p>
    <w:p w14:paraId="6233DDAD" w14:textId="77777777" w:rsidR="00C516EF" w:rsidRPr="00A304CF" w:rsidRDefault="00C516EF" w:rsidP="00A304CF">
      <w:pPr>
        <w:pStyle w:val="BodyText1"/>
        <w:shd w:val="clear" w:color="auto" w:fill="auto"/>
        <w:spacing w:before="120" w:line="240" w:lineRule="auto"/>
        <w:ind w:firstLine="270"/>
        <w:jc w:val="both"/>
      </w:pPr>
      <w:r w:rsidRPr="00A304CF">
        <w:t xml:space="preserve">(b) </w:t>
      </w:r>
      <w:r w:rsidR="004C3AEC" w:rsidRPr="00A304CF">
        <w:t>in any other case—round the amount down to the nearest lower multiple of $5.”.</w:t>
      </w:r>
    </w:p>
    <w:p w14:paraId="7ACC19B9" w14:textId="77777777" w:rsidR="00C516EF" w:rsidRPr="00A304CF" w:rsidRDefault="00F85363" w:rsidP="00A304CF">
      <w:pPr>
        <w:pStyle w:val="BodyText1"/>
        <w:shd w:val="clear" w:color="auto" w:fill="auto"/>
        <w:tabs>
          <w:tab w:val="left" w:pos="736"/>
        </w:tabs>
        <w:spacing w:before="120" w:line="240" w:lineRule="auto"/>
        <w:ind w:firstLine="270"/>
        <w:jc w:val="center"/>
      </w:pPr>
      <w:r>
        <w:t>––––––––––––</w:t>
      </w:r>
    </w:p>
    <w:p w14:paraId="0303D349" w14:textId="77777777" w:rsidR="00C516EF" w:rsidRPr="00A304CF" w:rsidRDefault="00C516EF" w:rsidP="00A304CF">
      <w:pPr>
        <w:rPr>
          <w:rFonts w:ascii="Times New Roman" w:eastAsia="Times New Roman" w:hAnsi="Times New Roman" w:cs="Times New Roman"/>
          <w:sz w:val="22"/>
          <w:szCs w:val="22"/>
        </w:rPr>
      </w:pPr>
      <w:r w:rsidRPr="00A304CF">
        <w:rPr>
          <w:rFonts w:ascii="Times New Roman" w:hAnsi="Times New Roman" w:cs="Times New Roman"/>
        </w:rPr>
        <w:br w:type="page"/>
      </w:r>
    </w:p>
    <w:p w14:paraId="44CD3B69" w14:textId="77777777" w:rsidR="00151BAA" w:rsidRPr="00A304CF" w:rsidRDefault="004C3AEC" w:rsidP="00A304CF">
      <w:pPr>
        <w:pStyle w:val="Bodytext50"/>
        <w:shd w:val="clear" w:color="auto" w:fill="auto"/>
        <w:spacing w:line="240" w:lineRule="auto"/>
        <w:ind w:firstLine="0"/>
        <w:rPr>
          <w:sz w:val="22"/>
        </w:rPr>
      </w:pPr>
      <w:r w:rsidRPr="00A304CF">
        <w:rPr>
          <w:rStyle w:val="Bodytext5Bold"/>
          <w:sz w:val="22"/>
        </w:rPr>
        <w:lastRenderedPageBreak/>
        <w:t>NOTES</w:t>
      </w:r>
    </w:p>
    <w:p w14:paraId="106D0537" w14:textId="4E00C076" w:rsidR="00151BAA" w:rsidRPr="00F5596F" w:rsidRDefault="004C3AEC" w:rsidP="00A304CF">
      <w:pPr>
        <w:pStyle w:val="Bodytext60"/>
        <w:shd w:val="clear" w:color="auto" w:fill="auto"/>
        <w:spacing w:before="120" w:line="240" w:lineRule="auto"/>
        <w:ind w:firstLine="0"/>
        <w:rPr>
          <w:sz w:val="20"/>
        </w:rPr>
      </w:pPr>
      <w:r w:rsidRPr="00F5596F">
        <w:rPr>
          <w:sz w:val="20"/>
        </w:rPr>
        <w:t>Migration Act 1958</w:t>
      </w:r>
    </w:p>
    <w:p w14:paraId="416DBFD5" w14:textId="0D9CADE8" w:rsidR="00151BAA" w:rsidRPr="00F5596F" w:rsidRDefault="00693D3F" w:rsidP="00D374D5">
      <w:pPr>
        <w:pStyle w:val="Bodytext50"/>
        <w:shd w:val="clear" w:color="auto" w:fill="auto"/>
        <w:spacing w:before="120" w:line="240" w:lineRule="auto"/>
        <w:ind w:left="270" w:hanging="270"/>
        <w:jc w:val="both"/>
        <w:rPr>
          <w:sz w:val="20"/>
        </w:rPr>
      </w:pPr>
      <w:r w:rsidRPr="00F5596F">
        <w:rPr>
          <w:sz w:val="20"/>
        </w:rPr>
        <w:t>1.</w:t>
      </w:r>
      <w:r w:rsidR="00D374D5" w:rsidRPr="00F5596F">
        <w:rPr>
          <w:sz w:val="20"/>
        </w:rPr>
        <w:t xml:space="preserve"> </w:t>
      </w:r>
      <w:r w:rsidR="004C3AEC" w:rsidRPr="00F5596F">
        <w:rPr>
          <w:sz w:val="20"/>
        </w:rPr>
        <w:t>No. 62, 1958, as amended. For previous amendments, see No. 87, 1964; No. 10, 1966; Nos. 16 and 216, 1973; Nos. 37 and 91, 1976; Nos. 117 and 118, 1979; Nos. 89 and 175, 1980; No. 61, 1981; No. 51, 1982; Nos. 73 and 112, 1983; Nos. 22,</w:t>
      </w:r>
      <w:r w:rsidR="00F5596F">
        <w:rPr>
          <w:sz w:val="20"/>
        </w:rPr>
        <w:t xml:space="preserve"> </w:t>
      </w:r>
      <w:r w:rsidR="004C3AEC" w:rsidRPr="00F5596F">
        <w:rPr>
          <w:sz w:val="20"/>
        </w:rPr>
        <w:t>72 and 123,</w:t>
      </w:r>
      <w:r w:rsidR="00F5596F">
        <w:rPr>
          <w:sz w:val="20"/>
        </w:rPr>
        <w:t xml:space="preserve"> </w:t>
      </w:r>
      <w:r w:rsidR="004C3AEC" w:rsidRPr="00F5596F">
        <w:rPr>
          <w:sz w:val="20"/>
        </w:rPr>
        <w:t>1984; Nos. 71,</w:t>
      </w:r>
      <w:r w:rsidR="00F5596F">
        <w:rPr>
          <w:sz w:val="20"/>
        </w:rPr>
        <w:t xml:space="preserve"> </w:t>
      </w:r>
      <w:r w:rsidR="004C3AEC" w:rsidRPr="00F5596F">
        <w:rPr>
          <w:sz w:val="20"/>
        </w:rPr>
        <w:t>102 and 168,</w:t>
      </w:r>
      <w:r w:rsidR="00F5596F">
        <w:rPr>
          <w:sz w:val="20"/>
        </w:rPr>
        <w:t xml:space="preserve"> </w:t>
      </w:r>
      <w:r w:rsidR="004C3AEC" w:rsidRPr="00F5596F">
        <w:rPr>
          <w:sz w:val="20"/>
        </w:rPr>
        <w:t>1986; Nos. 86,</w:t>
      </w:r>
      <w:r w:rsidR="00F5596F">
        <w:rPr>
          <w:sz w:val="20"/>
        </w:rPr>
        <w:t xml:space="preserve"> </w:t>
      </w:r>
      <w:r w:rsidR="004C3AEC" w:rsidRPr="00F5596F">
        <w:rPr>
          <w:sz w:val="20"/>
        </w:rPr>
        <w:t>104,</w:t>
      </w:r>
      <w:r w:rsidR="00F5596F">
        <w:rPr>
          <w:sz w:val="20"/>
        </w:rPr>
        <w:t xml:space="preserve"> </w:t>
      </w:r>
      <w:r w:rsidR="004C3AEC" w:rsidRPr="00F5596F">
        <w:rPr>
          <w:sz w:val="20"/>
        </w:rPr>
        <w:t>133 and 141,</w:t>
      </w:r>
      <w:r w:rsidR="00F5596F">
        <w:rPr>
          <w:sz w:val="20"/>
        </w:rPr>
        <w:t xml:space="preserve"> </w:t>
      </w:r>
      <w:r w:rsidR="004C3AEC" w:rsidRPr="00F5596F">
        <w:rPr>
          <w:sz w:val="20"/>
        </w:rPr>
        <w:t>1987; Nos. 5,</w:t>
      </w:r>
      <w:r w:rsidR="00F5596F">
        <w:rPr>
          <w:sz w:val="20"/>
        </w:rPr>
        <w:t xml:space="preserve"> </w:t>
      </w:r>
      <w:r w:rsidR="004C3AEC" w:rsidRPr="00F5596F">
        <w:rPr>
          <w:sz w:val="20"/>
        </w:rPr>
        <w:t>38,</w:t>
      </w:r>
      <w:r w:rsidR="00F5596F">
        <w:rPr>
          <w:sz w:val="20"/>
        </w:rPr>
        <w:t xml:space="preserve"> </w:t>
      </w:r>
      <w:r w:rsidR="004C3AEC" w:rsidRPr="00F5596F">
        <w:rPr>
          <w:sz w:val="20"/>
        </w:rPr>
        <w:t>49 and 151,</w:t>
      </w:r>
      <w:r w:rsidR="00F5596F">
        <w:rPr>
          <w:sz w:val="20"/>
        </w:rPr>
        <w:t xml:space="preserve"> </w:t>
      </w:r>
      <w:r w:rsidR="004C3AEC" w:rsidRPr="00F5596F">
        <w:rPr>
          <w:sz w:val="20"/>
        </w:rPr>
        <w:t>1988; Nos. 59 and 61,</w:t>
      </w:r>
      <w:r w:rsidR="00F5596F">
        <w:rPr>
          <w:sz w:val="20"/>
        </w:rPr>
        <w:t xml:space="preserve"> </w:t>
      </w:r>
      <w:r w:rsidR="004C3AEC" w:rsidRPr="00F5596F">
        <w:rPr>
          <w:sz w:val="20"/>
        </w:rPr>
        <w:t>1989; No. 37,</w:t>
      </w:r>
      <w:r w:rsidR="00F5596F">
        <w:rPr>
          <w:sz w:val="20"/>
        </w:rPr>
        <w:t xml:space="preserve"> </w:t>
      </w:r>
      <w:r w:rsidR="004C3AEC" w:rsidRPr="00F5596F">
        <w:rPr>
          <w:sz w:val="20"/>
        </w:rPr>
        <w:t>1990; Nos. 70,</w:t>
      </w:r>
      <w:r w:rsidR="00F5596F">
        <w:rPr>
          <w:sz w:val="20"/>
        </w:rPr>
        <w:t xml:space="preserve"> </w:t>
      </w:r>
      <w:r w:rsidR="004C3AEC" w:rsidRPr="00F5596F">
        <w:rPr>
          <w:sz w:val="20"/>
        </w:rPr>
        <w:t>86,</w:t>
      </w:r>
      <w:r w:rsidR="00F5596F">
        <w:rPr>
          <w:sz w:val="20"/>
        </w:rPr>
        <w:t xml:space="preserve"> </w:t>
      </w:r>
      <w:r w:rsidR="004C3AEC" w:rsidRPr="00F5596F">
        <w:rPr>
          <w:sz w:val="20"/>
        </w:rPr>
        <w:t>196 and 198, 1991; Nos. 24, 84, 85, 175, 176, 184, 213, 220 and 234, 1992; No. 59, 1993; and Nos. 14, 20, 60 and 136, 1994.</w:t>
      </w:r>
    </w:p>
    <w:p w14:paraId="2A6538B4" w14:textId="77777777" w:rsidR="00151BAA" w:rsidRPr="00F5596F" w:rsidRDefault="004C3AEC" w:rsidP="00A304CF">
      <w:pPr>
        <w:pStyle w:val="Bodytext60"/>
        <w:shd w:val="clear" w:color="auto" w:fill="auto"/>
        <w:spacing w:before="120" w:line="240" w:lineRule="auto"/>
        <w:ind w:firstLine="0"/>
        <w:rPr>
          <w:sz w:val="20"/>
        </w:rPr>
      </w:pPr>
      <w:r w:rsidRPr="00F5596F">
        <w:rPr>
          <w:sz w:val="20"/>
        </w:rPr>
        <w:t>Immigration (Education) Act 1971</w:t>
      </w:r>
    </w:p>
    <w:p w14:paraId="083D2191" w14:textId="77777777" w:rsidR="00151BAA" w:rsidRPr="00F5596F" w:rsidRDefault="00693D3F" w:rsidP="00B248D3">
      <w:pPr>
        <w:pStyle w:val="Bodytext50"/>
        <w:shd w:val="clear" w:color="auto" w:fill="auto"/>
        <w:spacing w:before="120" w:line="240" w:lineRule="auto"/>
        <w:ind w:left="243" w:hanging="243"/>
        <w:jc w:val="both"/>
        <w:rPr>
          <w:sz w:val="20"/>
        </w:rPr>
      </w:pPr>
      <w:r w:rsidRPr="00F5596F">
        <w:rPr>
          <w:sz w:val="20"/>
        </w:rPr>
        <w:t>2</w:t>
      </w:r>
      <w:r w:rsidR="00B248D3" w:rsidRPr="00F5596F">
        <w:rPr>
          <w:sz w:val="20"/>
        </w:rPr>
        <w:t xml:space="preserve">. </w:t>
      </w:r>
      <w:r w:rsidR="004C3AEC" w:rsidRPr="00F5596F">
        <w:rPr>
          <w:sz w:val="20"/>
        </w:rPr>
        <w:t>No. 3,</w:t>
      </w:r>
      <w:r w:rsidR="00E46A85" w:rsidRPr="00F5596F">
        <w:rPr>
          <w:sz w:val="20"/>
        </w:rPr>
        <w:t xml:space="preserve"> </w:t>
      </w:r>
      <w:r w:rsidR="004C3AEC" w:rsidRPr="00F5596F">
        <w:rPr>
          <w:sz w:val="20"/>
        </w:rPr>
        <w:t>1971, as amended. For previous amendments, see Nos. 110 and 216, 1973; No. 37,</w:t>
      </w:r>
      <w:r w:rsidR="00BF24F2" w:rsidRPr="00F5596F">
        <w:rPr>
          <w:sz w:val="20"/>
        </w:rPr>
        <w:t xml:space="preserve"> </w:t>
      </w:r>
      <w:r w:rsidR="004C3AEC" w:rsidRPr="00F5596F">
        <w:rPr>
          <w:sz w:val="20"/>
        </w:rPr>
        <w:t>1976; No. 76, 1986; No. 35, 1991; No. 176, 1992; and No. 60, 1994.</w:t>
      </w:r>
    </w:p>
    <w:p w14:paraId="2C3D78CA" w14:textId="77777777" w:rsidR="00151BAA" w:rsidRPr="00F5596F" w:rsidRDefault="004C3AEC" w:rsidP="00A304CF">
      <w:pPr>
        <w:pStyle w:val="Bodytext50"/>
        <w:shd w:val="clear" w:color="auto" w:fill="auto"/>
        <w:spacing w:before="240" w:line="240" w:lineRule="auto"/>
        <w:ind w:firstLine="0"/>
        <w:rPr>
          <w:sz w:val="20"/>
        </w:rPr>
      </w:pPr>
      <w:r w:rsidRPr="00F5596F">
        <w:rPr>
          <w:sz w:val="20"/>
        </w:rPr>
        <w:t>NOTES ABOUT SECTION HEADINGS</w:t>
      </w:r>
    </w:p>
    <w:p w14:paraId="4D4FB14D" w14:textId="13307FF6" w:rsidR="00151BAA" w:rsidRPr="00F5596F" w:rsidRDefault="00872450" w:rsidP="00872450">
      <w:pPr>
        <w:pStyle w:val="Bodytext50"/>
        <w:shd w:val="clear" w:color="auto" w:fill="auto"/>
        <w:spacing w:before="120" w:line="240" w:lineRule="auto"/>
        <w:ind w:left="270" w:hanging="270"/>
        <w:jc w:val="both"/>
        <w:rPr>
          <w:sz w:val="20"/>
        </w:rPr>
      </w:pPr>
      <w:r w:rsidRPr="00F5596F">
        <w:rPr>
          <w:sz w:val="20"/>
        </w:rPr>
        <w:t xml:space="preserve">1. </w:t>
      </w:r>
      <w:r w:rsidR="004C3AEC" w:rsidRPr="00F5596F">
        <w:rPr>
          <w:sz w:val="20"/>
        </w:rPr>
        <w:t>On the commencement of items 20,</w:t>
      </w:r>
      <w:r w:rsidR="00F5596F">
        <w:rPr>
          <w:sz w:val="20"/>
        </w:rPr>
        <w:t xml:space="preserve"> </w:t>
      </w:r>
      <w:r w:rsidR="004C3AEC" w:rsidRPr="00F5596F">
        <w:rPr>
          <w:sz w:val="20"/>
        </w:rPr>
        <w:t xml:space="preserve">21 and 22 of Schedule 1 to this Act, the heading to section 361 of the </w:t>
      </w:r>
      <w:r w:rsidR="004C3AEC" w:rsidRPr="00F5596F">
        <w:rPr>
          <w:rStyle w:val="Bodytext5Italic"/>
          <w:sz w:val="20"/>
        </w:rPr>
        <w:t>Migration Act 1958</w:t>
      </w:r>
      <w:r w:rsidR="004C3AEC" w:rsidRPr="00F5596F">
        <w:rPr>
          <w:sz w:val="20"/>
        </w:rPr>
        <w:t xml:space="preserve"> is altered by adding at the end “and </w:t>
      </w:r>
      <w:r w:rsidR="004C3AEC" w:rsidRPr="00F5596F">
        <w:rPr>
          <w:b/>
          <w:sz w:val="20"/>
        </w:rPr>
        <w:t xml:space="preserve">obtain </w:t>
      </w:r>
      <w:r w:rsidR="004C3AEC" w:rsidRPr="00F5596F">
        <w:rPr>
          <w:rStyle w:val="Bodytext5Bold"/>
          <w:sz w:val="20"/>
        </w:rPr>
        <w:t>written material</w:t>
      </w:r>
      <w:r w:rsidR="004C3AEC" w:rsidRPr="00F5596F">
        <w:rPr>
          <w:rStyle w:val="Bodytext5Bold"/>
          <w:b w:val="0"/>
          <w:sz w:val="20"/>
        </w:rPr>
        <w:t>”.</w:t>
      </w:r>
    </w:p>
    <w:p w14:paraId="0551C199" w14:textId="2732B409" w:rsidR="00151BAA" w:rsidRPr="00F5596F" w:rsidRDefault="00693D3F" w:rsidP="00E9577A">
      <w:pPr>
        <w:pStyle w:val="Bodytext50"/>
        <w:shd w:val="clear" w:color="auto" w:fill="auto"/>
        <w:spacing w:before="120" w:line="240" w:lineRule="auto"/>
        <w:ind w:left="270" w:hanging="270"/>
        <w:jc w:val="both"/>
        <w:rPr>
          <w:sz w:val="20"/>
        </w:rPr>
      </w:pPr>
      <w:r w:rsidRPr="00F5596F">
        <w:rPr>
          <w:sz w:val="20"/>
        </w:rPr>
        <w:t>2.</w:t>
      </w:r>
      <w:r w:rsidR="00E9577A" w:rsidRPr="00F5596F">
        <w:rPr>
          <w:sz w:val="20"/>
        </w:rPr>
        <w:t xml:space="preserve"> </w:t>
      </w:r>
      <w:r w:rsidR="004C3AEC" w:rsidRPr="00F5596F">
        <w:rPr>
          <w:sz w:val="20"/>
        </w:rPr>
        <w:t>On the commencement of items 34,</w:t>
      </w:r>
      <w:r w:rsidR="00F5596F">
        <w:rPr>
          <w:sz w:val="20"/>
        </w:rPr>
        <w:t xml:space="preserve"> </w:t>
      </w:r>
      <w:r w:rsidR="004C3AEC" w:rsidRPr="00F5596F">
        <w:rPr>
          <w:sz w:val="20"/>
        </w:rPr>
        <w:t xml:space="preserve">35 and 36 of Schedule 1 to this Act, the heading to section 398 of the </w:t>
      </w:r>
      <w:r w:rsidR="004C3AEC" w:rsidRPr="00F5596F">
        <w:rPr>
          <w:rStyle w:val="Bodytext5Italic"/>
          <w:sz w:val="20"/>
        </w:rPr>
        <w:t>Migration Act 1958</w:t>
      </w:r>
      <w:r w:rsidR="004C3AEC" w:rsidRPr="00F5596F">
        <w:rPr>
          <w:sz w:val="20"/>
        </w:rPr>
        <w:t xml:space="preserve"> is altered by omitting </w:t>
      </w:r>
      <w:r w:rsidR="004C3AEC" w:rsidRPr="00F5596F">
        <w:rPr>
          <w:rStyle w:val="Bodytext5Bold"/>
          <w:b w:val="0"/>
          <w:sz w:val="20"/>
        </w:rPr>
        <w:t>“</w:t>
      </w:r>
      <w:r w:rsidR="004C3AEC" w:rsidRPr="00F5596F">
        <w:rPr>
          <w:rStyle w:val="Bodytext5Bold"/>
          <w:sz w:val="20"/>
        </w:rPr>
        <w:t>Principal</w:t>
      </w:r>
      <w:r w:rsidR="004C3AEC" w:rsidRPr="00F5596F">
        <w:rPr>
          <w:sz w:val="20"/>
        </w:rPr>
        <w:t xml:space="preserve"> </w:t>
      </w:r>
      <w:r w:rsidR="004C3AEC" w:rsidRPr="00F5596F">
        <w:rPr>
          <w:rStyle w:val="Bodytext5Bold"/>
          <w:sz w:val="20"/>
        </w:rPr>
        <w:t>Member</w:t>
      </w:r>
      <w:r w:rsidR="004C3AEC" w:rsidRPr="00F5596F">
        <w:rPr>
          <w:rStyle w:val="Bodytext5Bold"/>
          <w:b w:val="0"/>
          <w:sz w:val="20"/>
        </w:rPr>
        <w:t>”</w:t>
      </w:r>
      <w:r w:rsidR="004C3AEC" w:rsidRPr="00F5596F">
        <w:rPr>
          <w:rStyle w:val="Bodytext5Bold"/>
          <w:sz w:val="20"/>
        </w:rPr>
        <w:t xml:space="preserve"> </w:t>
      </w:r>
      <w:r w:rsidR="004C3AEC" w:rsidRPr="00F5596F">
        <w:rPr>
          <w:sz w:val="20"/>
        </w:rPr>
        <w:t xml:space="preserve">and substituting </w:t>
      </w:r>
      <w:r w:rsidR="004C3AEC" w:rsidRPr="00F5596F">
        <w:rPr>
          <w:rStyle w:val="Bodytext5Bold"/>
          <w:b w:val="0"/>
          <w:sz w:val="20"/>
        </w:rPr>
        <w:t>“</w:t>
      </w:r>
      <w:r w:rsidR="004C3AEC" w:rsidRPr="00F5596F">
        <w:rPr>
          <w:rStyle w:val="Bodytext5Bold"/>
          <w:sz w:val="20"/>
        </w:rPr>
        <w:t>members</w:t>
      </w:r>
      <w:r w:rsidR="004C3AEC" w:rsidRPr="00F5596F">
        <w:rPr>
          <w:rStyle w:val="Bodytext5Bold"/>
          <w:b w:val="0"/>
          <w:sz w:val="20"/>
        </w:rPr>
        <w:t>”.</w:t>
      </w:r>
    </w:p>
    <w:p w14:paraId="2C7CD044" w14:textId="2110247A" w:rsidR="00151BAA" w:rsidRPr="00F5596F" w:rsidRDefault="00693D3F" w:rsidP="00F5596F">
      <w:pPr>
        <w:pStyle w:val="Bodytext50"/>
        <w:shd w:val="clear" w:color="auto" w:fill="auto"/>
        <w:spacing w:before="120" w:after="240" w:line="240" w:lineRule="auto"/>
        <w:ind w:left="270" w:hanging="270"/>
        <w:jc w:val="both"/>
        <w:rPr>
          <w:sz w:val="20"/>
        </w:rPr>
      </w:pPr>
      <w:r w:rsidRPr="00F5596F">
        <w:rPr>
          <w:sz w:val="20"/>
        </w:rPr>
        <w:t>3.</w:t>
      </w:r>
      <w:r w:rsidR="00410CB8" w:rsidRPr="00F5596F">
        <w:rPr>
          <w:sz w:val="20"/>
        </w:rPr>
        <w:t xml:space="preserve"> </w:t>
      </w:r>
      <w:r w:rsidR="004C3AEC" w:rsidRPr="00F5596F">
        <w:rPr>
          <w:sz w:val="20"/>
        </w:rPr>
        <w:t>On the commencement of items 41,</w:t>
      </w:r>
      <w:r w:rsidR="00F5596F">
        <w:rPr>
          <w:sz w:val="20"/>
        </w:rPr>
        <w:t xml:space="preserve"> </w:t>
      </w:r>
      <w:r w:rsidR="004C3AEC" w:rsidRPr="00F5596F">
        <w:rPr>
          <w:sz w:val="20"/>
        </w:rPr>
        <w:t xml:space="preserve">42 and 43 of Schedule 1 to this Act, the heading to section 462 of the </w:t>
      </w:r>
      <w:r w:rsidR="004C3AEC" w:rsidRPr="00F5596F">
        <w:rPr>
          <w:rStyle w:val="Bodytext5Italic"/>
          <w:sz w:val="20"/>
        </w:rPr>
        <w:t>Migration Act 1958</w:t>
      </w:r>
      <w:r w:rsidR="004C3AEC" w:rsidRPr="00F5596F">
        <w:rPr>
          <w:sz w:val="20"/>
        </w:rPr>
        <w:t xml:space="preserve"> is altered by omitting “</w:t>
      </w:r>
      <w:r w:rsidR="004C3AEC" w:rsidRPr="00F5596F">
        <w:rPr>
          <w:b/>
          <w:sz w:val="20"/>
        </w:rPr>
        <w:t>Principal Member</w:t>
      </w:r>
      <w:r w:rsidR="004C3AEC" w:rsidRPr="00F5596F">
        <w:rPr>
          <w:sz w:val="20"/>
        </w:rPr>
        <w:t>” and substituting “</w:t>
      </w:r>
      <w:r w:rsidR="004C3AEC" w:rsidRPr="00F5596F">
        <w:rPr>
          <w:b/>
          <w:sz w:val="20"/>
        </w:rPr>
        <w:t>members</w:t>
      </w:r>
      <w:r w:rsidR="004C3AEC" w:rsidRPr="00F5596F">
        <w:rPr>
          <w:sz w:val="20"/>
        </w:rPr>
        <w:t>”.</w:t>
      </w:r>
      <w:bookmarkStart w:id="1" w:name="_GoBack"/>
      <w:bookmarkEnd w:id="1"/>
    </w:p>
    <w:p w14:paraId="4B4E97B2" w14:textId="77777777" w:rsidR="00151BAA" w:rsidRPr="00F5596F" w:rsidRDefault="004C3AEC" w:rsidP="001D60A5">
      <w:pPr>
        <w:pStyle w:val="Bodytext60"/>
        <w:shd w:val="clear" w:color="auto" w:fill="auto"/>
        <w:spacing w:before="120" w:line="240" w:lineRule="auto"/>
        <w:ind w:firstLine="0"/>
        <w:rPr>
          <w:sz w:val="20"/>
        </w:rPr>
      </w:pPr>
      <w:r w:rsidRPr="00F5596F">
        <w:rPr>
          <w:rStyle w:val="Bodytext6NotItalic"/>
          <w:sz w:val="20"/>
        </w:rPr>
        <w:t>[</w:t>
      </w:r>
      <w:r w:rsidRPr="00F5596F">
        <w:rPr>
          <w:sz w:val="20"/>
        </w:rPr>
        <w:t>Minister's second reading speech made in</w:t>
      </w:r>
      <w:r w:rsidRPr="00F5596F">
        <w:rPr>
          <w:rStyle w:val="Bodytext6NotItalic0"/>
          <w:sz w:val="20"/>
        </w:rPr>
        <w:t>—</w:t>
      </w:r>
    </w:p>
    <w:p w14:paraId="211E5D16" w14:textId="77777777" w:rsidR="00151BAA" w:rsidRPr="00F5596F" w:rsidRDefault="004C3AEC" w:rsidP="001D60A5">
      <w:pPr>
        <w:pStyle w:val="Bodytext60"/>
        <w:shd w:val="clear" w:color="auto" w:fill="auto"/>
        <w:spacing w:line="240" w:lineRule="auto"/>
        <w:ind w:left="954" w:right="4140" w:firstLine="0"/>
        <w:rPr>
          <w:sz w:val="20"/>
        </w:rPr>
      </w:pPr>
      <w:r w:rsidRPr="00F5596F">
        <w:rPr>
          <w:sz w:val="20"/>
        </w:rPr>
        <w:t>House of Representatives on 9 February 1995 Senate on 27 February 1995</w:t>
      </w:r>
      <w:r w:rsidRPr="00F5596F">
        <w:rPr>
          <w:rStyle w:val="Bodytext6NotItalic"/>
          <w:sz w:val="20"/>
        </w:rPr>
        <w:t>]</w:t>
      </w:r>
    </w:p>
    <w:sectPr w:rsidR="00151BAA" w:rsidRPr="00F5596F" w:rsidSect="00D012E6">
      <w:headerReference w:type="default" r:id="rId11"/>
      <w:pgSz w:w="12240" w:h="15840" w:code="1"/>
      <w:pgMar w:top="1440" w:right="1440" w:bottom="1440" w:left="1440" w:header="810" w:footer="0" w:gutter="0"/>
      <w:pgNumType w:start="12"/>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62F0AB" w15:done="0"/>
  <w15:commentEx w15:paraId="255D0816" w15:done="0"/>
  <w15:commentEx w15:paraId="3B89B49A" w15:done="0"/>
  <w15:commentEx w15:paraId="0A418C13" w15:done="0"/>
  <w15:commentEx w15:paraId="475E6593" w15:done="0"/>
  <w15:commentEx w15:paraId="340FFAD5" w15:done="0"/>
  <w15:commentEx w15:paraId="18BA251B" w15:done="0"/>
  <w15:commentEx w15:paraId="190F0D0F" w15:done="0"/>
  <w15:commentEx w15:paraId="38FF0145" w15:done="0"/>
  <w15:commentEx w15:paraId="579FEE3B" w15:done="0"/>
  <w15:commentEx w15:paraId="5B3594B1" w15:done="0"/>
  <w15:commentEx w15:paraId="326E9681" w15:done="0"/>
  <w15:commentEx w15:paraId="45AC65B2" w15:done="0"/>
  <w15:commentEx w15:paraId="34688F5B" w15:done="0"/>
  <w15:commentEx w15:paraId="3F79A928" w15:done="0"/>
  <w15:commentEx w15:paraId="36DD7D85" w15:done="0"/>
  <w15:commentEx w15:paraId="61B88C70" w15:done="0"/>
  <w15:commentEx w15:paraId="6FB7111A" w15:done="0"/>
  <w15:commentEx w15:paraId="1BB8EF81" w15:done="0"/>
  <w15:commentEx w15:paraId="1F6BFAAE" w15:done="0"/>
  <w15:commentEx w15:paraId="581172BA" w15:done="0"/>
  <w15:commentEx w15:paraId="59B0124A" w15:done="0"/>
  <w15:commentEx w15:paraId="782FAA52" w15:done="0"/>
  <w15:commentEx w15:paraId="2A34CCD2" w15:done="0"/>
  <w15:commentEx w15:paraId="040F581F" w15:done="0"/>
  <w15:commentEx w15:paraId="49BC07F4" w15:done="0"/>
  <w15:commentEx w15:paraId="1B57DEC4" w15:done="0"/>
  <w15:commentEx w15:paraId="1139F668" w15:done="0"/>
  <w15:commentEx w15:paraId="7B235CA1" w15:done="0"/>
  <w15:commentEx w15:paraId="7898C677" w15:done="0"/>
  <w15:commentEx w15:paraId="08A10383" w15:done="0"/>
  <w15:commentEx w15:paraId="719F281C" w15:done="0"/>
  <w15:commentEx w15:paraId="5F2401B4" w15:done="0"/>
  <w15:commentEx w15:paraId="54901175" w15:done="0"/>
  <w15:commentEx w15:paraId="1131629A" w15:done="0"/>
  <w15:commentEx w15:paraId="398911B6" w15:done="0"/>
  <w15:commentEx w15:paraId="210294C1" w15:done="0"/>
  <w15:commentEx w15:paraId="17798133" w15:done="0"/>
  <w15:commentEx w15:paraId="47CBFA76" w15:done="0"/>
  <w15:commentEx w15:paraId="3B0E97A8" w15:done="0"/>
  <w15:commentEx w15:paraId="77102D67" w15:done="0"/>
  <w15:commentEx w15:paraId="72954F63" w15:done="0"/>
  <w15:commentEx w15:paraId="0C2F8D6A" w15:done="0"/>
  <w15:commentEx w15:paraId="1D3109C1" w15:done="0"/>
  <w15:commentEx w15:paraId="563FFA4D" w15:done="0"/>
  <w15:commentEx w15:paraId="41298B14" w15:done="0"/>
  <w15:commentEx w15:paraId="1BA29A31" w15:done="0"/>
  <w15:commentEx w15:paraId="51ECCBB5" w15:done="0"/>
  <w15:commentEx w15:paraId="34E7E5D0" w15:done="0"/>
  <w15:commentEx w15:paraId="6224D1DC" w15:done="0"/>
  <w15:commentEx w15:paraId="3ECDF13B" w15:done="0"/>
  <w15:commentEx w15:paraId="33FA5344" w15:done="0"/>
  <w15:commentEx w15:paraId="4E308101" w15:done="0"/>
  <w15:commentEx w15:paraId="1FBD29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2F0AB" w16cid:durableId="21331BF5"/>
  <w16cid:commentId w16cid:paraId="255D0816" w16cid:durableId="21331C0D"/>
  <w16cid:commentId w16cid:paraId="3B89B49A" w16cid:durableId="21331C06"/>
  <w16cid:commentId w16cid:paraId="0A418C13" w16cid:durableId="21331C1B"/>
  <w16cid:commentId w16cid:paraId="475E6593" w16cid:durableId="21331C29"/>
  <w16cid:commentId w16cid:paraId="340FFAD5" w16cid:durableId="21331C36"/>
  <w16cid:commentId w16cid:paraId="18BA251B" w16cid:durableId="21331C43"/>
  <w16cid:commentId w16cid:paraId="190F0D0F" w16cid:durableId="21331C54"/>
  <w16cid:commentId w16cid:paraId="38FF0145" w16cid:durableId="21331C65"/>
  <w16cid:commentId w16cid:paraId="579FEE3B" w16cid:durableId="21331C80"/>
  <w16cid:commentId w16cid:paraId="5B3594B1" w16cid:durableId="21331CA0"/>
  <w16cid:commentId w16cid:paraId="326E9681" w16cid:durableId="21331CAB"/>
  <w16cid:commentId w16cid:paraId="45AC65B2" w16cid:durableId="21331CB8"/>
  <w16cid:commentId w16cid:paraId="34688F5B" w16cid:durableId="21331CD3"/>
  <w16cid:commentId w16cid:paraId="3F79A928" w16cid:durableId="21331CE5"/>
  <w16cid:commentId w16cid:paraId="36DD7D85" w16cid:durableId="21331D01"/>
  <w16cid:commentId w16cid:paraId="61B88C70" w16cid:durableId="21331D38"/>
  <w16cid:commentId w16cid:paraId="6FB7111A" w16cid:durableId="21331D48"/>
  <w16cid:commentId w16cid:paraId="1BB8EF81" w16cid:durableId="21331D51"/>
  <w16cid:commentId w16cid:paraId="1F6BFAAE" w16cid:durableId="21331D58"/>
  <w16cid:commentId w16cid:paraId="581172BA" w16cid:durableId="21331D73"/>
  <w16cid:commentId w16cid:paraId="59B0124A" w16cid:durableId="21331D81"/>
  <w16cid:commentId w16cid:paraId="782FAA52" w16cid:durableId="21331D94"/>
  <w16cid:commentId w16cid:paraId="2A34CCD2" w16cid:durableId="21331D7C"/>
  <w16cid:commentId w16cid:paraId="040F581F" w16cid:durableId="21331D86"/>
  <w16cid:commentId w16cid:paraId="49BC07F4" w16cid:durableId="21331D9A"/>
  <w16cid:commentId w16cid:paraId="1B57DEC4" w16cid:durableId="21331DA6"/>
  <w16cid:commentId w16cid:paraId="1139F668" w16cid:durableId="21331DB6"/>
  <w16cid:commentId w16cid:paraId="7B235CA1" w16cid:durableId="21331DBA"/>
  <w16cid:commentId w16cid:paraId="7898C677" w16cid:durableId="21331DC9"/>
  <w16cid:commentId w16cid:paraId="08A10383" w16cid:durableId="21331DDB"/>
  <w16cid:commentId w16cid:paraId="719F281C" w16cid:durableId="21331DEF"/>
  <w16cid:commentId w16cid:paraId="5F2401B4" w16cid:durableId="21331E01"/>
  <w16cid:commentId w16cid:paraId="54901175" w16cid:durableId="21331E05"/>
  <w16cid:commentId w16cid:paraId="1131629A" w16cid:durableId="21331E0A"/>
  <w16cid:commentId w16cid:paraId="398911B6" w16cid:durableId="21331E0F"/>
  <w16cid:commentId w16cid:paraId="210294C1" w16cid:durableId="21331E12"/>
  <w16cid:commentId w16cid:paraId="17798133" w16cid:durableId="21331E15"/>
  <w16cid:commentId w16cid:paraId="47CBFA76" w16cid:durableId="21331E19"/>
  <w16cid:commentId w16cid:paraId="3B0E97A8" w16cid:durableId="21331E1D"/>
  <w16cid:commentId w16cid:paraId="77102D67" w16cid:durableId="21331E21"/>
  <w16cid:commentId w16cid:paraId="72954F63" w16cid:durableId="21331E27"/>
  <w16cid:commentId w16cid:paraId="0C2F8D6A" w16cid:durableId="21331E2D"/>
  <w16cid:commentId w16cid:paraId="1D3109C1" w16cid:durableId="21331E31"/>
  <w16cid:commentId w16cid:paraId="563FFA4D" w16cid:durableId="21331E35"/>
  <w16cid:commentId w16cid:paraId="41298B14" w16cid:durableId="21331E5F"/>
  <w16cid:commentId w16cid:paraId="1BA29A31" w16cid:durableId="21331E44"/>
  <w16cid:commentId w16cid:paraId="51ECCBB5" w16cid:durableId="21331E67"/>
  <w16cid:commentId w16cid:paraId="34E7E5D0" w16cid:durableId="21331E4A"/>
  <w16cid:commentId w16cid:paraId="6224D1DC" w16cid:durableId="21331E4E"/>
  <w16cid:commentId w16cid:paraId="3ECDF13B" w16cid:durableId="21331E51"/>
  <w16cid:commentId w16cid:paraId="33FA5344" w16cid:durableId="21331E54"/>
  <w16cid:commentId w16cid:paraId="4E308101" w16cid:durableId="21331E6B"/>
  <w16cid:commentId w16cid:paraId="1FBD2912" w16cid:durableId="21331E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AA22C" w14:textId="77777777" w:rsidR="002607DD" w:rsidRDefault="002607DD">
      <w:r>
        <w:separator/>
      </w:r>
    </w:p>
  </w:endnote>
  <w:endnote w:type="continuationSeparator" w:id="0">
    <w:p w14:paraId="3E05B9BA" w14:textId="77777777" w:rsidR="002607DD" w:rsidRDefault="0026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E6A18" w14:textId="77777777" w:rsidR="002607DD" w:rsidRDefault="002607DD"/>
  </w:footnote>
  <w:footnote w:type="continuationSeparator" w:id="0">
    <w:p w14:paraId="78281EB4" w14:textId="77777777" w:rsidR="002607DD" w:rsidRDefault="002607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93862" w14:textId="7BDA9492" w:rsidR="00053DA9" w:rsidRPr="00D012E6" w:rsidRDefault="00053DA9" w:rsidP="00D012E6">
    <w:pPr>
      <w:pStyle w:val="Header"/>
      <w:tabs>
        <w:tab w:val="clear" w:pos="4513"/>
        <w:tab w:val="clear" w:pos="9026"/>
      </w:tabs>
      <w:jc w:val="center"/>
      <w:rPr>
        <w:rFonts w:ascii="Times New Roman" w:hAnsi="Times New Roman" w:cs="Times New Roman"/>
        <w:sz w:val="22"/>
        <w:szCs w:val="22"/>
      </w:rPr>
    </w:pPr>
    <w:r w:rsidRPr="00D012E6">
      <w:rPr>
        <w:rFonts w:ascii="Times New Roman" w:hAnsi="Times New Roman" w:cs="Times New Roman"/>
        <w:i/>
        <w:iCs/>
        <w:color w:val="auto"/>
        <w:sz w:val="22"/>
        <w:szCs w:val="22"/>
        <w:lang w:val="en-IN"/>
      </w:rPr>
      <w:t xml:space="preserve">Migration Legislation Amendment (No. 1) </w:t>
    </w:r>
    <w:r w:rsidR="00F5596F">
      <w:rPr>
        <w:rFonts w:ascii="Times New Roman" w:hAnsi="Times New Roman" w:cs="Times New Roman"/>
        <w:i/>
        <w:iCs/>
        <w:color w:val="auto"/>
        <w:sz w:val="22"/>
        <w:szCs w:val="22"/>
        <w:lang w:val="en-IN"/>
      </w:rPr>
      <w:tab/>
    </w:r>
    <w:r w:rsidRPr="00D012E6">
      <w:rPr>
        <w:rFonts w:ascii="Times New Roman" w:hAnsi="Times New Roman" w:cs="Times New Roman"/>
        <w:i/>
        <w:iCs/>
        <w:color w:val="auto"/>
        <w:sz w:val="22"/>
        <w:szCs w:val="22"/>
        <w:lang w:val="en-IN"/>
      </w:rPr>
      <w:t>No. 110,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CF2"/>
    <w:multiLevelType w:val="multilevel"/>
    <w:tmpl w:val="E52A34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D6685"/>
    <w:multiLevelType w:val="multilevel"/>
    <w:tmpl w:val="784EB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50087"/>
    <w:multiLevelType w:val="multilevel"/>
    <w:tmpl w:val="B4AA7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C5640"/>
    <w:multiLevelType w:val="multilevel"/>
    <w:tmpl w:val="4C2CA60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3964D5"/>
    <w:multiLevelType w:val="multilevel"/>
    <w:tmpl w:val="3B1C08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E5CAD"/>
    <w:multiLevelType w:val="multilevel"/>
    <w:tmpl w:val="3410B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451E0"/>
    <w:multiLevelType w:val="multilevel"/>
    <w:tmpl w:val="7FBE11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265541"/>
    <w:multiLevelType w:val="multilevel"/>
    <w:tmpl w:val="BB0E8D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F2710F"/>
    <w:multiLevelType w:val="multilevel"/>
    <w:tmpl w:val="40F0A2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6A1C61"/>
    <w:multiLevelType w:val="multilevel"/>
    <w:tmpl w:val="F6584F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E03D27"/>
    <w:multiLevelType w:val="multilevel"/>
    <w:tmpl w:val="70F2621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205E49"/>
    <w:multiLevelType w:val="multilevel"/>
    <w:tmpl w:val="A55095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20FB5"/>
    <w:multiLevelType w:val="multilevel"/>
    <w:tmpl w:val="93A82E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A13517"/>
    <w:multiLevelType w:val="multilevel"/>
    <w:tmpl w:val="CA9A34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A30ECC"/>
    <w:multiLevelType w:val="multilevel"/>
    <w:tmpl w:val="CFCEA1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197266"/>
    <w:multiLevelType w:val="multilevel"/>
    <w:tmpl w:val="E3FCD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045C29"/>
    <w:multiLevelType w:val="multilevel"/>
    <w:tmpl w:val="B06CB4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7F2869"/>
    <w:multiLevelType w:val="multilevel"/>
    <w:tmpl w:val="19B47F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3B73B4"/>
    <w:multiLevelType w:val="multilevel"/>
    <w:tmpl w:val="0B0ABA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526DAF"/>
    <w:multiLevelType w:val="multilevel"/>
    <w:tmpl w:val="1DEC5DE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0C43BD"/>
    <w:multiLevelType w:val="multilevel"/>
    <w:tmpl w:val="CAE407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5E4395"/>
    <w:multiLevelType w:val="multilevel"/>
    <w:tmpl w:val="D7ACA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843DB5"/>
    <w:multiLevelType w:val="multilevel"/>
    <w:tmpl w:val="16ECC3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DA1A58"/>
    <w:multiLevelType w:val="multilevel"/>
    <w:tmpl w:val="A9D843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1F63F8"/>
    <w:multiLevelType w:val="hybridMultilevel"/>
    <w:tmpl w:val="2452BCB6"/>
    <w:lvl w:ilvl="0" w:tplc="AC608A10">
      <w:start w:val="3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F680520"/>
    <w:multiLevelType w:val="multilevel"/>
    <w:tmpl w:val="B060E4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7"/>
  </w:num>
  <w:num w:numId="4">
    <w:abstractNumId w:val="15"/>
  </w:num>
  <w:num w:numId="5">
    <w:abstractNumId w:val="12"/>
  </w:num>
  <w:num w:numId="6">
    <w:abstractNumId w:val="10"/>
  </w:num>
  <w:num w:numId="7">
    <w:abstractNumId w:val="18"/>
  </w:num>
  <w:num w:numId="8">
    <w:abstractNumId w:val="6"/>
  </w:num>
  <w:num w:numId="9">
    <w:abstractNumId w:val="4"/>
  </w:num>
  <w:num w:numId="10">
    <w:abstractNumId w:val="21"/>
  </w:num>
  <w:num w:numId="11">
    <w:abstractNumId w:val="23"/>
  </w:num>
  <w:num w:numId="12">
    <w:abstractNumId w:val="25"/>
  </w:num>
  <w:num w:numId="13">
    <w:abstractNumId w:val="0"/>
  </w:num>
  <w:num w:numId="14">
    <w:abstractNumId w:val="8"/>
  </w:num>
  <w:num w:numId="15">
    <w:abstractNumId w:val="20"/>
  </w:num>
  <w:num w:numId="16">
    <w:abstractNumId w:val="7"/>
  </w:num>
  <w:num w:numId="17">
    <w:abstractNumId w:val="16"/>
  </w:num>
  <w:num w:numId="18">
    <w:abstractNumId w:val="19"/>
  </w:num>
  <w:num w:numId="19">
    <w:abstractNumId w:val="9"/>
  </w:num>
  <w:num w:numId="20">
    <w:abstractNumId w:val="1"/>
  </w:num>
  <w:num w:numId="21">
    <w:abstractNumId w:val="22"/>
  </w:num>
  <w:num w:numId="22">
    <w:abstractNumId w:val="14"/>
  </w:num>
  <w:num w:numId="23">
    <w:abstractNumId w:val="11"/>
  </w:num>
  <w:num w:numId="24">
    <w:abstractNumId w:val="5"/>
  </w:num>
  <w:num w:numId="25">
    <w:abstractNumId w:val="13"/>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51BAA"/>
    <w:rsid w:val="00007F99"/>
    <w:rsid w:val="000419AA"/>
    <w:rsid w:val="00053DA9"/>
    <w:rsid w:val="00071D42"/>
    <w:rsid w:val="000E2228"/>
    <w:rsid w:val="000E29FA"/>
    <w:rsid w:val="00135586"/>
    <w:rsid w:val="00151BAA"/>
    <w:rsid w:val="00162C33"/>
    <w:rsid w:val="001D60A5"/>
    <w:rsid w:val="001F327F"/>
    <w:rsid w:val="001F6D54"/>
    <w:rsid w:val="00211114"/>
    <w:rsid w:val="002607DD"/>
    <w:rsid w:val="002C2E5B"/>
    <w:rsid w:val="002C6FEB"/>
    <w:rsid w:val="002D786E"/>
    <w:rsid w:val="003011C4"/>
    <w:rsid w:val="0032675A"/>
    <w:rsid w:val="00375D2F"/>
    <w:rsid w:val="00384080"/>
    <w:rsid w:val="003C3C87"/>
    <w:rsid w:val="003E0877"/>
    <w:rsid w:val="00410CB8"/>
    <w:rsid w:val="0043782B"/>
    <w:rsid w:val="00494C72"/>
    <w:rsid w:val="004B4CB2"/>
    <w:rsid w:val="004C0678"/>
    <w:rsid w:val="004C3AEC"/>
    <w:rsid w:val="00542C6D"/>
    <w:rsid w:val="00574B4B"/>
    <w:rsid w:val="0059271F"/>
    <w:rsid w:val="005F09BE"/>
    <w:rsid w:val="005F3036"/>
    <w:rsid w:val="00624ACD"/>
    <w:rsid w:val="00665FB7"/>
    <w:rsid w:val="00693D3F"/>
    <w:rsid w:val="006A1399"/>
    <w:rsid w:val="00771A42"/>
    <w:rsid w:val="00823EE7"/>
    <w:rsid w:val="008510AD"/>
    <w:rsid w:val="00872450"/>
    <w:rsid w:val="0088653A"/>
    <w:rsid w:val="008A2F03"/>
    <w:rsid w:val="00A06527"/>
    <w:rsid w:val="00A20286"/>
    <w:rsid w:val="00A304CF"/>
    <w:rsid w:val="00A46B93"/>
    <w:rsid w:val="00A612A8"/>
    <w:rsid w:val="00A91DFD"/>
    <w:rsid w:val="00AA4CBE"/>
    <w:rsid w:val="00AB5B02"/>
    <w:rsid w:val="00AD4DFD"/>
    <w:rsid w:val="00AF3009"/>
    <w:rsid w:val="00B16295"/>
    <w:rsid w:val="00B248D3"/>
    <w:rsid w:val="00B24D28"/>
    <w:rsid w:val="00B35635"/>
    <w:rsid w:val="00BB6E97"/>
    <w:rsid w:val="00BF24F2"/>
    <w:rsid w:val="00C516EF"/>
    <w:rsid w:val="00C9466A"/>
    <w:rsid w:val="00CB26AC"/>
    <w:rsid w:val="00D012E6"/>
    <w:rsid w:val="00D10593"/>
    <w:rsid w:val="00D13F4E"/>
    <w:rsid w:val="00D20C5D"/>
    <w:rsid w:val="00D374D5"/>
    <w:rsid w:val="00D70D1D"/>
    <w:rsid w:val="00D92CED"/>
    <w:rsid w:val="00DA1259"/>
    <w:rsid w:val="00DA75D1"/>
    <w:rsid w:val="00DC13D0"/>
    <w:rsid w:val="00E1142B"/>
    <w:rsid w:val="00E437E2"/>
    <w:rsid w:val="00E46A85"/>
    <w:rsid w:val="00E90191"/>
    <w:rsid w:val="00E92563"/>
    <w:rsid w:val="00E9577A"/>
    <w:rsid w:val="00ED172C"/>
    <w:rsid w:val="00F5596F"/>
    <w:rsid w:val="00F85363"/>
    <w:rsid w:val="00FB1A2F"/>
    <w:rsid w:val="00FC14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AE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9"/>
      <w:szCs w:val="39"/>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7"/>
      <w:szCs w:val="27"/>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character" w:customStyle="1" w:styleId="Bodytext5Bold">
    <w:name w:val="Body text (5) + Bold"/>
    <w:basedOn w:val="Bodytext5"/>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19"/>
      <w:szCs w:val="19"/>
      <w:u w:val="none"/>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sz w:val="16"/>
      <w:szCs w:val="16"/>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z w:val="39"/>
      <w:szCs w:val="39"/>
    </w:rPr>
  </w:style>
  <w:style w:type="paragraph" w:customStyle="1" w:styleId="Bodytext20">
    <w:name w:val="Body text (2)"/>
    <w:basedOn w:val="Normal"/>
    <w:link w:val="Bodytext2"/>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Bodytext30">
    <w:name w:val="Body text (3)"/>
    <w:basedOn w:val="Normal"/>
    <w:link w:val="Bodytext3"/>
    <w:pPr>
      <w:shd w:val="clear" w:color="auto" w:fill="FFFFFF"/>
      <w:spacing w:line="0" w:lineRule="atLeast"/>
      <w:jc w:val="center"/>
    </w:pPr>
    <w:rPr>
      <w:rFonts w:ascii="Times New Roman" w:eastAsia="Times New Roman" w:hAnsi="Times New Roman" w:cs="Times New Roman"/>
      <w:b/>
      <w:bCs/>
      <w:sz w:val="27"/>
      <w:szCs w:val="27"/>
    </w:rPr>
  </w:style>
  <w:style w:type="paragraph" w:customStyle="1" w:styleId="Bodytext40">
    <w:name w:val="Body text (4)"/>
    <w:basedOn w:val="Normal"/>
    <w:link w:val="Bodytext4"/>
    <w:pPr>
      <w:shd w:val="clear" w:color="auto" w:fill="FFFFFF"/>
      <w:spacing w:line="0" w:lineRule="atLeast"/>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hd w:val="clear" w:color="auto" w:fill="FFFFFF"/>
      <w:spacing w:line="0" w:lineRule="atLeast"/>
      <w:ind w:hanging="540"/>
    </w:pPr>
    <w:rPr>
      <w:rFonts w:ascii="Times New Roman" w:eastAsia="Times New Roman" w:hAnsi="Times New Roman" w:cs="Times New Roman"/>
      <w:sz w:val="22"/>
      <w:szCs w:val="22"/>
    </w:rPr>
  </w:style>
  <w:style w:type="paragraph" w:customStyle="1" w:styleId="Bodytext50">
    <w:name w:val="Body text (5)"/>
    <w:basedOn w:val="Normal"/>
    <w:link w:val="Bodytext5"/>
    <w:pPr>
      <w:shd w:val="clear" w:color="auto" w:fill="FFFFFF"/>
      <w:spacing w:line="0" w:lineRule="atLeast"/>
      <w:ind w:hanging="360"/>
      <w:jc w:val="center"/>
    </w:pPr>
    <w:rPr>
      <w:rFonts w:ascii="Times New Roman" w:eastAsia="Times New Roman" w:hAnsi="Times New Roman" w:cs="Times New Roman"/>
      <w:sz w:val="19"/>
      <w:szCs w:val="19"/>
    </w:rPr>
  </w:style>
  <w:style w:type="paragraph" w:customStyle="1" w:styleId="Bodytext60">
    <w:name w:val="Body text (6)"/>
    <w:basedOn w:val="Normal"/>
    <w:link w:val="Bodytext6"/>
    <w:pPr>
      <w:shd w:val="clear" w:color="auto" w:fill="FFFFFF"/>
      <w:spacing w:line="0" w:lineRule="atLeast"/>
      <w:ind w:hanging="360"/>
      <w:jc w:val="both"/>
    </w:pPr>
    <w:rPr>
      <w:rFonts w:ascii="Times New Roman" w:eastAsia="Times New Roman" w:hAnsi="Times New Roman" w:cs="Times New Roman"/>
      <w:i/>
      <w:iCs/>
      <w:sz w:val="19"/>
      <w:szCs w:val="19"/>
    </w:rPr>
  </w:style>
  <w:style w:type="paragraph" w:styleId="Header">
    <w:name w:val="header"/>
    <w:basedOn w:val="Normal"/>
    <w:link w:val="HeaderChar"/>
    <w:uiPriority w:val="99"/>
    <w:unhideWhenUsed/>
    <w:rsid w:val="00D012E6"/>
    <w:pPr>
      <w:tabs>
        <w:tab w:val="center" w:pos="4513"/>
        <w:tab w:val="right" w:pos="9026"/>
      </w:tabs>
    </w:pPr>
  </w:style>
  <w:style w:type="character" w:customStyle="1" w:styleId="HeaderChar">
    <w:name w:val="Header Char"/>
    <w:basedOn w:val="DefaultParagraphFont"/>
    <w:link w:val="Header"/>
    <w:uiPriority w:val="99"/>
    <w:rsid w:val="00D012E6"/>
    <w:rPr>
      <w:color w:val="000000"/>
    </w:rPr>
  </w:style>
  <w:style w:type="paragraph" w:styleId="Footer">
    <w:name w:val="footer"/>
    <w:basedOn w:val="Normal"/>
    <w:link w:val="FooterChar"/>
    <w:uiPriority w:val="99"/>
    <w:unhideWhenUsed/>
    <w:rsid w:val="00D012E6"/>
    <w:pPr>
      <w:tabs>
        <w:tab w:val="center" w:pos="4513"/>
        <w:tab w:val="right" w:pos="9026"/>
      </w:tabs>
    </w:pPr>
  </w:style>
  <w:style w:type="character" w:customStyle="1" w:styleId="FooterChar">
    <w:name w:val="Footer Char"/>
    <w:basedOn w:val="DefaultParagraphFont"/>
    <w:link w:val="Footer"/>
    <w:uiPriority w:val="99"/>
    <w:rsid w:val="00D012E6"/>
    <w:rPr>
      <w:color w:val="000000"/>
    </w:rPr>
  </w:style>
  <w:style w:type="character" w:customStyle="1" w:styleId="Bodytext8">
    <w:name w:val="Body text (8)_"/>
    <w:basedOn w:val="DefaultParagraphFont"/>
    <w:link w:val="Bodytext80"/>
    <w:locked/>
    <w:rsid w:val="00542C6D"/>
    <w:rPr>
      <w:rFonts w:ascii="Times New Roman" w:eastAsia="Times New Roman" w:hAnsi="Times New Roman" w:cs="Times New Roman"/>
      <w:sz w:val="22"/>
      <w:szCs w:val="22"/>
    </w:rPr>
  </w:style>
  <w:style w:type="paragraph" w:customStyle="1" w:styleId="Bodytext80">
    <w:name w:val="Body text (8)"/>
    <w:basedOn w:val="Normal"/>
    <w:link w:val="Bodytext8"/>
    <w:rsid w:val="00542C6D"/>
    <w:pPr>
      <w:spacing w:line="0" w:lineRule="atLeast"/>
      <w:ind w:hanging="500"/>
    </w:pPr>
    <w:rPr>
      <w:rFonts w:ascii="Times New Roman" w:eastAsia="Times New Roman" w:hAnsi="Times New Roman" w:cs="Times New Roman"/>
      <w:color w:val="auto"/>
      <w:sz w:val="22"/>
      <w:szCs w:val="22"/>
    </w:rPr>
  </w:style>
  <w:style w:type="table" w:styleId="TableGrid">
    <w:name w:val="Table Grid"/>
    <w:basedOn w:val="TableNormal"/>
    <w:uiPriority w:val="59"/>
    <w:rsid w:val="0054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4CBE"/>
    <w:rPr>
      <w:sz w:val="16"/>
      <w:szCs w:val="16"/>
    </w:rPr>
  </w:style>
  <w:style w:type="paragraph" w:styleId="CommentText">
    <w:name w:val="annotation text"/>
    <w:basedOn w:val="Normal"/>
    <w:link w:val="CommentTextChar"/>
    <w:uiPriority w:val="99"/>
    <w:semiHidden/>
    <w:unhideWhenUsed/>
    <w:rsid w:val="00AA4CBE"/>
    <w:rPr>
      <w:sz w:val="20"/>
      <w:szCs w:val="20"/>
    </w:rPr>
  </w:style>
  <w:style w:type="character" w:customStyle="1" w:styleId="CommentTextChar">
    <w:name w:val="Comment Text Char"/>
    <w:basedOn w:val="DefaultParagraphFont"/>
    <w:link w:val="CommentText"/>
    <w:uiPriority w:val="99"/>
    <w:semiHidden/>
    <w:rsid w:val="00AA4CBE"/>
    <w:rPr>
      <w:color w:val="000000"/>
      <w:sz w:val="20"/>
      <w:szCs w:val="20"/>
    </w:rPr>
  </w:style>
  <w:style w:type="paragraph" w:styleId="CommentSubject">
    <w:name w:val="annotation subject"/>
    <w:basedOn w:val="CommentText"/>
    <w:next w:val="CommentText"/>
    <w:link w:val="CommentSubjectChar"/>
    <w:uiPriority w:val="99"/>
    <w:semiHidden/>
    <w:unhideWhenUsed/>
    <w:rsid w:val="00AA4CBE"/>
    <w:rPr>
      <w:b/>
      <w:bCs/>
    </w:rPr>
  </w:style>
  <w:style w:type="character" w:customStyle="1" w:styleId="CommentSubjectChar">
    <w:name w:val="Comment Subject Char"/>
    <w:basedOn w:val="CommentTextChar"/>
    <w:link w:val="CommentSubject"/>
    <w:uiPriority w:val="99"/>
    <w:semiHidden/>
    <w:rsid w:val="00AA4CBE"/>
    <w:rPr>
      <w:b/>
      <w:bCs/>
      <w:color w:val="000000"/>
      <w:sz w:val="20"/>
      <w:szCs w:val="20"/>
    </w:rPr>
  </w:style>
  <w:style w:type="paragraph" w:styleId="BalloonText">
    <w:name w:val="Balloon Text"/>
    <w:basedOn w:val="Normal"/>
    <w:link w:val="BalloonTextChar"/>
    <w:uiPriority w:val="99"/>
    <w:semiHidden/>
    <w:unhideWhenUsed/>
    <w:rsid w:val="00AA4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BE"/>
    <w:rPr>
      <w:rFonts w:ascii="Segoe UI" w:hAnsi="Segoe UI" w:cs="Segoe UI"/>
      <w:color w:val="000000"/>
      <w:sz w:val="18"/>
      <w:szCs w:val="18"/>
    </w:rPr>
  </w:style>
  <w:style w:type="paragraph" w:styleId="Revision">
    <w:name w:val="Revision"/>
    <w:hidden/>
    <w:uiPriority w:val="99"/>
    <w:semiHidden/>
    <w:rsid w:val="00F5596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7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392B-A8F5-4034-B313-27F57206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2019-09-23T00:35:00Z</dcterms:created>
  <dcterms:modified xsi:type="dcterms:W3CDTF">2019-11-15T01:04:00Z</dcterms:modified>
</cp:coreProperties>
</file>