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3E166" w14:textId="77777777" w:rsidR="00B54B11" w:rsidRDefault="00A677B1" w:rsidP="009452F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AU" w:eastAsia="en-AU"/>
        </w:rPr>
        <w:drawing>
          <wp:inline distT="0" distB="0" distL="0" distR="0" wp14:anchorId="2599F445" wp14:editId="5C256EF2">
            <wp:extent cx="1647825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mal\L067_2\Word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bookmark0"/>
    </w:p>
    <w:p w14:paraId="3D4ACE70" w14:textId="77777777" w:rsidR="00283E0E" w:rsidRPr="00B54B11" w:rsidRDefault="00902E2F" w:rsidP="009452FE">
      <w:pPr>
        <w:spacing w:before="9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4B11">
        <w:rPr>
          <w:rFonts w:ascii="Times New Roman" w:hAnsi="Times New Roman" w:cs="Times New Roman"/>
          <w:b/>
          <w:sz w:val="36"/>
          <w:szCs w:val="36"/>
        </w:rPr>
        <w:t>Governor-General Amendment Act 1995</w:t>
      </w:r>
      <w:bookmarkEnd w:id="0"/>
    </w:p>
    <w:p w14:paraId="79DE63FE" w14:textId="55195713" w:rsidR="00283E0E" w:rsidRPr="008163CA" w:rsidRDefault="00902E2F" w:rsidP="009452FE">
      <w:pPr>
        <w:pStyle w:val="Bodytext20"/>
        <w:shd w:val="clear" w:color="auto" w:fill="auto"/>
        <w:spacing w:before="960" w:line="240" w:lineRule="auto"/>
        <w:rPr>
          <w:sz w:val="24"/>
          <w:szCs w:val="22"/>
        </w:rPr>
      </w:pPr>
      <w:r w:rsidRPr="008163CA">
        <w:rPr>
          <w:sz w:val="24"/>
          <w:szCs w:val="22"/>
        </w:rPr>
        <w:t>No. 122 of 1995</w:t>
      </w:r>
    </w:p>
    <w:p w14:paraId="63AF0826" w14:textId="77777777" w:rsidR="00B54B11" w:rsidRPr="00690A6A" w:rsidRDefault="00B54B11" w:rsidP="00B32208">
      <w:pPr>
        <w:pStyle w:val="Bodytext20"/>
        <w:pBdr>
          <w:bottom w:val="thickThinLargeGap" w:sz="24" w:space="1" w:color="auto"/>
        </w:pBdr>
        <w:shd w:val="clear" w:color="auto" w:fill="auto"/>
        <w:spacing w:before="960" w:line="240" w:lineRule="auto"/>
        <w:jc w:val="both"/>
        <w:rPr>
          <w:sz w:val="22"/>
          <w:szCs w:val="22"/>
        </w:rPr>
      </w:pPr>
    </w:p>
    <w:p w14:paraId="4CD883D4" w14:textId="77777777" w:rsidR="00283E0E" w:rsidRPr="00B54B11" w:rsidRDefault="00902E2F" w:rsidP="000238C5">
      <w:pPr>
        <w:pStyle w:val="Bodytext20"/>
        <w:shd w:val="clear" w:color="auto" w:fill="auto"/>
        <w:spacing w:before="960" w:line="240" w:lineRule="auto"/>
        <w:rPr>
          <w:sz w:val="26"/>
          <w:szCs w:val="26"/>
        </w:rPr>
      </w:pPr>
      <w:r w:rsidRPr="00B54B11">
        <w:rPr>
          <w:sz w:val="26"/>
          <w:szCs w:val="26"/>
        </w:rPr>
        <w:t xml:space="preserve">An Act to amend the </w:t>
      </w:r>
      <w:r w:rsidRPr="00B54B11">
        <w:rPr>
          <w:rStyle w:val="Bodytext2Italic"/>
          <w:b/>
          <w:bCs/>
          <w:sz w:val="26"/>
          <w:szCs w:val="26"/>
        </w:rPr>
        <w:t>Governor-General Act 1974</w:t>
      </w:r>
      <w:r w:rsidRPr="00B54B11">
        <w:rPr>
          <w:sz w:val="26"/>
          <w:szCs w:val="26"/>
        </w:rPr>
        <w:t>, and for</w:t>
      </w:r>
      <w:r w:rsidR="000238C5">
        <w:rPr>
          <w:sz w:val="26"/>
          <w:szCs w:val="26"/>
        </w:rPr>
        <w:t xml:space="preserve"> </w:t>
      </w:r>
      <w:r w:rsidRPr="00B54B11">
        <w:rPr>
          <w:sz w:val="26"/>
          <w:szCs w:val="26"/>
        </w:rPr>
        <w:t>related purposes</w:t>
      </w:r>
    </w:p>
    <w:p w14:paraId="294636AE" w14:textId="77777777" w:rsidR="00283E0E" w:rsidRPr="00B54B11" w:rsidRDefault="00902E2F" w:rsidP="005E3C21">
      <w:pPr>
        <w:pStyle w:val="Bodytext30"/>
        <w:shd w:val="clear" w:color="auto" w:fill="auto"/>
        <w:spacing w:before="120" w:line="240" w:lineRule="auto"/>
        <w:rPr>
          <w:sz w:val="22"/>
          <w:szCs w:val="22"/>
        </w:rPr>
      </w:pPr>
      <w:r w:rsidRPr="00C35D31">
        <w:rPr>
          <w:rStyle w:val="Bodytext31"/>
          <w:iCs/>
          <w:sz w:val="22"/>
          <w:szCs w:val="22"/>
        </w:rPr>
        <w:t>[</w:t>
      </w:r>
      <w:r w:rsidRPr="00B54B11">
        <w:rPr>
          <w:rStyle w:val="Bodytext31"/>
          <w:i/>
          <w:iCs/>
          <w:sz w:val="22"/>
          <w:szCs w:val="22"/>
        </w:rPr>
        <w:t>Assented to 2 November 1995</w:t>
      </w:r>
      <w:r w:rsidRPr="00C35D31">
        <w:rPr>
          <w:rStyle w:val="Bodytext31"/>
          <w:iCs/>
          <w:sz w:val="22"/>
          <w:szCs w:val="22"/>
        </w:rPr>
        <w:t>]</w:t>
      </w:r>
    </w:p>
    <w:p w14:paraId="05AC82D0" w14:textId="77777777" w:rsidR="00283E0E" w:rsidRPr="00B54B11" w:rsidRDefault="00902E2F" w:rsidP="00690A6A">
      <w:pPr>
        <w:pStyle w:val="BodyText1"/>
        <w:shd w:val="clear" w:color="auto" w:fill="auto"/>
        <w:spacing w:before="120" w:line="240" w:lineRule="auto"/>
        <w:ind w:firstLine="274"/>
        <w:rPr>
          <w:sz w:val="22"/>
          <w:szCs w:val="22"/>
        </w:rPr>
      </w:pPr>
      <w:r w:rsidRPr="00B54B11">
        <w:rPr>
          <w:sz w:val="22"/>
          <w:szCs w:val="22"/>
        </w:rPr>
        <w:t>The Parliament of Australia enacts:</w:t>
      </w:r>
    </w:p>
    <w:p w14:paraId="4623119F" w14:textId="77777777" w:rsidR="00283E0E" w:rsidRPr="00B54B11" w:rsidRDefault="00902E2F" w:rsidP="009452FE">
      <w:pPr>
        <w:pStyle w:val="Bodytext20"/>
        <w:shd w:val="clear" w:color="auto" w:fill="auto"/>
        <w:spacing w:before="120" w:after="60" w:line="240" w:lineRule="auto"/>
        <w:jc w:val="both"/>
        <w:rPr>
          <w:sz w:val="22"/>
          <w:szCs w:val="22"/>
        </w:rPr>
      </w:pPr>
      <w:bookmarkStart w:id="1" w:name="bookmark1"/>
      <w:r w:rsidRPr="00B54B11">
        <w:rPr>
          <w:sz w:val="22"/>
          <w:szCs w:val="22"/>
        </w:rPr>
        <w:t>Short title</w:t>
      </w:r>
      <w:bookmarkEnd w:id="1"/>
    </w:p>
    <w:p w14:paraId="4A67D31C" w14:textId="77777777" w:rsidR="009452FE" w:rsidRDefault="009452FE" w:rsidP="005E3C21">
      <w:pPr>
        <w:pStyle w:val="BodyText1"/>
        <w:shd w:val="clear" w:color="auto" w:fill="auto"/>
        <w:tabs>
          <w:tab w:val="left" w:pos="720"/>
        </w:tabs>
        <w:spacing w:before="120" w:line="240" w:lineRule="auto"/>
        <w:ind w:firstLine="274"/>
        <w:rPr>
          <w:rStyle w:val="BodytextItalic"/>
          <w:i w:val="0"/>
          <w:iCs w:val="0"/>
          <w:sz w:val="22"/>
          <w:szCs w:val="22"/>
        </w:rPr>
      </w:pPr>
      <w:r w:rsidRPr="009452FE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="00902E2F" w:rsidRPr="00B54B11">
        <w:rPr>
          <w:sz w:val="22"/>
          <w:szCs w:val="22"/>
        </w:rPr>
        <w:t xml:space="preserve">This Act may be cited as the </w:t>
      </w:r>
      <w:r w:rsidR="00902E2F" w:rsidRPr="00B54B11">
        <w:rPr>
          <w:rStyle w:val="BodytextItalic"/>
          <w:sz w:val="22"/>
          <w:szCs w:val="22"/>
        </w:rPr>
        <w:t>Governor-General Amendment Act 1995.</w:t>
      </w:r>
    </w:p>
    <w:p w14:paraId="0C1AA48E" w14:textId="77777777" w:rsidR="00283E0E" w:rsidRPr="00B54B11" w:rsidRDefault="00902E2F" w:rsidP="009452FE">
      <w:pPr>
        <w:pStyle w:val="Bodytext20"/>
        <w:shd w:val="clear" w:color="auto" w:fill="auto"/>
        <w:spacing w:before="120" w:after="60" w:line="240" w:lineRule="auto"/>
        <w:jc w:val="both"/>
        <w:rPr>
          <w:sz w:val="22"/>
          <w:szCs w:val="22"/>
        </w:rPr>
      </w:pPr>
      <w:r w:rsidRPr="00B54B11">
        <w:rPr>
          <w:sz w:val="22"/>
          <w:szCs w:val="22"/>
        </w:rPr>
        <w:t>Commencement</w:t>
      </w:r>
    </w:p>
    <w:p w14:paraId="752784B8" w14:textId="77777777" w:rsidR="009452FE" w:rsidRDefault="009452FE" w:rsidP="005E3C21">
      <w:pPr>
        <w:pStyle w:val="BodyText1"/>
        <w:shd w:val="clear" w:color="auto" w:fill="auto"/>
        <w:tabs>
          <w:tab w:val="left" w:pos="720"/>
        </w:tabs>
        <w:spacing w:before="120" w:line="240" w:lineRule="auto"/>
        <w:ind w:firstLine="274"/>
        <w:rPr>
          <w:sz w:val="22"/>
          <w:szCs w:val="22"/>
        </w:rPr>
      </w:pPr>
      <w:r w:rsidRPr="009452FE">
        <w:rPr>
          <w:b/>
          <w:sz w:val="22"/>
          <w:szCs w:val="22"/>
        </w:rPr>
        <w:t>2.</w:t>
      </w:r>
      <w:r>
        <w:rPr>
          <w:sz w:val="22"/>
          <w:szCs w:val="22"/>
        </w:rPr>
        <w:tab/>
      </w:r>
      <w:r w:rsidR="00902E2F" w:rsidRPr="00B54B11">
        <w:rPr>
          <w:sz w:val="22"/>
          <w:szCs w:val="22"/>
        </w:rPr>
        <w:t>This Act commences on the day on which it receives the Royal Assent.</w:t>
      </w:r>
    </w:p>
    <w:p w14:paraId="081B7C56" w14:textId="77777777" w:rsidR="009452FE" w:rsidRDefault="009452FE" w:rsidP="009452F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14:paraId="217D9B87" w14:textId="1C698B43" w:rsidR="00283E0E" w:rsidRPr="00B54B11" w:rsidRDefault="00902E2F" w:rsidP="009452FE">
      <w:pPr>
        <w:pStyle w:val="Bodytext20"/>
        <w:shd w:val="clear" w:color="auto" w:fill="auto"/>
        <w:spacing w:before="120" w:after="60" w:line="240" w:lineRule="auto"/>
        <w:jc w:val="both"/>
        <w:rPr>
          <w:sz w:val="22"/>
          <w:szCs w:val="22"/>
        </w:rPr>
      </w:pPr>
      <w:r w:rsidRPr="00B54B11">
        <w:rPr>
          <w:sz w:val="22"/>
          <w:szCs w:val="22"/>
        </w:rPr>
        <w:lastRenderedPageBreak/>
        <w:t>Schedule</w:t>
      </w:r>
    </w:p>
    <w:p w14:paraId="6AC44AEE" w14:textId="77777777" w:rsidR="009452FE" w:rsidRDefault="009452FE" w:rsidP="005E3C21">
      <w:pPr>
        <w:pStyle w:val="BodyText1"/>
        <w:shd w:val="clear" w:color="auto" w:fill="auto"/>
        <w:tabs>
          <w:tab w:val="left" w:pos="720"/>
        </w:tabs>
        <w:spacing w:before="120" w:line="240" w:lineRule="auto"/>
        <w:ind w:firstLine="274"/>
        <w:rPr>
          <w:sz w:val="22"/>
          <w:szCs w:val="22"/>
        </w:rPr>
      </w:pPr>
      <w:r w:rsidRPr="009452FE">
        <w:rPr>
          <w:b/>
          <w:sz w:val="22"/>
          <w:szCs w:val="22"/>
        </w:rPr>
        <w:t>3.</w:t>
      </w:r>
      <w:r>
        <w:rPr>
          <w:sz w:val="22"/>
          <w:szCs w:val="22"/>
        </w:rPr>
        <w:tab/>
      </w:r>
      <w:r w:rsidR="00902E2F" w:rsidRPr="00B54B11">
        <w:rPr>
          <w:sz w:val="22"/>
          <w:szCs w:val="22"/>
        </w:rPr>
        <w:t xml:space="preserve">The </w:t>
      </w:r>
      <w:r w:rsidR="00902E2F" w:rsidRPr="00B54B11">
        <w:rPr>
          <w:rStyle w:val="BodytextItalic"/>
          <w:sz w:val="22"/>
          <w:szCs w:val="22"/>
        </w:rPr>
        <w:t>Governor-General Act 1974</w:t>
      </w:r>
      <w:r w:rsidR="00902E2F" w:rsidRPr="00B54B11">
        <w:rPr>
          <w:sz w:val="22"/>
          <w:szCs w:val="22"/>
        </w:rPr>
        <w:t xml:space="preserve"> is amended in accordance with </w:t>
      </w:r>
      <w:r>
        <w:rPr>
          <w:sz w:val="22"/>
          <w:szCs w:val="22"/>
        </w:rPr>
        <w:t xml:space="preserve">item 1 of the Schedule and item </w:t>
      </w:r>
      <w:r w:rsidR="00902E2F" w:rsidRPr="00B54B11">
        <w:rPr>
          <w:sz w:val="22"/>
          <w:szCs w:val="22"/>
        </w:rPr>
        <w:t>2 of the Schedule has effect according to its terms.</w:t>
      </w:r>
    </w:p>
    <w:p w14:paraId="077B71D8" w14:textId="77777777" w:rsidR="009452FE" w:rsidRDefault="009452FE" w:rsidP="009452FE">
      <w:pPr>
        <w:pStyle w:val="BodyText1"/>
        <w:shd w:val="clear" w:color="auto" w:fill="auto"/>
        <w:tabs>
          <w:tab w:val="left" w:pos="720"/>
        </w:tabs>
        <w:spacing w:before="160" w:line="240" w:lineRule="auto"/>
        <w:ind w:firstLine="274"/>
        <w:jc w:val="center"/>
        <w:rPr>
          <w:sz w:val="22"/>
          <w:szCs w:val="22"/>
        </w:rPr>
      </w:pPr>
      <w:r>
        <w:rPr>
          <w:sz w:val="22"/>
          <w:szCs w:val="22"/>
        </w:rPr>
        <w:t>––––––––––––</w:t>
      </w:r>
    </w:p>
    <w:p w14:paraId="25CB15CE" w14:textId="77777777" w:rsidR="009452FE" w:rsidRDefault="009452FE" w:rsidP="009452F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14:paraId="7B104B5C" w14:textId="3794FA4B" w:rsidR="00283E0E" w:rsidRPr="00B54B11" w:rsidRDefault="00902E2F" w:rsidP="00025D30">
      <w:pPr>
        <w:pStyle w:val="Bodytext40"/>
        <w:shd w:val="clear" w:color="auto" w:fill="auto"/>
        <w:tabs>
          <w:tab w:val="right" w:pos="9360"/>
        </w:tabs>
        <w:spacing w:line="240" w:lineRule="auto"/>
        <w:ind w:left="4050"/>
        <w:rPr>
          <w:sz w:val="22"/>
          <w:szCs w:val="22"/>
        </w:rPr>
      </w:pPr>
      <w:r w:rsidRPr="00B54B11">
        <w:rPr>
          <w:rStyle w:val="Bodytext4115pt"/>
          <w:sz w:val="22"/>
          <w:szCs w:val="22"/>
        </w:rPr>
        <w:lastRenderedPageBreak/>
        <w:t>SCHEDULE</w:t>
      </w:r>
      <w:r w:rsidR="00BB51BC">
        <w:rPr>
          <w:rStyle w:val="Bodytext4115pt"/>
          <w:sz w:val="22"/>
          <w:szCs w:val="22"/>
        </w:rPr>
        <w:t xml:space="preserve"> </w:t>
      </w:r>
      <w:r w:rsidR="00BB51BC">
        <w:rPr>
          <w:rStyle w:val="Bodytext4115pt"/>
          <w:sz w:val="22"/>
          <w:szCs w:val="22"/>
        </w:rPr>
        <w:tab/>
      </w:r>
      <w:r w:rsidRPr="008163CA">
        <w:rPr>
          <w:sz w:val="20"/>
          <w:szCs w:val="22"/>
        </w:rPr>
        <w:t>Section</w:t>
      </w:r>
      <w:r w:rsidR="00BB51BC" w:rsidRPr="008163CA">
        <w:rPr>
          <w:sz w:val="20"/>
          <w:szCs w:val="22"/>
        </w:rPr>
        <w:t xml:space="preserve"> </w:t>
      </w:r>
      <w:r w:rsidRPr="008163CA">
        <w:rPr>
          <w:sz w:val="20"/>
          <w:szCs w:val="22"/>
        </w:rPr>
        <w:t>3</w:t>
      </w:r>
    </w:p>
    <w:p w14:paraId="3B280C39" w14:textId="77777777" w:rsidR="00283E0E" w:rsidRPr="00B54B11" w:rsidRDefault="00902E2F" w:rsidP="005E3C21">
      <w:pPr>
        <w:pStyle w:val="BodyText1"/>
        <w:shd w:val="clear" w:color="auto" w:fill="auto"/>
        <w:spacing w:before="120" w:line="240" w:lineRule="auto"/>
        <w:jc w:val="center"/>
        <w:rPr>
          <w:sz w:val="22"/>
          <w:szCs w:val="22"/>
        </w:rPr>
      </w:pPr>
      <w:r w:rsidRPr="00B54B11">
        <w:rPr>
          <w:sz w:val="22"/>
          <w:szCs w:val="22"/>
        </w:rPr>
        <w:t>AMENDMENT OF THE GOVERNOR-GENERAL ACT 1974</w:t>
      </w:r>
    </w:p>
    <w:p w14:paraId="0A69ADAB" w14:textId="77777777" w:rsidR="00283E0E" w:rsidRPr="00BB51BC" w:rsidRDefault="006A76E8" w:rsidP="006A76E8">
      <w:pPr>
        <w:pStyle w:val="BodyText1"/>
        <w:shd w:val="clear" w:color="auto" w:fill="auto"/>
        <w:spacing w:before="120" w:after="6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902E2F" w:rsidRPr="00BB51BC">
        <w:rPr>
          <w:b/>
          <w:sz w:val="22"/>
          <w:szCs w:val="22"/>
        </w:rPr>
        <w:t>Section 3:</w:t>
      </w:r>
    </w:p>
    <w:p w14:paraId="13382D20" w14:textId="77777777" w:rsidR="00283E0E" w:rsidRPr="00B54B11" w:rsidRDefault="00902E2F" w:rsidP="00690A6A">
      <w:pPr>
        <w:pStyle w:val="BodyText1"/>
        <w:shd w:val="clear" w:color="auto" w:fill="auto"/>
        <w:spacing w:before="120" w:line="240" w:lineRule="auto"/>
        <w:ind w:firstLine="270"/>
        <w:rPr>
          <w:sz w:val="22"/>
          <w:szCs w:val="22"/>
        </w:rPr>
      </w:pPr>
      <w:r w:rsidRPr="00B54B11">
        <w:rPr>
          <w:sz w:val="22"/>
          <w:szCs w:val="22"/>
        </w:rPr>
        <w:t>Omit “$95,000”, substitute “$58,000”.</w:t>
      </w:r>
    </w:p>
    <w:p w14:paraId="6D27DA59" w14:textId="77777777" w:rsidR="00283E0E" w:rsidRPr="00BB51BC" w:rsidRDefault="006A76E8" w:rsidP="006A76E8">
      <w:pPr>
        <w:pStyle w:val="BodyText1"/>
        <w:shd w:val="clear" w:color="auto" w:fill="auto"/>
        <w:spacing w:before="120" w:after="6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902E2F" w:rsidRPr="00BB51BC">
        <w:rPr>
          <w:b/>
          <w:sz w:val="22"/>
          <w:szCs w:val="22"/>
        </w:rPr>
        <w:t>Transitional</w:t>
      </w:r>
    </w:p>
    <w:p w14:paraId="2CF06B3D" w14:textId="77777777" w:rsidR="00BB51BC" w:rsidRDefault="00902E2F" w:rsidP="00C35D31">
      <w:pPr>
        <w:pStyle w:val="BodyText1"/>
        <w:shd w:val="clear" w:color="auto" w:fill="auto"/>
        <w:spacing w:before="120" w:line="240" w:lineRule="auto"/>
        <w:ind w:firstLine="270"/>
        <w:rPr>
          <w:sz w:val="22"/>
          <w:szCs w:val="22"/>
        </w:rPr>
      </w:pPr>
      <w:r w:rsidRPr="00B54B11">
        <w:rPr>
          <w:sz w:val="22"/>
          <w:szCs w:val="22"/>
        </w:rPr>
        <w:t>The amendment made by this Act does not have effect during the continuance in office of the person holding office as Governor-General immediately befo</w:t>
      </w:r>
      <w:r w:rsidR="00C22C97">
        <w:rPr>
          <w:sz w:val="22"/>
          <w:szCs w:val="22"/>
        </w:rPr>
        <w:t>re the commencement of this Act.</w:t>
      </w:r>
    </w:p>
    <w:p w14:paraId="1E4ED403" w14:textId="77777777" w:rsidR="00C35D31" w:rsidRDefault="00C35D31" w:rsidP="00C35D31">
      <w:pPr>
        <w:pStyle w:val="BodyText1"/>
        <w:pBdr>
          <w:bottom w:val="single" w:sz="12" w:space="1" w:color="auto"/>
        </w:pBdr>
        <w:shd w:val="clear" w:color="auto" w:fill="auto"/>
        <w:spacing w:before="120" w:line="240" w:lineRule="auto"/>
        <w:jc w:val="right"/>
        <w:rPr>
          <w:sz w:val="22"/>
          <w:szCs w:val="22"/>
        </w:rPr>
      </w:pPr>
    </w:p>
    <w:p w14:paraId="51282A31" w14:textId="77777777" w:rsidR="00283E0E" w:rsidRPr="008163CA" w:rsidRDefault="00902E2F" w:rsidP="00845593">
      <w:pPr>
        <w:pStyle w:val="Bodytext50"/>
        <w:shd w:val="clear" w:color="auto" w:fill="auto"/>
        <w:spacing w:before="120" w:line="240" w:lineRule="auto"/>
        <w:rPr>
          <w:b w:val="0"/>
          <w:sz w:val="20"/>
          <w:szCs w:val="22"/>
        </w:rPr>
      </w:pPr>
      <w:r w:rsidRPr="008163CA">
        <w:rPr>
          <w:b w:val="0"/>
          <w:i w:val="0"/>
          <w:sz w:val="20"/>
          <w:szCs w:val="22"/>
        </w:rPr>
        <w:t>[</w:t>
      </w:r>
      <w:r w:rsidRPr="008163CA">
        <w:rPr>
          <w:b w:val="0"/>
          <w:sz w:val="20"/>
          <w:szCs w:val="22"/>
        </w:rPr>
        <w:t>Minister’s second reading speech made in</w:t>
      </w:r>
      <w:r w:rsidRPr="008163CA">
        <w:rPr>
          <w:rStyle w:val="Bodytext545pt"/>
          <w:b/>
          <w:sz w:val="20"/>
          <w:szCs w:val="22"/>
        </w:rPr>
        <w:t>—</w:t>
      </w:r>
    </w:p>
    <w:p w14:paraId="0CE76EFF" w14:textId="0DD08738" w:rsidR="00283E0E" w:rsidRPr="008163CA" w:rsidRDefault="00902E2F" w:rsidP="002958EA">
      <w:pPr>
        <w:pStyle w:val="Bodytext50"/>
        <w:shd w:val="clear" w:color="auto" w:fill="auto"/>
        <w:spacing w:line="240" w:lineRule="auto"/>
        <w:ind w:left="1080" w:right="3879"/>
        <w:rPr>
          <w:b w:val="0"/>
          <w:sz w:val="20"/>
          <w:szCs w:val="22"/>
        </w:rPr>
      </w:pPr>
      <w:r w:rsidRPr="008163CA">
        <w:rPr>
          <w:b w:val="0"/>
          <w:sz w:val="20"/>
          <w:szCs w:val="22"/>
        </w:rPr>
        <w:t>House of Repre</w:t>
      </w:r>
      <w:r w:rsidR="006A76E8" w:rsidRPr="008163CA">
        <w:rPr>
          <w:b w:val="0"/>
          <w:sz w:val="20"/>
          <w:szCs w:val="22"/>
        </w:rPr>
        <w:t xml:space="preserve">sentatives on 27 September 1995 </w:t>
      </w:r>
      <w:r w:rsidRPr="008163CA">
        <w:rPr>
          <w:b w:val="0"/>
          <w:sz w:val="20"/>
          <w:szCs w:val="22"/>
        </w:rPr>
        <w:t>Senate on 16 October 1995</w:t>
      </w:r>
      <w:r w:rsidRPr="008163CA">
        <w:rPr>
          <w:b w:val="0"/>
          <w:i w:val="0"/>
          <w:sz w:val="20"/>
          <w:szCs w:val="22"/>
        </w:rPr>
        <w:t>]</w:t>
      </w:r>
      <w:bookmarkStart w:id="2" w:name="_GoBack"/>
      <w:bookmarkEnd w:id="2"/>
    </w:p>
    <w:sectPr w:rsidR="00283E0E" w:rsidRPr="008163CA" w:rsidSect="00861337">
      <w:headerReference w:type="default" r:id="rId10"/>
      <w:type w:val="continuous"/>
      <w:pgSz w:w="12240" w:h="15840" w:code="1"/>
      <w:pgMar w:top="1440" w:right="1440" w:bottom="1440" w:left="1440" w:header="81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C52C4D" w15:done="0"/>
  <w15:commentEx w15:paraId="7A5DE1D0" w15:done="0"/>
  <w15:commentEx w15:paraId="4ABEEE21" w15:done="0"/>
  <w15:commentEx w15:paraId="5CD736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C52C4D" w16cid:durableId="2134A0A7"/>
  <w16cid:commentId w16cid:paraId="7A5DE1D0" w16cid:durableId="2134A0C7"/>
  <w16cid:commentId w16cid:paraId="4ABEEE21" w16cid:durableId="2134A0DE"/>
  <w16cid:commentId w16cid:paraId="5CD73655" w16cid:durableId="2134A0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ECCD6" w14:textId="77777777" w:rsidR="00F120AB" w:rsidRDefault="00F120AB">
      <w:r>
        <w:separator/>
      </w:r>
    </w:p>
  </w:endnote>
  <w:endnote w:type="continuationSeparator" w:id="0">
    <w:p w14:paraId="45DA6874" w14:textId="77777777" w:rsidR="00F120AB" w:rsidRDefault="00F1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D09AD" w14:textId="77777777" w:rsidR="00F120AB" w:rsidRDefault="00F120AB"/>
  </w:footnote>
  <w:footnote w:type="continuationSeparator" w:id="0">
    <w:p w14:paraId="75238F0A" w14:textId="77777777" w:rsidR="00F120AB" w:rsidRDefault="00F120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B2BB2" w14:textId="0670473C" w:rsidR="00B32208" w:rsidRPr="000238C5" w:rsidRDefault="00B32208" w:rsidP="00861337">
    <w:pPr>
      <w:pStyle w:val="Header"/>
      <w:jc w:val="center"/>
      <w:rPr>
        <w:rFonts w:ascii="Times New Roman" w:hAnsi="Times New Roman" w:cs="Times New Roman"/>
        <w:sz w:val="22"/>
        <w:szCs w:val="22"/>
      </w:rPr>
    </w:pPr>
    <w:r w:rsidRPr="000238C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Governor-General Amendment </w:t>
    </w:r>
    <w:r w:rsidR="008163CA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0238C5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No. 122, 1995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1B98"/>
    <w:multiLevelType w:val="multilevel"/>
    <w:tmpl w:val="A66CE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832BC"/>
    <w:multiLevelType w:val="hybridMultilevel"/>
    <w:tmpl w:val="385479A0"/>
    <w:lvl w:ilvl="0" w:tplc="84EE01FA">
      <w:start w:val="1"/>
      <w:numFmt w:val="decimal"/>
      <w:lvlText w:val="%1."/>
      <w:lvlJc w:val="left"/>
      <w:pPr>
        <w:ind w:left="724" w:hanging="4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4" w:hanging="360"/>
      </w:pPr>
    </w:lvl>
    <w:lvl w:ilvl="2" w:tplc="4009001B" w:tentative="1">
      <w:start w:val="1"/>
      <w:numFmt w:val="lowerRoman"/>
      <w:lvlText w:val="%3."/>
      <w:lvlJc w:val="right"/>
      <w:pPr>
        <w:ind w:left="2074" w:hanging="180"/>
      </w:pPr>
    </w:lvl>
    <w:lvl w:ilvl="3" w:tplc="4009000F" w:tentative="1">
      <w:start w:val="1"/>
      <w:numFmt w:val="decimal"/>
      <w:lvlText w:val="%4."/>
      <w:lvlJc w:val="left"/>
      <w:pPr>
        <w:ind w:left="2794" w:hanging="360"/>
      </w:pPr>
    </w:lvl>
    <w:lvl w:ilvl="4" w:tplc="40090019" w:tentative="1">
      <w:start w:val="1"/>
      <w:numFmt w:val="lowerLetter"/>
      <w:lvlText w:val="%5."/>
      <w:lvlJc w:val="left"/>
      <w:pPr>
        <w:ind w:left="3514" w:hanging="360"/>
      </w:pPr>
    </w:lvl>
    <w:lvl w:ilvl="5" w:tplc="4009001B" w:tentative="1">
      <w:start w:val="1"/>
      <w:numFmt w:val="lowerRoman"/>
      <w:lvlText w:val="%6."/>
      <w:lvlJc w:val="right"/>
      <w:pPr>
        <w:ind w:left="4234" w:hanging="180"/>
      </w:pPr>
    </w:lvl>
    <w:lvl w:ilvl="6" w:tplc="4009000F" w:tentative="1">
      <w:start w:val="1"/>
      <w:numFmt w:val="decimal"/>
      <w:lvlText w:val="%7."/>
      <w:lvlJc w:val="left"/>
      <w:pPr>
        <w:ind w:left="4954" w:hanging="360"/>
      </w:pPr>
    </w:lvl>
    <w:lvl w:ilvl="7" w:tplc="40090019" w:tentative="1">
      <w:start w:val="1"/>
      <w:numFmt w:val="lowerLetter"/>
      <w:lvlText w:val="%8."/>
      <w:lvlJc w:val="left"/>
      <w:pPr>
        <w:ind w:left="5674" w:hanging="360"/>
      </w:pPr>
    </w:lvl>
    <w:lvl w:ilvl="8" w:tplc="40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>
    <w:nsid w:val="5ACF07C7"/>
    <w:multiLevelType w:val="multilevel"/>
    <w:tmpl w:val="0CF0A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0E"/>
    <w:rsid w:val="000238C5"/>
    <w:rsid w:val="00025D30"/>
    <w:rsid w:val="000F3987"/>
    <w:rsid w:val="00112412"/>
    <w:rsid w:val="001175DF"/>
    <w:rsid w:val="00283E0E"/>
    <w:rsid w:val="002958EA"/>
    <w:rsid w:val="00462DAE"/>
    <w:rsid w:val="00537D9F"/>
    <w:rsid w:val="005E3C21"/>
    <w:rsid w:val="00690A6A"/>
    <w:rsid w:val="006A76E8"/>
    <w:rsid w:val="008163CA"/>
    <w:rsid w:val="00845593"/>
    <w:rsid w:val="00861337"/>
    <w:rsid w:val="008B24EE"/>
    <w:rsid w:val="00902E2F"/>
    <w:rsid w:val="009452FE"/>
    <w:rsid w:val="00A4713E"/>
    <w:rsid w:val="00A677B1"/>
    <w:rsid w:val="00B03839"/>
    <w:rsid w:val="00B32208"/>
    <w:rsid w:val="00B54B11"/>
    <w:rsid w:val="00BB51BC"/>
    <w:rsid w:val="00BF0BA1"/>
    <w:rsid w:val="00C22C97"/>
    <w:rsid w:val="00C35D31"/>
    <w:rsid w:val="00E6684A"/>
    <w:rsid w:val="00F1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E53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15pt">
    <w:name w:val="Body text (4) + 11.5 pt"/>
    <w:aliases w:val="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545pt">
    <w:name w:val="Body text (5) + 4.5 pt"/>
    <w:aliases w:val="Not Bold,Not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66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46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466" w:lineRule="exac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509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8613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3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13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33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B1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2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DA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DA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163CA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DF0C-14A4-4B37-AC14-E22624D0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805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Ziegler, Liesl</cp:lastModifiedBy>
  <cp:revision>3</cp:revision>
  <dcterms:created xsi:type="dcterms:W3CDTF">2019-09-24T04:05:00Z</dcterms:created>
  <dcterms:modified xsi:type="dcterms:W3CDTF">2019-11-15T05:30:00Z</dcterms:modified>
</cp:coreProperties>
</file>