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7A63C" w14:textId="77777777" w:rsidR="00171459" w:rsidRDefault="00C53A6B" w:rsidP="0017145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AU" w:eastAsia="en-AU"/>
        </w:rPr>
        <w:drawing>
          <wp:inline distT="0" distB="0" distL="0" distR="0" wp14:anchorId="2A5C744B" wp14:editId="4CFDF7A9">
            <wp:extent cx="2338070" cy="1604645"/>
            <wp:effectExtent l="0" t="0" r="508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mal\L067_2\Word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ookmark0"/>
    </w:p>
    <w:p w14:paraId="55D15357" w14:textId="77777777" w:rsidR="00FB77E2" w:rsidRPr="00171459" w:rsidRDefault="009714AF" w:rsidP="00171459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</w:t>
      </w:r>
      <w:r w:rsidR="007558CC" w:rsidRPr="00171459">
        <w:rPr>
          <w:rFonts w:ascii="Times New Roman" w:hAnsi="Times New Roman" w:cs="Times New Roman"/>
          <w:b/>
          <w:sz w:val="36"/>
          <w:szCs w:val="36"/>
        </w:rPr>
        <w:t>tates Grants (General Purposes) Amendment Act 1995</w:t>
      </w:r>
      <w:bookmarkEnd w:id="0"/>
    </w:p>
    <w:p w14:paraId="5A772112" w14:textId="04E1097D" w:rsidR="00FB77E2" w:rsidRPr="005D359F" w:rsidRDefault="007558CC" w:rsidP="00171459">
      <w:pPr>
        <w:spacing w:before="9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bookmark1"/>
      <w:r w:rsidRPr="00CA7FF3">
        <w:rPr>
          <w:rFonts w:ascii="Times New Roman" w:hAnsi="Times New Roman" w:cs="Times New Roman"/>
          <w:b/>
          <w:szCs w:val="22"/>
        </w:rPr>
        <w:t>No. 123 of 1995</w:t>
      </w:r>
      <w:bookmarkEnd w:id="1"/>
    </w:p>
    <w:p w14:paraId="273CA208" w14:textId="77777777" w:rsidR="00FB77E2" w:rsidRPr="001F4D7C" w:rsidRDefault="007558CC" w:rsidP="00171459">
      <w:pPr>
        <w:pStyle w:val="Bodytext20"/>
        <w:shd w:val="clear" w:color="auto" w:fill="auto"/>
        <w:spacing w:before="960" w:line="240" w:lineRule="auto"/>
        <w:jc w:val="center"/>
        <w:rPr>
          <w:b/>
          <w:sz w:val="22"/>
          <w:szCs w:val="22"/>
        </w:rPr>
      </w:pPr>
      <w:r w:rsidRPr="001F4D7C">
        <w:rPr>
          <w:rStyle w:val="Bodytext21"/>
          <w:b/>
          <w:sz w:val="22"/>
          <w:szCs w:val="22"/>
        </w:rPr>
        <w:t>CONTENTS</w:t>
      </w:r>
    </w:p>
    <w:p w14:paraId="5C20D55C" w14:textId="77777777" w:rsidR="00FB77E2" w:rsidRPr="005D359F" w:rsidRDefault="007558CC" w:rsidP="00171459">
      <w:pPr>
        <w:pStyle w:val="Bodytext20"/>
        <w:shd w:val="clear" w:color="auto" w:fill="auto"/>
        <w:spacing w:before="120" w:after="60" w:line="240" w:lineRule="auto"/>
        <w:jc w:val="both"/>
        <w:rPr>
          <w:sz w:val="22"/>
          <w:szCs w:val="22"/>
        </w:rPr>
      </w:pPr>
      <w:r w:rsidRPr="005D359F">
        <w:rPr>
          <w:rStyle w:val="Bodytext21"/>
          <w:sz w:val="22"/>
          <w:szCs w:val="22"/>
        </w:rPr>
        <w:t>Section</w:t>
      </w:r>
    </w:p>
    <w:p w14:paraId="72A61D0F" w14:textId="77777777" w:rsidR="00FB77E2" w:rsidRPr="00171459" w:rsidRDefault="00171459" w:rsidP="00171459">
      <w:pPr>
        <w:pStyle w:val="Bodytext20"/>
        <w:shd w:val="clear" w:color="auto" w:fill="auto"/>
        <w:tabs>
          <w:tab w:val="left" w:pos="720"/>
        </w:tabs>
        <w:spacing w:line="240" w:lineRule="auto"/>
        <w:ind w:firstLine="274"/>
        <w:jc w:val="both"/>
        <w:rPr>
          <w:sz w:val="22"/>
          <w:szCs w:val="22"/>
        </w:rPr>
      </w:pPr>
      <w:r>
        <w:rPr>
          <w:rStyle w:val="Bodytext21"/>
          <w:sz w:val="22"/>
          <w:szCs w:val="22"/>
        </w:rPr>
        <w:t>1.</w:t>
      </w:r>
      <w:r>
        <w:rPr>
          <w:rStyle w:val="Bodytext21"/>
          <w:sz w:val="22"/>
          <w:szCs w:val="22"/>
        </w:rPr>
        <w:tab/>
      </w:r>
      <w:r w:rsidR="007558CC" w:rsidRPr="00171459">
        <w:rPr>
          <w:rStyle w:val="Bodytext21"/>
          <w:sz w:val="22"/>
          <w:szCs w:val="22"/>
        </w:rPr>
        <w:t>Short title</w:t>
      </w:r>
    </w:p>
    <w:p w14:paraId="69B5C534" w14:textId="77777777" w:rsidR="00FB77E2" w:rsidRPr="00171459" w:rsidRDefault="00171459" w:rsidP="00171459">
      <w:pPr>
        <w:tabs>
          <w:tab w:val="left" w:pos="720"/>
        </w:tabs>
        <w:ind w:firstLine="27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21"/>
          <w:rFonts w:eastAsia="Courier New"/>
          <w:sz w:val="22"/>
          <w:szCs w:val="22"/>
        </w:rPr>
        <w:t>2.</w:t>
      </w:r>
      <w:r>
        <w:rPr>
          <w:rStyle w:val="Bodytext21"/>
          <w:rFonts w:eastAsia="Courier New"/>
          <w:sz w:val="22"/>
          <w:szCs w:val="22"/>
        </w:rPr>
        <w:tab/>
      </w:r>
      <w:r w:rsidR="007558CC" w:rsidRPr="00171459">
        <w:rPr>
          <w:rStyle w:val="Bodytext21"/>
          <w:rFonts w:eastAsia="Courier New"/>
          <w:sz w:val="22"/>
          <w:szCs w:val="22"/>
        </w:rPr>
        <w:t>Commencement</w:t>
      </w:r>
    </w:p>
    <w:p w14:paraId="7D5B465C" w14:textId="77777777" w:rsidR="00FB77E2" w:rsidRPr="00171459" w:rsidRDefault="00171459" w:rsidP="00171459">
      <w:pPr>
        <w:tabs>
          <w:tab w:val="left" w:pos="720"/>
        </w:tabs>
        <w:ind w:firstLine="27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21"/>
          <w:rFonts w:eastAsia="Courier New"/>
          <w:sz w:val="22"/>
          <w:szCs w:val="22"/>
        </w:rPr>
        <w:t>3.</w:t>
      </w:r>
      <w:r>
        <w:rPr>
          <w:rStyle w:val="Bodytext21"/>
          <w:rFonts w:eastAsia="Courier New"/>
          <w:sz w:val="22"/>
          <w:szCs w:val="22"/>
        </w:rPr>
        <w:tab/>
      </w:r>
      <w:r w:rsidR="007558CC" w:rsidRPr="00171459">
        <w:rPr>
          <w:rStyle w:val="Bodytext21"/>
          <w:rFonts w:eastAsia="Courier New"/>
          <w:sz w:val="22"/>
          <w:szCs w:val="22"/>
        </w:rPr>
        <w:t>Schedule</w:t>
      </w:r>
    </w:p>
    <w:p w14:paraId="31A73BE5" w14:textId="77777777" w:rsidR="00FB77E2" w:rsidRPr="00171459" w:rsidRDefault="007558CC" w:rsidP="00A70A1F">
      <w:pPr>
        <w:pStyle w:val="Bodytext20"/>
        <w:shd w:val="clear" w:color="auto" w:fill="auto"/>
        <w:spacing w:before="120" w:line="240" w:lineRule="auto"/>
        <w:jc w:val="center"/>
        <w:rPr>
          <w:sz w:val="22"/>
          <w:szCs w:val="22"/>
        </w:rPr>
      </w:pPr>
      <w:r w:rsidRPr="00171459">
        <w:rPr>
          <w:rStyle w:val="Bodytext21"/>
          <w:sz w:val="22"/>
          <w:szCs w:val="22"/>
        </w:rPr>
        <w:t>SCHEDULE</w:t>
      </w:r>
    </w:p>
    <w:p w14:paraId="77B19F6C" w14:textId="77777777" w:rsidR="00171459" w:rsidRDefault="007558CC" w:rsidP="00A70A1F">
      <w:pPr>
        <w:pStyle w:val="Bodytext20"/>
        <w:shd w:val="clear" w:color="auto" w:fill="auto"/>
        <w:spacing w:before="120" w:line="240" w:lineRule="auto"/>
        <w:jc w:val="center"/>
        <w:rPr>
          <w:rStyle w:val="Bodytext21"/>
          <w:sz w:val="22"/>
          <w:szCs w:val="22"/>
        </w:rPr>
      </w:pPr>
      <w:r w:rsidRPr="00171459">
        <w:rPr>
          <w:rStyle w:val="Bodytext21"/>
          <w:sz w:val="22"/>
          <w:szCs w:val="22"/>
        </w:rPr>
        <w:t>AMENDMENTS OF THE STATES GRANTS (GENERAL PURPOSES) ACT</w:t>
      </w:r>
      <w:r w:rsidR="00171459">
        <w:rPr>
          <w:sz w:val="22"/>
          <w:szCs w:val="22"/>
        </w:rPr>
        <w:t xml:space="preserve"> </w:t>
      </w:r>
      <w:r w:rsidRPr="00171459">
        <w:rPr>
          <w:rStyle w:val="Bodytext21"/>
          <w:sz w:val="22"/>
          <w:szCs w:val="22"/>
        </w:rPr>
        <w:t>1994</w:t>
      </w:r>
    </w:p>
    <w:p w14:paraId="743DED44" w14:textId="77777777" w:rsidR="00C80E82" w:rsidRDefault="00C80E82">
      <w:pPr>
        <w:rPr>
          <w:rStyle w:val="Bodytext21"/>
          <w:rFonts w:eastAsia="Courier New"/>
          <w:sz w:val="22"/>
          <w:szCs w:val="22"/>
        </w:rPr>
        <w:sectPr w:rsidR="00C80E82" w:rsidSect="00171459"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docGrid w:linePitch="360"/>
        </w:sectPr>
      </w:pPr>
    </w:p>
    <w:p w14:paraId="06C42D70" w14:textId="77777777" w:rsidR="00FB77E2" w:rsidRPr="00171459" w:rsidRDefault="00C53A6B" w:rsidP="0017145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AU" w:eastAsia="en-AU"/>
        </w:rPr>
        <w:lastRenderedPageBreak/>
        <w:drawing>
          <wp:inline distT="0" distB="0" distL="0" distR="0" wp14:anchorId="1544DA60" wp14:editId="669EB8BA">
            <wp:extent cx="1880870" cy="1311275"/>
            <wp:effectExtent l="0" t="0" r="5080" b="3175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mal\L067_2\Word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CC2C" w14:textId="77777777" w:rsidR="00FB77E2" w:rsidRPr="00171459" w:rsidRDefault="007558CC" w:rsidP="00171459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bookmark2"/>
      <w:r w:rsidRPr="00171459">
        <w:rPr>
          <w:rFonts w:ascii="Times New Roman" w:hAnsi="Times New Roman" w:cs="Times New Roman"/>
          <w:b/>
          <w:sz w:val="36"/>
          <w:szCs w:val="36"/>
        </w:rPr>
        <w:t>States Grants (General Purposes) Amendment Act 1995</w:t>
      </w:r>
      <w:bookmarkEnd w:id="2"/>
    </w:p>
    <w:p w14:paraId="0C188D74" w14:textId="0D2069B8" w:rsidR="00FB77E2" w:rsidRPr="005D359F" w:rsidRDefault="007558CC" w:rsidP="00171459">
      <w:pPr>
        <w:pStyle w:val="Bodytext40"/>
        <w:shd w:val="clear" w:color="auto" w:fill="auto"/>
        <w:spacing w:before="960" w:line="240" w:lineRule="auto"/>
        <w:rPr>
          <w:sz w:val="22"/>
          <w:szCs w:val="22"/>
        </w:rPr>
      </w:pPr>
      <w:r w:rsidRPr="00CA7FF3">
        <w:rPr>
          <w:sz w:val="24"/>
          <w:szCs w:val="22"/>
        </w:rPr>
        <w:t>No. 123 of 1995</w:t>
      </w:r>
    </w:p>
    <w:p w14:paraId="24F749F9" w14:textId="77777777" w:rsidR="00171459" w:rsidRPr="00171459" w:rsidRDefault="00171459" w:rsidP="00AC6541">
      <w:pPr>
        <w:pStyle w:val="Bodytext40"/>
        <w:pBdr>
          <w:bottom w:val="thickThinSmallGap" w:sz="12" w:space="1" w:color="auto"/>
        </w:pBdr>
        <w:shd w:val="clear" w:color="auto" w:fill="auto"/>
        <w:spacing w:before="960" w:line="240" w:lineRule="auto"/>
        <w:jc w:val="left"/>
        <w:rPr>
          <w:sz w:val="36"/>
          <w:szCs w:val="36"/>
        </w:rPr>
      </w:pPr>
    </w:p>
    <w:p w14:paraId="3DDD9D17" w14:textId="77777777" w:rsidR="00FB77E2" w:rsidRPr="005D359F" w:rsidRDefault="007558CC" w:rsidP="00171459">
      <w:pPr>
        <w:spacing w:before="96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3"/>
      <w:r w:rsidRPr="005D359F">
        <w:rPr>
          <w:rFonts w:ascii="Times New Roman" w:hAnsi="Times New Roman" w:cs="Times New Roman"/>
          <w:b/>
          <w:sz w:val="26"/>
          <w:szCs w:val="26"/>
        </w:rPr>
        <w:t xml:space="preserve">An Act to amend the </w:t>
      </w:r>
      <w:r w:rsidRPr="005D359F">
        <w:rPr>
          <w:rStyle w:val="Heading2Italic"/>
          <w:rFonts w:eastAsia="Courier New"/>
          <w:sz w:val="26"/>
          <w:szCs w:val="26"/>
        </w:rPr>
        <w:t>States Grants (General Purposes) Act 1994</w:t>
      </w:r>
      <w:r w:rsidRPr="005D359F">
        <w:rPr>
          <w:rFonts w:ascii="Times New Roman" w:hAnsi="Times New Roman" w:cs="Times New Roman"/>
          <w:b/>
          <w:sz w:val="26"/>
          <w:szCs w:val="26"/>
        </w:rPr>
        <w:t>, and for related purposes</w:t>
      </w:r>
      <w:bookmarkEnd w:id="3"/>
    </w:p>
    <w:p w14:paraId="79E047B4" w14:textId="2495DD78" w:rsidR="00FB77E2" w:rsidRPr="00D319DF" w:rsidRDefault="007558CC" w:rsidP="00557D32">
      <w:pPr>
        <w:pStyle w:val="Bodytext50"/>
        <w:shd w:val="clear" w:color="auto" w:fill="auto"/>
        <w:spacing w:before="120" w:line="240" w:lineRule="auto"/>
        <w:rPr>
          <w:sz w:val="26"/>
          <w:szCs w:val="26"/>
        </w:rPr>
      </w:pPr>
      <w:r w:rsidRPr="00CA7FF3">
        <w:rPr>
          <w:rStyle w:val="Bodytext51"/>
          <w:iCs/>
          <w:sz w:val="22"/>
          <w:szCs w:val="26"/>
        </w:rPr>
        <w:t>[</w:t>
      </w:r>
      <w:r w:rsidRPr="00CA7FF3">
        <w:rPr>
          <w:rStyle w:val="Bodytext51"/>
          <w:i/>
          <w:iCs/>
          <w:sz w:val="22"/>
          <w:szCs w:val="26"/>
        </w:rPr>
        <w:t>Assented to 2 November 1995</w:t>
      </w:r>
      <w:r w:rsidRPr="00CA7FF3">
        <w:rPr>
          <w:rStyle w:val="Bodytext51"/>
          <w:iCs/>
          <w:sz w:val="22"/>
          <w:szCs w:val="26"/>
        </w:rPr>
        <w:t>]</w:t>
      </w:r>
    </w:p>
    <w:p w14:paraId="2C2BC81E" w14:textId="77777777" w:rsidR="00FB77E2" w:rsidRPr="00171459" w:rsidRDefault="007558CC" w:rsidP="00557D3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The Parliament of Australia enacts:</w:t>
      </w:r>
    </w:p>
    <w:p w14:paraId="26A8E6F7" w14:textId="77777777" w:rsidR="00FB77E2" w:rsidRPr="00171459" w:rsidRDefault="007558CC" w:rsidP="00D319DF">
      <w:pPr>
        <w:pStyle w:val="Bodytext60"/>
        <w:shd w:val="clear" w:color="auto" w:fill="auto"/>
        <w:spacing w:before="120" w:after="60" w:line="240" w:lineRule="auto"/>
        <w:jc w:val="both"/>
        <w:rPr>
          <w:sz w:val="22"/>
          <w:szCs w:val="22"/>
        </w:rPr>
      </w:pPr>
      <w:r w:rsidRPr="00171459">
        <w:rPr>
          <w:sz w:val="22"/>
          <w:szCs w:val="22"/>
        </w:rPr>
        <w:t>Short title</w:t>
      </w:r>
    </w:p>
    <w:p w14:paraId="38B150D2" w14:textId="77777777" w:rsidR="00FB77E2" w:rsidRPr="00171459" w:rsidRDefault="00D319DF" w:rsidP="00557D32">
      <w:pPr>
        <w:tabs>
          <w:tab w:val="left" w:pos="720"/>
        </w:tabs>
        <w:spacing w:before="120"/>
        <w:ind w:firstLine="274"/>
        <w:jc w:val="both"/>
        <w:rPr>
          <w:rFonts w:ascii="Times New Roman" w:hAnsi="Times New Roman" w:cs="Times New Roman"/>
          <w:sz w:val="22"/>
          <w:szCs w:val="22"/>
        </w:rPr>
      </w:pPr>
      <w:r w:rsidRPr="00D319DF">
        <w:rPr>
          <w:rStyle w:val="Bodytext5NotItalic"/>
          <w:rFonts w:eastAsia="Courier New"/>
          <w:b/>
          <w:i w:val="0"/>
          <w:iCs w:val="0"/>
          <w:sz w:val="22"/>
          <w:szCs w:val="22"/>
        </w:rPr>
        <w:t>1.</w:t>
      </w:r>
      <w:r>
        <w:rPr>
          <w:rStyle w:val="Bodytext5NotItalic"/>
          <w:rFonts w:eastAsia="Courier New"/>
          <w:i w:val="0"/>
          <w:iCs w:val="0"/>
          <w:sz w:val="22"/>
          <w:szCs w:val="22"/>
        </w:rPr>
        <w:tab/>
      </w:r>
      <w:r w:rsidR="007558CC" w:rsidRPr="00171459">
        <w:rPr>
          <w:rStyle w:val="Bodytext5NotItalic"/>
          <w:rFonts w:eastAsia="Courier New"/>
          <w:i w:val="0"/>
          <w:iCs w:val="0"/>
          <w:sz w:val="22"/>
          <w:szCs w:val="22"/>
        </w:rPr>
        <w:t xml:space="preserve">This Act may be cited as the </w:t>
      </w:r>
      <w:r w:rsidR="007558CC" w:rsidRPr="00171459">
        <w:rPr>
          <w:rStyle w:val="Bodytext51"/>
          <w:rFonts w:eastAsia="Courier New"/>
          <w:sz w:val="22"/>
          <w:szCs w:val="22"/>
        </w:rPr>
        <w:t>States Grants (General Purposes) Amendment Act 1995.</w:t>
      </w:r>
    </w:p>
    <w:p w14:paraId="05765FE2" w14:textId="77777777" w:rsidR="00FB77E2" w:rsidRPr="00171459" w:rsidRDefault="007558CC" w:rsidP="00D319DF">
      <w:pPr>
        <w:pStyle w:val="Bodytext60"/>
        <w:shd w:val="clear" w:color="auto" w:fill="auto"/>
        <w:spacing w:before="120" w:after="60" w:line="240" w:lineRule="auto"/>
        <w:jc w:val="both"/>
        <w:rPr>
          <w:sz w:val="22"/>
          <w:szCs w:val="22"/>
        </w:rPr>
      </w:pPr>
      <w:r w:rsidRPr="00171459">
        <w:rPr>
          <w:sz w:val="22"/>
          <w:szCs w:val="22"/>
        </w:rPr>
        <w:t>Commencement</w:t>
      </w:r>
    </w:p>
    <w:p w14:paraId="2949218B" w14:textId="77777777" w:rsidR="00FB77E2" w:rsidRPr="00171459" w:rsidRDefault="00D319DF" w:rsidP="00557D32">
      <w:pPr>
        <w:tabs>
          <w:tab w:val="left" w:pos="720"/>
        </w:tabs>
        <w:spacing w:before="120"/>
        <w:ind w:firstLine="274"/>
        <w:jc w:val="both"/>
        <w:rPr>
          <w:rFonts w:ascii="Times New Roman" w:hAnsi="Times New Roman" w:cs="Times New Roman"/>
          <w:sz w:val="22"/>
          <w:szCs w:val="22"/>
        </w:rPr>
      </w:pPr>
      <w:r w:rsidRPr="00D319DF">
        <w:rPr>
          <w:rStyle w:val="BodyText1"/>
          <w:rFonts w:eastAsia="Courier New"/>
          <w:b/>
          <w:sz w:val="22"/>
          <w:szCs w:val="22"/>
        </w:rPr>
        <w:t>2.</w:t>
      </w:r>
      <w:r>
        <w:rPr>
          <w:rStyle w:val="BodyText1"/>
          <w:rFonts w:eastAsia="Courier New"/>
          <w:sz w:val="22"/>
          <w:szCs w:val="22"/>
        </w:rPr>
        <w:tab/>
      </w:r>
      <w:r w:rsidR="007558CC" w:rsidRPr="00171459">
        <w:rPr>
          <w:rStyle w:val="BodyText1"/>
          <w:rFonts w:eastAsia="Courier New"/>
          <w:sz w:val="22"/>
          <w:szCs w:val="22"/>
        </w:rPr>
        <w:t>This Act commences on the day on which it receives the Royal Assent.</w:t>
      </w:r>
    </w:p>
    <w:p w14:paraId="75988D10" w14:textId="77777777" w:rsidR="00D319DF" w:rsidRDefault="00D319DF">
      <w:pPr>
        <w:rPr>
          <w:rStyle w:val="Bodytext51"/>
          <w:rFonts w:eastAsia="Courier New"/>
          <w:sz w:val="22"/>
          <w:szCs w:val="22"/>
        </w:rPr>
      </w:pPr>
      <w:r>
        <w:rPr>
          <w:rStyle w:val="Bodytext51"/>
          <w:rFonts w:eastAsia="Courier New"/>
          <w:i w:val="0"/>
          <w:iCs w:val="0"/>
          <w:sz w:val="22"/>
          <w:szCs w:val="22"/>
        </w:rPr>
        <w:br w:type="page"/>
      </w:r>
    </w:p>
    <w:p w14:paraId="78688829" w14:textId="56510A34" w:rsidR="00FB77E2" w:rsidRPr="00171459" w:rsidRDefault="007558CC" w:rsidP="00D319DF">
      <w:pPr>
        <w:pStyle w:val="Bodytext60"/>
        <w:shd w:val="clear" w:color="auto" w:fill="auto"/>
        <w:spacing w:before="120" w:after="60" w:line="240" w:lineRule="auto"/>
        <w:jc w:val="both"/>
        <w:rPr>
          <w:sz w:val="22"/>
          <w:szCs w:val="22"/>
        </w:rPr>
      </w:pPr>
      <w:r w:rsidRPr="00171459">
        <w:rPr>
          <w:sz w:val="22"/>
          <w:szCs w:val="22"/>
        </w:rPr>
        <w:lastRenderedPageBreak/>
        <w:t>Schedule</w:t>
      </w:r>
    </w:p>
    <w:p w14:paraId="5D3C75B8" w14:textId="77777777" w:rsidR="00D319DF" w:rsidRDefault="00D319DF" w:rsidP="007C55A1">
      <w:pPr>
        <w:tabs>
          <w:tab w:val="left" w:pos="630"/>
        </w:tabs>
        <w:spacing w:before="120"/>
        <w:ind w:firstLine="274"/>
        <w:jc w:val="both"/>
        <w:rPr>
          <w:rStyle w:val="BodyText1"/>
          <w:rFonts w:eastAsia="Courier New"/>
          <w:sz w:val="22"/>
          <w:szCs w:val="22"/>
        </w:rPr>
      </w:pPr>
      <w:r w:rsidRPr="00D319DF">
        <w:rPr>
          <w:rStyle w:val="BodyText1"/>
          <w:rFonts w:eastAsia="Courier New"/>
          <w:b/>
          <w:sz w:val="22"/>
          <w:szCs w:val="22"/>
        </w:rPr>
        <w:t>3.</w:t>
      </w:r>
      <w:r>
        <w:rPr>
          <w:rStyle w:val="BodyText1"/>
          <w:rFonts w:eastAsia="Courier New"/>
          <w:sz w:val="22"/>
          <w:szCs w:val="22"/>
        </w:rPr>
        <w:tab/>
      </w:r>
      <w:r w:rsidR="007558CC" w:rsidRPr="00171459">
        <w:rPr>
          <w:rStyle w:val="BodyText1"/>
          <w:rFonts w:eastAsia="Courier New"/>
          <w:sz w:val="22"/>
          <w:szCs w:val="22"/>
        </w:rPr>
        <w:t xml:space="preserve">The </w:t>
      </w:r>
      <w:r w:rsidR="007558CC" w:rsidRPr="00171459">
        <w:rPr>
          <w:rStyle w:val="BodytextItalic"/>
          <w:rFonts w:eastAsia="Courier New"/>
          <w:sz w:val="22"/>
          <w:szCs w:val="22"/>
        </w:rPr>
        <w:t>States Grants (General Purposes) Act 1994</w:t>
      </w:r>
      <w:r w:rsidR="007558CC" w:rsidRPr="00171459">
        <w:rPr>
          <w:rStyle w:val="BodyText1"/>
          <w:rFonts w:eastAsia="Courier New"/>
          <w:sz w:val="22"/>
          <w:szCs w:val="22"/>
        </w:rPr>
        <w:t xml:space="preserve"> is amended in accordance with the applicable items in the Schedule, and the other item in the Schedule has effect according to its terms.</w:t>
      </w:r>
    </w:p>
    <w:p w14:paraId="737CF22D" w14:textId="77777777" w:rsidR="00D319DF" w:rsidRDefault="00D319DF" w:rsidP="00D319DF">
      <w:pPr>
        <w:spacing w:before="160"/>
        <w:jc w:val="center"/>
        <w:rPr>
          <w:rStyle w:val="BodyText1"/>
          <w:rFonts w:eastAsia="Courier New"/>
          <w:sz w:val="22"/>
          <w:szCs w:val="22"/>
        </w:rPr>
      </w:pPr>
      <w:r>
        <w:rPr>
          <w:rStyle w:val="BodyText1"/>
          <w:rFonts w:eastAsia="Courier New"/>
          <w:sz w:val="22"/>
          <w:szCs w:val="22"/>
        </w:rPr>
        <w:t>––––––––––––––––</w:t>
      </w:r>
    </w:p>
    <w:p w14:paraId="1B639C7D" w14:textId="77777777" w:rsidR="00D319DF" w:rsidRDefault="00D319DF">
      <w:pPr>
        <w:rPr>
          <w:rStyle w:val="BodyText1"/>
          <w:rFonts w:eastAsia="Courier New"/>
          <w:sz w:val="22"/>
          <w:szCs w:val="22"/>
        </w:rPr>
      </w:pPr>
      <w:r>
        <w:rPr>
          <w:rStyle w:val="BodyText1"/>
          <w:rFonts w:eastAsia="Courier New"/>
          <w:sz w:val="22"/>
          <w:szCs w:val="22"/>
        </w:rPr>
        <w:br w:type="page"/>
      </w:r>
    </w:p>
    <w:p w14:paraId="57772FDD" w14:textId="735C67A4" w:rsidR="00FB77E2" w:rsidRPr="00171459" w:rsidRDefault="007558CC" w:rsidP="00D319DF">
      <w:pPr>
        <w:pStyle w:val="Bodytext80"/>
        <w:shd w:val="clear" w:color="auto" w:fill="auto"/>
        <w:tabs>
          <w:tab w:val="left" w:pos="8460"/>
        </w:tabs>
        <w:spacing w:line="240" w:lineRule="auto"/>
        <w:ind w:left="4230"/>
        <w:rPr>
          <w:sz w:val="22"/>
          <w:szCs w:val="22"/>
        </w:rPr>
      </w:pPr>
      <w:r w:rsidRPr="00171459">
        <w:rPr>
          <w:rStyle w:val="Bodytext8115pt"/>
          <w:sz w:val="22"/>
          <w:szCs w:val="22"/>
        </w:rPr>
        <w:lastRenderedPageBreak/>
        <w:t>SCHEDULE</w:t>
      </w:r>
      <w:r w:rsidR="00D319DF">
        <w:rPr>
          <w:rStyle w:val="Bodytext8115pt"/>
          <w:sz w:val="22"/>
          <w:szCs w:val="22"/>
        </w:rPr>
        <w:t xml:space="preserve"> </w:t>
      </w:r>
      <w:r w:rsidR="00D319DF">
        <w:rPr>
          <w:rStyle w:val="Bodytext8115pt"/>
          <w:sz w:val="22"/>
          <w:szCs w:val="22"/>
        </w:rPr>
        <w:tab/>
      </w:r>
      <w:r w:rsidRPr="00CA7FF3">
        <w:rPr>
          <w:sz w:val="20"/>
          <w:szCs w:val="22"/>
        </w:rPr>
        <w:t>Section</w:t>
      </w:r>
      <w:r w:rsidR="00D319DF" w:rsidRPr="00CA7FF3">
        <w:rPr>
          <w:sz w:val="20"/>
          <w:szCs w:val="22"/>
        </w:rPr>
        <w:t xml:space="preserve"> </w:t>
      </w:r>
      <w:r w:rsidRPr="00CA7FF3">
        <w:rPr>
          <w:sz w:val="20"/>
          <w:szCs w:val="22"/>
        </w:rPr>
        <w:t>3</w:t>
      </w:r>
    </w:p>
    <w:p w14:paraId="0C93117E" w14:textId="6BC09F27" w:rsidR="00FB77E2" w:rsidRPr="00171459" w:rsidRDefault="007558CC" w:rsidP="00CA7FF3">
      <w:pPr>
        <w:pStyle w:val="BodyText3"/>
        <w:shd w:val="clear" w:color="auto" w:fill="auto"/>
        <w:spacing w:before="160" w:line="240" w:lineRule="auto"/>
        <w:jc w:val="center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AMENDMENTS OF THE STATES GRANTS (GENERAL PURPOSES)</w:t>
      </w:r>
      <w:r w:rsidR="00CA7FF3">
        <w:rPr>
          <w:rStyle w:val="BodyText1"/>
          <w:sz w:val="22"/>
          <w:szCs w:val="22"/>
        </w:rPr>
        <w:t xml:space="preserve"> </w:t>
      </w:r>
      <w:r w:rsidRPr="00171459">
        <w:rPr>
          <w:rStyle w:val="BodyText1"/>
          <w:sz w:val="22"/>
          <w:szCs w:val="22"/>
        </w:rPr>
        <w:t>ACT 1994</w:t>
      </w:r>
    </w:p>
    <w:p w14:paraId="0112D2D0" w14:textId="77777777" w:rsidR="00FB77E2" w:rsidRPr="00D319DF" w:rsidRDefault="00AA4FED" w:rsidP="00AA4FED">
      <w:pPr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7558CC" w:rsidRPr="00D319DF">
        <w:rPr>
          <w:rFonts w:ascii="Times New Roman" w:hAnsi="Times New Roman" w:cs="Times New Roman"/>
          <w:b/>
          <w:sz w:val="22"/>
          <w:szCs w:val="22"/>
        </w:rPr>
        <w:t>Section 3:</w:t>
      </w:r>
    </w:p>
    <w:p w14:paraId="4A2E2657" w14:textId="77777777" w:rsidR="00FB77E2" w:rsidRPr="00171459" w:rsidRDefault="007558CC" w:rsidP="00AA4FED">
      <w:pPr>
        <w:pStyle w:val="BodyText3"/>
        <w:shd w:val="clear" w:color="auto" w:fill="auto"/>
        <w:spacing w:before="120" w:line="240" w:lineRule="auto"/>
        <w:ind w:firstLine="270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Repeal the section, substitute:</w:t>
      </w:r>
    </w:p>
    <w:p w14:paraId="6781BAF6" w14:textId="77777777" w:rsidR="00FB77E2" w:rsidRPr="00171459" w:rsidRDefault="007558CC" w:rsidP="00BE2A82">
      <w:pPr>
        <w:pStyle w:val="Bodytext60"/>
        <w:shd w:val="clear" w:color="auto" w:fill="auto"/>
        <w:spacing w:before="120" w:after="60" w:line="240" w:lineRule="auto"/>
        <w:jc w:val="both"/>
        <w:rPr>
          <w:sz w:val="22"/>
          <w:szCs w:val="22"/>
        </w:rPr>
      </w:pPr>
      <w:r w:rsidRPr="00171459">
        <w:rPr>
          <w:sz w:val="22"/>
          <w:szCs w:val="22"/>
        </w:rPr>
        <w:t>Application of Act to a grant year</w:t>
      </w:r>
    </w:p>
    <w:p w14:paraId="76EE4F1F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“3.</w:t>
      </w:r>
      <w:r w:rsidR="00503313">
        <w:rPr>
          <w:rStyle w:val="BodyText1"/>
          <w:sz w:val="22"/>
          <w:szCs w:val="22"/>
        </w:rPr>
        <w:t xml:space="preserve"> </w:t>
      </w:r>
      <w:r w:rsidRPr="00171459">
        <w:rPr>
          <w:rStyle w:val="BodyText1"/>
          <w:sz w:val="22"/>
          <w:szCs w:val="22"/>
        </w:rPr>
        <w:t>(1) This Act has effect in relation to a grant year commencing on a 1 July as if references in this Act to the applicable Schedule were references to the Schedule that is expressed to relate to the year commencing on that 1 July.</w:t>
      </w:r>
    </w:p>
    <w:p w14:paraId="2F5E5DB6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“(2) The provisions set out in a Schedule apply in relation to the grant year to which the Schedule relates.”.</w:t>
      </w:r>
    </w:p>
    <w:p w14:paraId="523DD5EC" w14:textId="77777777" w:rsidR="00FB77E2" w:rsidRPr="00657B1B" w:rsidRDefault="00AA4FED" w:rsidP="00AA4FED">
      <w:pPr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7558CC" w:rsidRPr="00657B1B">
        <w:rPr>
          <w:rFonts w:ascii="Times New Roman" w:hAnsi="Times New Roman" w:cs="Times New Roman"/>
          <w:b/>
          <w:sz w:val="22"/>
          <w:szCs w:val="22"/>
        </w:rPr>
        <w:t>Section 10:</w:t>
      </w:r>
    </w:p>
    <w:p w14:paraId="2944B187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Repeal the section, substitute:</w:t>
      </w:r>
    </w:p>
    <w:p w14:paraId="4B5B4602" w14:textId="77777777" w:rsidR="00FB77E2" w:rsidRPr="00171459" w:rsidRDefault="007558CC" w:rsidP="00BE2A82">
      <w:pPr>
        <w:pStyle w:val="Bodytext60"/>
        <w:shd w:val="clear" w:color="auto" w:fill="auto"/>
        <w:spacing w:before="120" w:after="60" w:line="240" w:lineRule="auto"/>
        <w:jc w:val="both"/>
        <w:rPr>
          <w:sz w:val="22"/>
          <w:szCs w:val="22"/>
        </w:rPr>
      </w:pPr>
      <w:r w:rsidRPr="00171459">
        <w:rPr>
          <w:sz w:val="22"/>
          <w:szCs w:val="22"/>
        </w:rPr>
        <w:t>Arterial road grants</w:t>
      </w:r>
    </w:p>
    <w:p w14:paraId="07999CE3" w14:textId="5CDB79F3" w:rsidR="00FB77E2" w:rsidRPr="00171459" w:rsidRDefault="00CA7FF3" w:rsidP="00BE2A8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>
        <w:rPr>
          <w:rStyle w:val="BodyText1"/>
          <w:sz w:val="22"/>
          <w:szCs w:val="22"/>
        </w:rPr>
        <w:t>“</w:t>
      </w:r>
      <w:r w:rsidR="007558CC" w:rsidRPr="00171459">
        <w:rPr>
          <w:rStyle w:val="BodyText1"/>
          <w:sz w:val="22"/>
          <w:szCs w:val="22"/>
        </w:rPr>
        <w:t>10.(1) Subject to this Act, each State is to be paid, by way of financial assistance, in relation to the grant year commencing on 1 July 1994, an amount set out in Schedule 1.</w:t>
      </w:r>
    </w:p>
    <w:p w14:paraId="2B2461FE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“(2) Subject to this Act, each State is to be paid, by way of financial assistance, in relation to a grant year, other than the grant year commencing on 1 July 1994, an amount worked out in accordance with the applicable Schedule.”.</w:t>
      </w:r>
    </w:p>
    <w:p w14:paraId="2DD02996" w14:textId="77777777" w:rsidR="00FB77E2" w:rsidRPr="00657B1B" w:rsidRDefault="00AA4FED" w:rsidP="00AA4FED">
      <w:pPr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7558CC" w:rsidRPr="00657B1B">
        <w:rPr>
          <w:rFonts w:ascii="Times New Roman" w:hAnsi="Times New Roman" w:cs="Times New Roman"/>
          <w:b/>
          <w:sz w:val="22"/>
          <w:szCs w:val="22"/>
        </w:rPr>
        <w:t>Section 12:</w:t>
      </w:r>
    </w:p>
    <w:p w14:paraId="25D830F1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Repeal the section, substitute:</w:t>
      </w:r>
    </w:p>
    <w:p w14:paraId="71DA5208" w14:textId="77777777" w:rsidR="00FB77E2" w:rsidRPr="00171459" w:rsidRDefault="007558CC" w:rsidP="00BE2A82">
      <w:pPr>
        <w:pStyle w:val="Bodytext60"/>
        <w:shd w:val="clear" w:color="auto" w:fill="auto"/>
        <w:spacing w:before="120" w:after="60" w:line="240" w:lineRule="auto"/>
        <w:jc w:val="both"/>
        <w:rPr>
          <w:sz w:val="22"/>
          <w:szCs w:val="22"/>
        </w:rPr>
      </w:pPr>
      <w:r w:rsidRPr="00171459">
        <w:rPr>
          <w:sz w:val="22"/>
          <w:szCs w:val="22"/>
        </w:rPr>
        <w:t>Special revenue assistance grants</w:t>
      </w:r>
    </w:p>
    <w:p w14:paraId="5F89FDDB" w14:textId="795DED9C" w:rsidR="00FB77E2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rStyle w:val="BodyText1"/>
          <w:sz w:val="22"/>
          <w:szCs w:val="22"/>
        </w:rPr>
      </w:pPr>
      <w:r w:rsidRPr="00171459">
        <w:rPr>
          <w:rStyle w:val="BodyText1"/>
          <w:sz w:val="22"/>
          <w:szCs w:val="22"/>
        </w:rPr>
        <w:t>“12.(1) Subject to this Act, each State is to be paid, by way of financial assistance, in relation to the grant year, an amount worked out using the formula:</w:t>
      </w:r>
    </w:p>
    <w:p w14:paraId="237175AE" w14:textId="48E4FB67" w:rsidR="00CA7FF3" w:rsidRPr="00171459" w:rsidRDefault="00CA7FF3" w:rsidP="00CA7FF3">
      <w:pPr>
        <w:pStyle w:val="BodyText3"/>
        <w:shd w:val="clear" w:color="auto" w:fill="auto"/>
        <w:spacing w:before="120" w:line="240" w:lineRule="auto"/>
        <w:ind w:firstLine="274"/>
        <w:jc w:val="center"/>
        <w:rPr>
          <w:sz w:val="22"/>
          <w:szCs w:val="22"/>
        </w:rPr>
      </w:pPr>
      <w:r w:rsidRPr="00CA7FF3">
        <w:drawing>
          <wp:inline distT="0" distB="0" distL="0" distR="0" wp14:anchorId="4EEC4678" wp14:editId="20B05D0D">
            <wp:extent cx="3282783" cy="211446"/>
            <wp:effectExtent l="0" t="0" r="0" b="0"/>
            <wp:docPr id="3" name="Picture 3" descr="base amount multiplied by index factor multiplied by population f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439" cy="21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0F6A2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where:</w:t>
      </w:r>
    </w:p>
    <w:p w14:paraId="7EF29910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rPr>
          <w:sz w:val="22"/>
          <w:szCs w:val="22"/>
        </w:rPr>
      </w:pPr>
      <w:r w:rsidRPr="005D359F">
        <w:rPr>
          <w:rStyle w:val="BodytextItalic"/>
          <w:b/>
          <w:sz w:val="22"/>
          <w:szCs w:val="22"/>
        </w:rPr>
        <w:t>base amount</w:t>
      </w:r>
      <w:r w:rsidRPr="00171459">
        <w:rPr>
          <w:rStyle w:val="BodyText1"/>
          <w:sz w:val="22"/>
          <w:szCs w:val="22"/>
        </w:rPr>
        <w:t xml:space="preserve"> means the base amount set out in the applicable Schedule.</w:t>
      </w:r>
    </w:p>
    <w:p w14:paraId="3BE6F087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“(2) The application of the formula may result in a State not receiving any amount under this section in relation to the grant year.”.</w:t>
      </w:r>
    </w:p>
    <w:p w14:paraId="25A62C4F" w14:textId="77777777" w:rsidR="00FB77E2" w:rsidRPr="00657B1B" w:rsidRDefault="00AA4FED" w:rsidP="00AA4FED">
      <w:pPr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7558CC" w:rsidRPr="00657B1B">
        <w:rPr>
          <w:rFonts w:ascii="Times New Roman" w:hAnsi="Times New Roman" w:cs="Times New Roman"/>
          <w:b/>
          <w:sz w:val="22"/>
          <w:szCs w:val="22"/>
        </w:rPr>
        <w:t>Transitional</w:t>
      </w:r>
    </w:p>
    <w:p w14:paraId="72FE8E31" w14:textId="0AB26CB4" w:rsidR="00FB77E2" w:rsidRPr="00171459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 xml:space="preserve">Amounts paid to a State by way of special revenue assistance grants under section </w:t>
      </w:r>
      <w:r w:rsidRPr="00CA7FF3">
        <w:rPr>
          <w:rStyle w:val="BodyText1"/>
          <w:sz w:val="22"/>
          <w:szCs w:val="22"/>
        </w:rPr>
        <w:t>12</w:t>
      </w:r>
      <w:r w:rsidRPr="00171459">
        <w:rPr>
          <w:rStyle w:val="BodyText1"/>
          <w:sz w:val="22"/>
          <w:szCs w:val="22"/>
        </w:rPr>
        <w:t xml:space="preserve"> of the </w:t>
      </w:r>
      <w:r w:rsidRPr="00171459">
        <w:rPr>
          <w:rStyle w:val="BodytextItalic"/>
          <w:sz w:val="22"/>
          <w:szCs w:val="22"/>
        </w:rPr>
        <w:t>States Grants (General Purposes) Act 1994</w:t>
      </w:r>
      <w:r w:rsidRPr="00CA7FF3">
        <w:rPr>
          <w:rStyle w:val="BodytextItalic"/>
          <w:i w:val="0"/>
          <w:sz w:val="22"/>
          <w:szCs w:val="22"/>
        </w:rPr>
        <w:t>,</w:t>
      </w:r>
      <w:r w:rsidRPr="00171459">
        <w:rPr>
          <w:rStyle w:val="BodyText1"/>
          <w:sz w:val="22"/>
          <w:szCs w:val="22"/>
        </w:rPr>
        <w:t xml:space="preserve"> as in force immediately before the day on which this Act receives the Royal</w:t>
      </w:r>
    </w:p>
    <w:p w14:paraId="2AA1D02F" w14:textId="77777777" w:rsidR="00657B1B" w:rsidRDefault="00657B1B" w:rsidP="00BE2A82">
      <w:pPr>
        <w:spacing w:before="120"/>
        <w:rPr>
          <w:rStyle w:val="Bodytext51"/>
          <w:rFonts w:eastAsia="Courier New"/>
          <w:sz w:val="22"/>
          <w:szCs w:val="22"/>
        </w:rPr>
      </w:pPr>
      <w:r>
        <w:rPr>
          <w:rStyle w:val="Bodytext51"/>
          <w:rFonts w:eastAsia="Courier New"/>
          <w:i w:val="0"/>
          <w:iCs w:val="0"/>
          <w:sz w:val="22"/>
          <w:szCs w:val="22"/>
        </w:rPr>
        <w:br w:type="page"/>
      </w:r>
    </w:p>
    <w:p w14:paraId="1CBC6196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jc w:val="center"/>
        <w:rPr>
          <w:sz w:val="22"/>
          <w:szCs w:val="22"/>
        </w:rPr>
      </w:pPr>
      <w:r w:rsidRPr="002668E4">
        <w:rPr>
          <w:rStyle w:val="BodyText1"/>
          <w:b/>
          <w:sz w:val="22"/>
          <w:szCs w:val="22"/>
        </w:rPr>
        <w:lastRenderedPageBreak/>
        <w:t>SCHEDULE</w:t>
      </w:r>
      <w:r w:rsidRPr="00171459">
        <w:rPr>
          <w:rStyle w:val="BodyText1"/>
          <w:sz w:val="22"/>
          <w:szCs w:val="22"/>
        </w:rPr>
        <w:t>—continued</w:t>
      </w:r>
    </w:p>
    <w:p w14:paraId="01F8680D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Assent, in respect of the financial year commencing on 1 July 1994 are to be taken, on and after that day, to have been so paid under that Act, as amended by this Act.</w:t>
      </w:r>
    </w:p>
    <w:p w14:paraId="31BC62CF" w14:textId="77777777" w:rsidR="00FB77E2" w:rsidRPr="002668E4" w:rsidRDefault="00F51CC0" w:rsidP="00F51CC0">
      <w:pPr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BodyText1"/>
          <w:rFonts w:eastAsia="Courier New"/>
          <w:b/>
          <w:sz w:val="22"/>
          <w:szCs w:val="22"/>
        </w:rPr>
        <w:t xml:space="preserve">5. </w:t>
      </w:r>
      <w:r w:rsidR="007558CC" w:rsidRPr="002668E4">
        <w:rPr>
          <w:rStyle w:val="BodyText1"/>
          <w:rFonts w:eastAsia="Courier New"/>
          <w:b/>
          <w:sz w:val="22"/>
          <w:szCs w:val="22"/>
        </w:rPr>
        <w:t>Schedule 1 (heading):</w:t>
      </w:r>
    </w:p>
    <w:p w14:paraId="23277FDC" w14:textId="03F9A591" w:rsidR="00FB77E2" w:rsidRPr="00171459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 xml:space="preserve">Omit </w:t>
      </w:r>
      <w:r w:rsidRPr="00CA7FF3">
        <w:rPr>
          <w:rStyle w:val="BodyText1"/>
          <w:sz w:val="22"/>
          <w:szCs w:val="22"/>
        </w:rPr>
        <w:t>“</w:t>
      </w:r>
      <w:r w:rsidRPr="005D359F">
        <w:rPr>
          <w:rStyle w:val="BodyText1"/>
          <w:b/>
          <w:sz w:val="22"/>
          <w:szCs w:val="22"/>
        </w:rPr>
        <w:t>1994-95</w:t>
      </w:r>
      <w:r w:rsidRPr="00CA7FF3">
        <w:rPr>
          <w:rStyle w:val="BodyText1"/>
          <w:sz w:val="22"/>
          <w:szCs w:val="22"/>
        </w:rPr>
        <w:t>”</w:t>
      </w:r>
      <w:r w:rsidRPr="00171459">
        <w:rPr>
          <w:rStyle w:val="BodyText1"/>
          <w:sz w:val="22"/>
          <w:szCs w:val="22"/>
        </w:rPr>
        <w:t xml:space="preserve">, substitute </w:t>
      </w:r>
      <w:r w:rsidRPr="00CA7FF3">
        <w:rPr>
          <w:rStyle w:val="BodyText1"/>
          <w:sz w:val="22"/>
          <w:szCs w:val="22"/>
        </w:rPr>
        <w:t>“</w:t>
      </w:r>
      <w:r w:rsidRPr="005D359F">
        <w:rPr>
          <w:rStyle w:val="BodyText1"/>
          <w:b/>
          <w:sz w:val="22"/>
          <w:szCs w:val="22"/>
        </w:rPr>
        <w:t>commencing 1 July 1994</w:t>
      </w:r>
      <w:r w:rsidRPr="00CA7FF3">
        <w:rPr>
          <w:rStyle w:val="BodyText1"/>
          <w:sz w:val="22"/>
          <w:szCs w:val="22"/>
        </w:rPr>
        <w:t>”.</w:t>
      </w:r>
    </w:p>
    <w:p w14:paraId="3D60F18A" w14:textId="77777777" w:rsidR="00FB77E2" w:rsidRPr="00C257E9" w:rsidRDefault="00F51CC0" w:rsidP="00F51CC0">
      <w:pPr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BodyText1"/>
          <w:rFonts w:eastAsia="Courier New"/>
          <w:b/>
          <w:sz w:val="22"/>
          <w:szCs w:val="22"/>
        </w:rPr>
        <w:t xml:space="preserve">6. </w:t>
      </w:r>
      <w:r w:rsidR="007558CC" w:rsidRPr="00C257E9">
        <w:rPr>
          <w:rStyle w:val="BodyText1"/>
          <w:rFonts w:eastAsia="Courier New"/>
          <w:b/>
          <w:sz w:val="22"/>
          <w:szCs w:val="22"/>
        </w:rPr>
        <w:t>Clause 4 of Schedule 1:</w:t>
      </w:r>
    </w:p>
    <w:p w14:paraId="4B1F1413" w14:textId="77777777" w:rsidR="00FB77E2" w:rsidRPr="00171459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Omit the clause, substitute:</w:t>
      </w:r>
    </w:p>
    <w:p w14:paraId="0251E7AF" w14:textId="77777777" w:rsidR="00FB77E2" w:rsidRPr="00C257E9" w:rsidRDefault="007558CC" w:rsidP="00BE2A82">
      <w:pPr>
        <w:tabs>
          <w:tab w:val="left" w:pos="360"/>
        </w:tabs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57E9">
        <w:rPr>
          <w:rStyle w:val="BodyText1"/>
          <w:rFonts w:eastAsia="Courier New"/>
          <w:b/>
          <w:sz w:val="22"/>
          <w:szCs w:val="22"/>
        </w:rPr>
        <w:t>Special revenue assistance grants</w:t>
      </w:r>
    </w:p>
    <w:p w14:paraId="1B31E2B1" w14:textId="77777777" w:rsidR="00F51CC0" w:rsidRDefault="007558CC" w:rsidP="00BE2A82">
      <w:pPr>
        <w:pStyle w:val="BodyText3"/>
        <w:shd w:val="clear" w:color="auto" w:fill="auto"/>
        <w:spacing w:before="120" w:line="240" w:lineRule="auto"/>
        <w:ind w:firstLine="274"/>
        <w:rPr>
          <w:rStyle w:val="BodyText1"/>
          <w:sz w:val="22"/>
          <w:szCs w:val="22"/>
        </w:rPr>
      </w:pPr>
      <w:r w:rsidRPr="00171459">
        <w:rPr>
          <w:rStyle w:val="BodyText1"/>
          <w:sz w:val="22"/>
          <w:szCs w:val="22"/>
        </w:rPr>
        <w:t xml:space="preserve">“4. </w:t>
      </w:r>
      <w:r w:rsidR="00F51CC0">
        <w:rPr>
          <w:rStyle w:val="BodyText1"/>
          <w:sz w:val="22"/>
          <w:szCs w:val="22"/>
        </w:rPr>
        <w:t>For the purposes of section 12:</w:t>
      </w:r>
    </w:p>
    <w:p w14:paraId="63D26A08" w14:textId="77777777" w:rsidR="00FB77E2" w:rsidRPr="00171459" w:rsidRDefault="007558CC" w:rsidP="00F51CC0">
      <w:pPr>
        <w:pStyle w:val="BodyText3"/>
        <w:shd w:val="clear" w:color="auto" w:fill="auto"/>
        <w:spacing w:before="120" w:after="120" w:line="240" w:lineRule="auto"/>
        <w:rPr>
          <w:sz w:val="22"/>
          <w:szCs w:val="22"/>
        </w:rPr>
      </w:pPr>
      <w:r w:rsidRPr="00F51CC0">
        <w:rPr>
          <w:rStyle w:val="BodytextItalic"/>
          <w:b/>
          <w:sz w:val="22"/>
          <w:szCs w:val="22"/>
        </w:rPr>
        <w:t>base amount</w:t>
      </w:r>
      <w:r w:rsidRPr="00F51CC0">
        <w:rPr>
          <w:rStyle w:val="BodyText1"/>
          <w:b/>
          <w:sz w:val="22"/>
          <w:szCs w:val="22"/>
        </w:rPr>
        <w:t xml:space="preserve"> </w:t>
      </w:r>
      <w:r w:rsidRPr="00171459">
        <w:rPr>
          <w:rStyle w:val="BodyText1"/>
          <w:sz w:val="22"/>
          <w:szCs w:val="22"/>
        </w:rPr>
        <w:t>means the amount set out opposite to the name of the State in the following table: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0"/>
        <w:gridCol w:w="1360"/>
      </w:tblGrid>
      <w:tr w:rsidR="00FB77E2" w:rsidRPr="00171459" w14:paraId="0DBB5F25" w14:textId="77777777" w:rsidTr="001F4D7C">
        <w:trPr>
          <w:trHeight w:val="359"/>
        </w:trPr>
        <w:tc>
          <w:tcPr>
            <w:tcW w:w="4275" w:type="pct"/>
            <w:tcBorders>
              <w:top w:val="single" w:sz="4" w:space="0" w:color="auto"/>
            </w:tcBorders>
            <w:shd w:val="clear" w:color="auto" w:fill="FFFFFF"/>
          </w:tcPr>
          <w:p w14:paraId="1A3A9B90" w14:textId="77777777" w:rsidR="00FB77E2" w:rsidRPr="005D359F" w:rsidRDefault="007558CC" w:rsidP="00171459">
            <w:pPr>
              <w:pStyle w:val="BodyText3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5D359F">
              <w:rPr>
                <w:rStyle w:val="BodyText1"/>
                <w:b/>
                <w:sz w:val="22"/>
                <w:szCs w:val="22"/>
              </w:rPr>
              <w:t>State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</w:tcPr>
          <w:p w14:paraId="556E90F1" w14:textId="77777777" w:rsidR="00FB77E2" w:rsidRPr="005D359F" w:rsidRDefault="007558CC" w:rsidP="001F4D7C">
            <w:pPr>
              <w:pStyle w:val="BodyText3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D359F">
              <w:rPr>
                <w:rStyle w:val="BodyText1"/>
                <w:b/>
                <w:sz w:val="22"/>
                <w:szCs w:val="22"/>
              </w:rPr>
              <w:t>Base amount $</w:t>
            </w:r>
          </w:p>
        </w:tc>
      </w:tr>
      <w:tr w:rsidR="00FB77E2" w:rsidRPr="00171459" w14:paraId="078710D6" w14:textId="77777777" w:rsidTr="001F4D7C">
        <w:trPr>
          <w:trHeight w:val="341"/>
        </w:trPr>
        <w:tc>
          <w:tcPr>
            <w:tcW w:w="427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DD000" w14:textId="77777777" w:rsidR="00FB77E2" w:rsidRPr="00171459" w:rsidRDefault="007558CC" w:rsidP="00C257E9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New South Wales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618DBB" w14:textId="77777777" w:rsidR="00FB77E2" w:rsidRPr="005B571C" w:rsidRDefault="007558CC" w:rsidP="00C257E9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sz w:val="22"/>
                <w:szCs w:val="22"/>
              </w:rPr>
            </w:pPr>
            <w:r w:rsidRPr="005B571C">
              <w:rPr>
                <w:rStyle w:val="BodyText1"/>
                <w:sz w:val="22"/>
                <w:szCs w:val="22"/>
              </w:rPr>
              <w:t>158,638,731</w:t>
            </w:r>
          </w:p>
        </w:tc>
      </w:tr>
      <w:tr w:rsidR="00FB77E2" w:rsidRPr="00171459" w14:paraId="5CC431F9" w14:textId="77777777" w:rsidTr="001F4D7C">
        <w:trPr>
          <w:trHeight w:val="365"/>
        </w:trPr>
        <w:tc>
          <w:tcPr>
            <w:tcW w:w="4275" w:type="pct"/>
            <w:shd w:val="clear" w:color="auto" w:fill="FFFFFF"/>
            <w:vAlign w:val="bottom"/>
          </w:tcPr>
          <w:p w14:paraId="639D834F" w14:textId="77777777" w:rsidR="00FB77E2" w:rsidRPr="00171459" w:rsidRDefault="007558CC" w:rsidP="00C257E9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Victoria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2CC355ED" w14:textId="77777777" w:rsidR="00FB77E2" w:rsidRPr="005B571C" w:rsidRDefault="007558CC" w:rsidP="00C257E9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sz w:val="22"/>
                <w:szCs w:val="22"/>
              </w:rPr>
            </w:pPr>
            <w:r w:rsidRPr="005B571C">
              <w:rPr>
                <w:rStyle w:val="BodyText1"/>
                <w:sz w:val="22"/>
                <w:szCs w:val="22"/>
              </w:rPr>
              <w:t>207,806,948</w:t>
            </w:r>
          </w:p>
        </w:tc>
      </w:tr>
      <w:tr w:rsidR="00FB77E2" w:rsidRPr="00171459" w14:paraId="5C6BC335" w14:textId="77777777" w:rsidTr="001F4D7C">
        <w:trPr>
          <w:trHeight w:val="384"/>
        </w:trPr>
        <w:tc>
          <w:tcPr>
            <w:tcW w:w="4275" w:type="pct"/>
            <w:shd w:val="clear" w:color="auto" w:fill="FFFFFF"/>
            <w:vAlign w:val="bottom"/>
          </w:tcPr>
          <w:p w14:paraId="6DBE053B" w14:textId="77777777" w:rsidR="00FB77E2" w:rsidRPr="00171459" w:rsidRDefault="007558CC" w:rsidP="00C257E9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Queensland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2DDB983A" w14:textId="77777777" w:rsidR="00FB77E2" w:rsidRPr="005B571C" w:rsidRDefault="007558CC" w:rsidP="00C257E9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sz w:val="22"/>
                <w:szCs w:val="22"/>
              </w:rPr>
            </w:pPr>
            <w:r w:rsidRPr="005B571C">
              <w:rPr>
                <w:rStyle w:val="BodyText1"/>
                <w:sz w:val="22"/>
                <w:szCs w:val="22"/>
              </w:rPr>
              <w:t>38,707,300</w:t>
            </w:r>
          </w:p>
        </w:tc>
      </w:tr>
      <w:tr w:rsidR="00FB77E2" w:rsidRPr="00171459" w14:paraId="73CA52F6" w14:textId="77777777" w:rsidTr="001F4D7C">
        <w:trPr>
          <w:trHeight w:val="365"/>
        </w:trPr>
        <w:tc>
          <w:tcPr>
            <w:tcW w:w="4275" w:type="pct"/>
            <w:shd w:val="clear" w:color="auto" w:fill="FFFFFF"/>
            <w:vAlign w:val="bottom"/>
          </w:tcPr>
          <w:p w14:paraId="2D2CB5CD" w14:textId="77777777" w:rsidR="00FB77E2" w:rsidRPr="00171459" w:rsidRDefault="007558CC" w:rsidP="00C257E9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Western Australia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27474261" w14:textId="77777777" w:rsidR="00FB77E2" w:rsidRPr="005B571C" w:rsidRDefault="007558CC" w:rsidP="00C257E9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sz w:val="22"/>
                <w:szCs w:val="22"/>
              </w:rPr>
            </w:pPr>
            <w:r w:rsidRPr="005B571C">
              <w:rPr>
                <w:rStyle w:val="BodyText1"/>
                <w:sz w:val="22"/>
                <w:szCs w:val="22"/>
              </w:rPr>
              <w:t>14,515,237</w:t>
            </w:r>
          </w:p>
        </w:tc>
      </w:tr>
      <w:tr w:rsidR="00FB77E2" w:rsidRPr="00171459" w14:paraId="1C19417E" w14:textId="77777777" w:rsidTr="001F4D7C">
        <w:trPr>
          <w:trHeight w:val="370"/>
        </w:trPr>
        <w:tc>
          <w:tcPr>
            <w:tcW w:w="4275" w:type="pct"/>
            <w:shd w:val="clear" w:color="auto" w:fill="FFFFFF"/>
            <w:vAlign w:val="bottom"/>
          </w:tcPr>
          <w:p w14:paraId="33DD8B66" w14:textId="77777777" w:rsidR="00FB77E2" w:rsidRPr="00171459" w:rsidRDefault="007558CC" w:rsidP="00C257E9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South Australia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55398E69" w14:textId="77777777" w:rsidR="00FB77E2" w:rsidRPr="005B571C" w:rsidRDefault="007558CC" w:rsidP="00C257E9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sz w:val="22"/>
                <w:szCs w:val="22"/>
              </w:rPr>
            </w:pPr>
            <w:r w:rsidRPr="005B571C">
              <w:rPr>
                <w:rStyle w:val="BodyText1"/>
                <w:sz w:val="22"/>
                <w:szCs w:val="22"/>
              </w:rPr>
              <w:t>4,838,412</w:t>
            </w:r>
          </w:p>
        </w:tc>
      </w:tr>
      <w:tr w:rsidR="00FB77E2" w:rsidRPr="00171459" w14:paraId="5049E1B7" w14:textId="77777777" w:rsidTr="001F4D7C">
        <w:trPr>
          <w:trHeight w:val="374"/>
        </w:trPr>
        <w:tc>
          <w:tcPr>
            <w:tcW w:w="4275" w:type="pct"/>
            <w:shd w:val="clear" w:color="auto" w:fill="FFFFFF"/>
            <w:vAlign w:val="bottom"/>
          </w:tcPr>
          <w:p w14:paraId="0FF22F1B" w14:textId="77777777" w:rsidR="00FB77E2" w:rsidRPr="00171459" w:rsidRDefault="007558CC" w:rsidP="00C257E9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Tasmania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5905D85A" w14:textId="77777777" w:rsidR="00FB77E2" w:rsidRPr="005B571C" w:rsidRDefault="007558CC" w:rsidP="00C257E9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sz w:val="22"/>
                <w:szCs w:val="22"/>
              </w:rPr>
            </w:pPr>
            <w:r w:rsidRPr="005B571C">
              <w:rPr>
                <w:rStyle w:val="BodyText1"/>
                <w:sz w:val="22"/>
                <w:szCs w:val="22"/>
              </w:rPr>
              <w:t>7,741,460</w:t>
            </w:r>
          </w:p>
        </w:tc>
      </w:tr>
      <w:tr w:rsidR="00FB77E2" w:rsidRPr="00171459" w14:paraId="04348030" w14:textId="77777777" w:rsidTr="001F4D7C">
        <w:trPr>
          <w:trHeight w:val="394"/>
        </w:trPr>
        <w:tc>
          <w:tcPr>
            <w:tcW w:w="4275" w:type="pct"/>
            <w:shd w:val="clear" w:color="auto" w:fill="FFFFFF"/>
            <w:vAlign w:val="bottom"/>
          </w:tcPr>
          <w:p w14:paraId="3D650E56" w14:textId="77777777" w:rsidR="00FB77E2" w:rsidRPr="00171459" w:rsidRDefault="007558CC" w:rsidP="00C257E9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Australian Capital Territory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68E3BF73" w14:textId="77777777" w:rsidR="00FB77E2" w:rsidRPr="005B571C" w:rsidRDefault="007558CC" w:rsidP="00C257E9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sz w:val="22"/>
                <w:szCs w:val="22"/>
              </w:rPr>
            </w:pPr>
            <w:r w:rsidRPr="005B571C">
              <w:rPr>
                <w:rStyle w:val="BodyText1"/>
                <w:sz w:val="22"/>
                <w:szCs w:val="22"/>
              </w:rPr>
              <w:t>39,965,287</w:t>
            </w:r>
          </w:p>
        </w:tc>
      </w:tr>
      <w:tr w:rsidR="00FB77E2" w:rsidRPr="00171459" w14:paraId="08C4AB52" w14:textId="77777777" w:rsidTr="001F4D7C">
        <w:trPr>
          <w:trHeight w:val="360"/>
        </w:trPr>
        <w:tc>
          <w:tcPr>
            <w:tcW w:w="427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D266A02" w14:textId="77777777" w:rsidR="00FB77E2" w:rsidRPr="00171459" w:rsidRDefault="007558CC" w:rsidP="00C257E9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Northern Territory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5BDADE2" w14:textId="77777777" w:rsidR="00FB77E2" w:rsidRPr="005B571C" w:rsidRDefault="007558CC" w:rsidP="00C257E9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sz w:val="22"/>
                <w:szCs w:val="22"/>
              </w:rPr>
            </w:pPr>
            <w:r w:rsidRPr="005B571C">
              <w:rPr>
                <w:rStyle w:val="BodyText1"/>
                <w:sz w:val="22"/>
                <w:szCs w:val="22"/>
              </w:rPr>
              <w:t>28,062,792</w:t>
            </w:r>
          </w:p>
        </w:tc>
      </w:tr>
    </w:tbl>
    <w:p w14:paraId="7BED11C6" w14:textId="77777777" w:rsidR="00FB77E2" w:rsidRPr="00C257E9" w:rsidRDefault="00F51CC0" w:rsidP="00F51CC0">
      <w:pPr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BodyText1"/>
          <w:rFonts w:eastAsia="Courier New"/>
          <w:b/>
          <w:sz w:val="22"/>
          <w:szCs w:val="22"/>
        </w:rPr>
        <w:t xml:space="preserve">7. </w:t>
      </w:r>
      <w:r w:rsidR="007558CC" w:rsidRPr="00C257E9">
        <w:rPr>
          <w:rStyle w:val="BodyText1"/>
          <w:rFonts w:eastAsia="Courier New"/>
          <w:b/>
          <w:sz w:val="22"/>
          <w:szCs w:val="22"/>
        </w:rPr>
        <w:t>Schedule 1:</w:t>
      </w:r>
    </w:p>
    <w:p w14:paraId="50CFC07B" w14:textId="77777777" w:rsidR="00FB77E2" w:rsidRPr="00171459" w:rsidRDefault="007558CC" w:rsidP="005D359F">
      <w:pPr>
        <w:pStyle w:val="BodyText3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Add at the end:</w:t>
      </w:r>
    </w:p>
    <w:p w14:paraId="4D1809B9" w14:textId="640C4D6E" w:rsidR="00FB77E2" w:rsidRPr="00171459" w:rsidRDefault="00C257E9" w:rsidP="00C82D3E">
      <w:pPr>
        <w:pStyle w:val="BodyText3"/>
        <w:shd w:val="clear" w:color="auto" w:fill="auto"/>
        <w:tabs>
          <w:tab w:val="right" w:pos="9360"/>
        </w:tabs>
        <w:spacing w:before="120" w:line="240" w:lineRule="auto"/>
        <w:ind w:left="3942"/>
        <w:rPr>
          <w:sz w:val="22"/>
          <w:szCs w:val="22"/>
        </w:rPr>
      </w:pPr>
      <w:r w:rsidRPr="00CA7FF3">
        <w:rPr>
          <w:rStyle w:val="BodyText1"/>
          <w:sz w:val="22"/>
          <w:szCs w:val="22"/>
        </w:rPr>
        <w:t>“</w:t>
      </w:r>
      <w:r w:rsidRPr="00C257E9">
        <w:rPr>
          <w:rStyle w:val="BodyText1"/>
          <w:b/>
          <w:sz w:val="22"/>
          <w:szCs w:val="22"/>
        </w:rPr>
        <w:t xml:space="preserve">SCHEDULE2 </w:t>
      </w:r>
      <w:r>
        <w:rPr>
          <w:rStyle w:val="BodyText1"/>
          <w:sz w:val="22"/>
          <w:szCs w:val="22"/>
        </w:rPr>
        <w:tab/>
      </w:r>
      <w:r w:rsidR="007558CC" w:rsidRPr="00CA7FF3">
        <w:rPr>
          <w:rStyle w:val="Bodytext9pt"/>
          <w:sz w:val="20"/>
          <w:szCs w:val="22"/>
        </w:rPr>
        <w:t>Section</w:t>
      </w:r>
      <w:r w:rsidRPr="00CA7FF3">
        <w:rPr>
          <w:rStyle w:val="Bodytext9pt"/>
          <w:sz w:val="20"/>
          <w:szCs w:val="22"/>
        </w:rPr>
        <w:t xml:space="preserve"> </w:t>
      </w:r>
      <w:r w:rsidR="007558CC" w:rsidRPr="00CA7FF3">
        <w:rPr>
          <w:rStyle w:val="Bodytext9pt"/>
          <w:sz w:val="20"/>
          <w:szCs w:val="22"/>
        </w:rPr>
        <w:t>3</w:t>
      </w:r>
    </w:p>
    <w:p w14:paraId="2E39CC49" w14:textId="77777777" w:rsidR="00FB77E2" w:rsidRPr="005D359F" w:rsidRDefault="007558CC" w:rsidP="005D359F">
      <w:pPr>
        <w:pStyle w:val="BodyText3"/>
        <w:shd w:val="clear" w:color="auto" w:fill="auto"/>
        <w:spacing w:before="120" w:line="240" w:lineRule="auto"/>
        <w:jc w:val="center"/>
        <w:rPr>
          <w:b/>
          <w:sz w:val="22"/>
          <w:szCs w:val="22"/>
        </w:rPr>
      </w:pPr>
      <w:r w:rsidRPr="005D359F">
        <w:rPr>
          <w:rStyle w:val="BodyText1"/>
          <w:b/>
          <w:sz w:val="22"/>
          <w:szCs w:val="22"/>
        </w:rPr>
        <w:t>Grant year commencing 1 July 1995</w:t>
      </w:r>
    </w:p>
    <w:p w14:paraId="7A5ECA55" w14:textId="77777777" w:rsidR="00FB77E2" w:rsidRPr="00C257E9" w:rsidRDefault="007558CC" w:rsidP="005D359F">
      <w:pPr>
        <w:tabs>
          <w:tab w:val="left" w:pos="360"/>
        </w:tabs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57E9">
        <w:rPr>
          <w:rStyle w:val="BodyText1"/>
          <w:rFonts w:eastAsia="Courier New"/>
          <w:b/>
          <w:sz w:val="22"/>
          <w:szCs w:val="22"/>
        </w:rPr>
        <w:t>Interpretation</w:t>
      </w:r>
    </w:p>
    <w:p w14:paraId="21851977" w14:textId="77777777" w:rsidR="00C257E9" w:rsidRDefault="00C257E9" w:rsidP="005D359F">
      <w:pPr>
        <w:pStyle w:val="BodyText3"/>
        <w:shd w:val="clear" w:color="auto" w:fill="auto"/>
        <w:spacing w:before="120" w:line="240" w:lineRule="auto"/>
        <w:ind w:firstLine="274"/>
        <w:rPr>
          <w:rStyle w:val="BodyText1"/>
          <w:sz w:val="22"/>
          <w:szCs w:val="22"/>
        </w:rPr>
      </w:pPr>
      <w:r>
        <w:rPr>
          <w:rStyle w:val="BodyText1"/>
          <w:sz w:val="22"/>
          <w:szCs w:val="22"/>
        </w:rPr>
        <w:t>“1. In this Schedule:</w:t>
      </w:r>
    </w:p>
    <w:p w14:paraId="0A2EA401" w14:textId="77777777" w:rsidR="00C257E9" w:rsidRDefault="007558CC" w:rsidP="005D359F">
      <w:pPr>
        <w:pStyle w:val="BodyText3"/>
        <w:shd w:val="clear" w:color="auto" w:fill="auto"/>
        <w:spacing w:before="120" w:line="240" w:lineRule="auto"/>
        <w:rPr>
          <w:rStyle w:val="BodyText1"/>
          <w:sz w:val="22"/>
          <w:szCs w:val="22"/>
        </w:rPr>
      </w:pPr>
      <w:r w:rsidRPr="00F51CC0">
        <w:rPr>
          <w:rStyle w:val="BodytextItalic"/>
          <w:b/>
          <w:sz w:val="22"/>
          <w:szCs w:val="22"/>
        </w:rPr>
        <w:t>base assistance amount</w:t>
      </w:r>
      <w:r w:rsidRPr="00171459">
        <w:rPr>
          <w:rStyle w:val="BodyText1"/>
          <w:sz w:val="22"/>
          <w:szCs w:val="22"/>
        </w:rPr>
        <w:t xml:space="preserve"> means $14,076,153,668.</w:t>
      </w:r>
    </w:p>
    <w:p w14:paraId="3A566F90" w14:textId="77777777" w:rsidR="00C257E9" w:rsidRDefault="007558CC" w:rsidP="005D359F">
      <w:pPr>
        <w:pStyle w:val="BodyText3"/>
        <w:shd w:val="clear" w:color="auto" w:fill="auto"/>
        <w:spacing w:before="120" w:line="240" w:lineRule="auto"/>
        <w:rPr>
          <w:rStyle w:val="BodyText1"/>
          <w:sz w:val="22"/>
          <w:szCs w:val="22"/>
        </w:rPr>
      </w:pPr>
      <w:r w:rsidRPr="005D359F">
        <w:rPr>
          <w:rStyle w:val="BodytextItalic"/>
          <w:b/>
          <w:sz w:val="22"/>
          <w:szCs w:val="22"/>
        </w:rPr>
        <w:t>grant year</w:t>
      </w:r>
      <w:r w:rsidRPr="00171459">
        <w:rPr>
          <w:rStyle w:val="BodyText1"/>
          <w:sz w:val="22"/>
          <w:szCs w:val="22"/>
        </w:rPr>
        <w:t xml:space="preserve"> means the financial year that commenced on 1 July 1995.</w:t>
      </w:r>
    </w:p>
    <w:p w14:paraId="2102BFCE" w14:textId="77777777" w:rsidR="00FB77E2" w:rsidRPr="00171459" w:rsidRDefault="007558CC" w:rsidP="005D359F">
      <w:pPr>
        <w:pStyle w:val="BodyText3"/>
        <w:shd w:val="clear" w:color="auto" w:fill="auto"/>
        <w:spacing w:before="120" w:line="240" w:lineRule="auto"/>
        <w:rPr>
          <w:sz w:val="22"/>
          <w:szCs w:val="22"/>
        </w:rPr>
      </w:pPr>
      <w:r w:rsidRPr="005D359F">
        <w:rPr>
          <w:rStyle w:val="BodytextItalic"/>
          <w:b/>
          <w:sz w:val="22"/>
          <w:szCs w:val="22"/>
        </w:rPr>
        <w:t>previous year</w:t>
      </w:r>
      <w:r w:rsidRPr="00171459">
        <w:rPr>
          <w:rStyle w:val="BodyText1"/>
          <w:sz w:val="22"/>
          <w:szCs w:val="22"/>
        </w:rPr>
        <w:t xml:space="preserve"> means the financial year that commenced on 1 July 1994.</w:t>
      </w:r>
    </w:p>
    <w:p w14:paraId="0185092C" w14:textId="77777777" w:rsidR="00C257E9" w:rsidRDefault="00C257E9" w:rsidP="005D359F">
      <w:pPr>
        <w:spacing w:before="120"/>
        <w:rPr>
          <w:rStyle w:val="Bodytext51"/>
          <w:rFonts w:eastAsia="Courier New"/>
          <w:sz w:val="22"/>
          <w:szCs w:val="22"/>
        </w:rPr>
      </w:pPr>
      <w:r>
        <w:rPr>
          <w:rStyle w:val="Bodytext51"/>
          <w:rFonts w:eastAsia="Courier New"/>
          <w:i w:val="0"/>
          <w:iCs w:val="0"/>
          <w:sz w:val="22"/>
          <w:szCs w:val="22"/>
        </w:rPr>
        <w:br w:type="page"/>
      </w:r>
    </w:p>
    <w:p w14:paraId="67BD8D76" w14:textId="77777777" w:rsidR="00FB77E2" w:rsidRPr="00171459" w:rsidRDefault="007558CC" w:rsidP="009A3E14">
      <w:pPr>
        <w:pStyle w:val="BodyText3"/>
        <w:shd w:val="clear" w:color="auto" w:fill="auto"/>
        <w:spacing w:line="240" w:lineRule="auto"/>
        <w:jc w:val="center"/>
        <w:rPr>
          <w:sz w:val="22"/>
          <w:szCs w:val="22"/>
        </w:rPr>
      </w:pPr>
      <w:r w:rsidRPr="009A3E14">
        <w:rPr>
          <w:rStyle w:val="BodyText1"/>
          <w:b/>
          <w:sz w:val="22"/>
          <w:szCs w:val="22"/>
        </w:rPr>
        <w:lastRenderedPageBreak/>
        <w:t>SCHEDULE</w:t>
      </w:r>
      <w:r w:rsidRPr="00171459">
        <w:rPr>
          <w:rStyle w:val="BodyText1"/>
          <w:sz w:val="22"/>
          <w:szCs w:val="22"/>
        </w:rPr>
        <w:t>—continued</w:t>
      </w:r>
    </w:p>
    <w:p w14:paraId="6DE8D5B6" w14:textId="77777777" w:rsidR="00FB77E2" w:rsidRPr="009A3E14" w:rsidRDefault="007558CC" w:rsidP="00C3568E">
      <w:pPr>
        <w:pStyle w:val="BodyText3"/>
        <w:shd w:val="clear" w:color="auto" w:fill="auto"/>
        <w:spacing w:before="120" w:after="60" w:line="240" w:lineRule="auto"/>
        <w:rPr>
          <w:b/>
          <w:sz w:val="22"/>
          <w:szCs w:val="22"/>
        </w:rPr>
      </w:pPr>
      <w:r w:rsidRPr="009A3E14">
        <w:rPr>
          <w:rStyle w:val="BodyText1"/>
          <w:b/>
          <w:sz w:val="22"/>
          <w:szCs w:val="22"/>
        </w:rPr>
        <w:t>Relativities factors</w:t>
      </w:r>
    </w:p>
    <w:p w14:paraId="185B975D" w14:textId="05F1CD34" w:rsidR="00FB77E2" w:rsidRPr="00171459" w:rsidRDefault="007558CC" w:rsidP="00E9783B">
      <w:pPr>
        <w:pStyle w:val="BodyText3"/>
        <w:shd w:val="clear" w:color="auto" w:fill="auto"/>
        <w:spacing w:before="120" w:after="120" w:line="240" w:lineRule="auto"/>
        <w:ind w:firstLine="274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“</w:t>
      </w:r>
      <w:r w:rsidRPr="00CA7FF3">
        <w:rPr>
          <w:rStyle w:val="BodyText1"/>
          <w:sz w:val="22"/>
          <w:szCs w:val="22"/>
        </w:rPr>
        <w:t xml:space="preserve">2. </w:t>
      </w:r>
      <w:r w:rsidRPr="00171459">
        <w:rPr>
          <w:rStyle w:val="BodyText1"/>
          <w:sz w:val="22"/>
          <w:szCs w:val="22"/>
        </w:rPr>
        <w:t>The relativities factors for the States are as shown in the following table: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0"/>
        <w:gridCol w:w="1810"/>
      </w:tblGrid>
      <w:tr w:rsidR="00FB77E2" w:rsidRPr="00171459" w14:paraId="4953A8CB" w14:textId="77777777" w:rsidTr="003436A4">
        <w:trPr>
          <w:trHeight w:val="398"/>
        </w:trPr>
        <w:tc>
          <w:tcPr>
            <w:tcW w:w="403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CA8229" w14:textId="77777777" w:rsidR="00FB77E2" w:rsidRPr="001F4D7C" w:rsidRDefault="007558CC" w:rsidP="003436A4">
            <w:pPr>
              <w:pStyle w:val="BodyText3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1F4D7C">
              <w:rPr>
                <w:rStyle w:val="BodyText1"/>
                <w:b/>
                <w:sz w:val="22"/>
                <w:szCs w:val="22"/>
              </w:rPr>
              <w:t>State</w:t>
            </w:r>
          </w:p>
        </w:tc>
        <w:tc>
          <w:tcPr>
            <w:tcW w:w="96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F01B49" w14:textId="77777777" w:rsidR="00FB77E2" w:rsidRPr="001F4D7C" w:rsidRDefault="007558CC" w:rsidP="003436A4">
            <w:pPr>
              <w:pStyle w:val="BodyText3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1F4D7C">
              <w:rPr>
                <w:rStyle w:val="BodyText1"/>
                <w:b/>
                <w:sz w:val="22"/>
                <w:szCs w:val="22"/>
              </w:rPr>
              <w:t>Relativities factors</w:t>
            </w:r>
          </w:p>
        </w:tc>
      </w:tr>
      <w:tr w:rsidR="00FB77E2" w:rsidRPr="00171459" w14:paraId="72DBA42A" w14:textId="77777777" w:rsidTr="009A3E14">
        <w:trPr>
          <w:trHeight w:val="331"/>
        </w:trPr>
        <w:tc>
          <w:tcPr>
            <w:tcW w:w="40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7F5574" w14:textId="77777777" w:rsidR="00FB77E2" w:rsidRPr="00171459" w:rsidRDefault="007558CC" w:rsidP="009A3E14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New South Wales</w:t>
            </w:r>
          </w:p>
        </w:tc>
        <w:tc>
          <w:tcPr>
            <w:tcW w:w="96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FE1796" w14:textId="77777777" w:rsidR="00FB77E2" w:rsidRPr="009A3E14" w:rsidRDefault="007558CC" w:rsidP="009A3E14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0.8743</w:t>
            </w:r>
          </w:p>
        </w:tc>
      </w:tr>
      <w:tr w:rsidR="00FB77E2" w:rsidRPr="00171459" w14:paraId="491941FE" w14:textId="77777777" w:rsidTr="009A3E14">
        <w:trPr>
          <w:trHeight w:val="370"/>
        </w:trPr>
        <w:tc>
          <w:tcPr>
            <w:tcW w:w="4035" w:type="pct"/>
            <w:shd w:val="clear" w:color="auto" w:fill="FFFFFF"/>
            <w:vAlign w:val="bottom"/>
          </w:tcPr>
          <w:p w14:paraId="6F35D4D1" w14:textId="77777777" w:rsidR="00FB77E2" w:rsidRPr="00171459" w:rsidRDefault="007558CC" w:rsidP="009A3E14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Victoria</w:t>
            </w:r>
          </w:p>
        </w:tc>
        <w:tc>
          <w:tcPr>
            <w:tcW w:w="965" w:type="pct"/>
            <w:shd w:val="clear" w:color="auto" w:fill="FFFFFF"/>
            <w:vAlign w:val="bottom"/>
          </w:tcPr>
          <w:p w14:paraId="7F3255FA" w14:textId="77777777" w:rsidR="00FB77E2" w:rsidRPr="009A3E14" w:rsidRDefault="007558CC" w:rsidP="009A3E14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0.8506</w:t>
            </w:r>
          </w:p>
        </w:tc>
      </w:tr>
      <w:tr w:rsidR="00FB77E2" w:rsidRPr="00171459" w14:paraId="0A04F200" w14:textId="77777777" w:rsidTr="009A3E14">
        <w:trPr>
          <w:trHeight w:val="374"/>
        </w:trPr>
        <w:tc>
          <w:tcPr>
            <w:tcW w:w="4035" w:type="pct"/>
            <w:shd w:val="clear" w:color="auto" w:fill="FFFFFF"/>
            <w:vAlign w:val="bottom"/>
          </w:tcPr>
          <w:p w14:paraId="690595F2" w14:textId="77777777" w:rsidR="00FB77E2" w:rsidRPr="00171459" w:rsidRDefault="007558CC" w:rsidP="009A3E14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Queensland</w:t>
            </w:r>
          </w:p>
        </w:tc>
        <w:tc>
          <w:tcPr>
            <w:tcW w:w="965" w:type="pct"/>
            <w:shd w:val="clear" w:color="auto" w:fill="FFFFFF"/>
            <w:vAlign w:val="bottom"/>
          </w:tcPr>
          <w:p w14:paraId="16565B9A" w14:textId="77777777" w:rsidR="00FB77E2" w:rsidRPr="009A3E14" w:rsidRDefault="007558CC" w:rsidP="009A3E14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1.0435</w:t>
            </w:r>
          </w:p>
        </w:tc>
      </w:tr>
      <w:tr w:rsidR="00FB77E2" w:rsidRPr="00171459" w14:paraId="58811667" w14:textId="77777777" w:rsidTr="009A3E14">
        <w:trPr>
          <w:trHeight w:val="370"/>
        </w:trPr>
        <w:tc>
          <w:tcPr>
            <w:tcW w:w="4035" w:type="pct"/>
            <w:shd w:val="clear" w:color="auto" w:fill="FFFFFF"/>
            <w:vAlign w:val="bottom"/>
          </w:tcPr>
          <w:p w14:paraId="7AC48F50" w14:textId="77777777" w:rsidR="00FB77E2" w:rsidRPr="00171459" w:rsidRDefault="007558CC" w:rsidP="009A3E14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Western Australia</w:t>
            </w:r>
          </w:p>
        </w:tc>
        <w:tc>
          <w:tcPr>
            <w:tcW w:w="965" w:type="pct"/>
            <w:shd w:val="clear" w:color="auto" w:fill="FFFFFF"/>
            <w:vAlign w:val="bottom"/>
          </w:tcPr>
          <w:p w14:paraId="61BADB6F" w14:textId="77777777" w:rsidR="00FB77E2" w:rsidRPr="009A3E14" w:rsidRDefault="007558CC" w:rsidP="009A3E14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1.0521</w:t>
            </w:r>
          </w:p>
        </w:tc>
      </w:tr>
      <w:tr w:rsidR="00FB77E2" w:rsidRPr="00171459" w14:paraId="7BC041E8" w14:textId="77777777" w:rsidTr="009A3E14">
        <w:trPr>
          <w:trHeight w:val="374"/>
        </w:trPr>
        <w:tc>
          <w:tcPr>
            <w:tcW w:w="4035" w:type="pct"/>
            <w:shd w:val="clear" w:color="auto" w:fill="FFFFFF"/>
            <w:vAlign w:val="bottom"/>
          </w:tcPr>
          <w:p w14:paraId="6B454887" w14:textId="77777777" w:rsidR="00FB77E2" w:rsidRPr="00171459" w:rsidRDefault="007558CC" w:rsidP="009A3E14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South Australia</w:t>
            </w:r>
          </w:p>
        </w:tc>
        <w:tc>
          <w:tcPr>
            <w:tcW w:w="965" w:type="pct"/>
            <w:shd w:val="clear" w:color="auto" w:fill="FFFFFF"/>
            <w:vAlign w:val="bottom"/>
          </w:tcPr>
          <w:p w14:paraId="5BFC5E73" w14:textId="77777777" w:rsidR="00FB77E2" w:rsidRPr="009A3E14" w:rsidRDefault="007558CC" w:rsidP="009A3E14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1.2047</w:t>
            </w:r>
          </w:p>
        </w:tc>
      </w:tr>
      <w:tr w:rsidR="00FB77E2" w:rsidRPr="00171459" w14:paraId="0FCBE677" w14:textId="77777777" w:rsidTr="009A3E14">
        <w:trPr>
          <w:trHeight w:val="374"/>
        </w:trPr>
        <w:tc>
          <w:tcPr>
            <w:tcW w:w="4035" w:type="pct"/>
            <w:shd w:val="clear" w:color="auto" w:fill="FFFFFF"/>
            <w:vAlign w:val="bottom"/>
          </w:tcPr>
          <w:p w14:paraId="19AD6336" w14:textId="77777777" w:rsidR="00FB77E2" w:rsidRPr="00171459" w:rsidRDefault="007558CC" w:rsidP="009A3E14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Tasmania</w:t>
            </w:r>
          </w:p>
        </w:tc>
        <w:tc>
          <w:tcPr>
            <w:tcW w:w="965" w:type="pct"/>
            <w:shd w:val="clear" w:color="auto" w:fill="FFFFFF"/>
            <w:vAlign w:val="bottom"/>
          </w:tcPr>
          <w:p w14:paraId="2BC3C0E5" w14:textId="77777777" w:rsidR="00FB77E2" w:rsidRPr="009A3E14" w:rsidRDefault="007558CC" w:rsidP="009A3E14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1.5437</w:t>
            </w:r>
          </w:p>
        </w:tc>
      </w:tr>
      <w:tr w:rsidR="00FB77E2" w:rsidRPr="00171459" w14:paraId="432FF663" w14:textId="77777777" w:rsidTr="009A3E14">
        <w:trPr>
          <w:trHeight w:val="394"/>
        </w:trPr>
        <w:tc>
          <w:tcPr>
            <w:tcW w:w="4035" w:type="pct"/>
            <w:shd w:val="clear" w:color="auto" w:fill="FFFFFF"/>
            <w:vAlign w:val="bottom"/>
          </w:tcPr>
          <w:p w14:paraId="1C550B78" w14:textId="77777777" w:rsidR="00FB77E2" w:rsidRPr="00171459" w:rsidRDefault="007558CC" w:rsidP="009A3E14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Australian Capital Territory</w:t>
            </w:r>
          </w:p>
        </w:tc>
        <w:tc>
          <w:tcPr>
            <w:tcW w:w="965" w:type="pct"/>
            <w:shd w:val="clear" w:color="auto" w:fill="FFFFFF"/>
            <w:vAlign w:val="bottom"/>
          </w:tcPr>
          <w:p w14:paraId="05A5C2D4" w14:textId="77777777" w:rsidR="00FB77E2" w:rsidRPr="009A3E14" w:rsidRDefault="007558CC" w:rsidP="009A3E14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0.8916</w:t>
            </w:r>
          </w:p>
        </w:tc>
      </w:tr>
      <w:tr w:rsidR="00FB77E2" w:rsidRPr="00171459" w14:paraId="0CE9B29C" w14:textId="77777777" w:rsidTr="009A3E14">
        <w:trPr>
          <w:trHeight w:val="398"/>
        </w:trPr>
        <w:tc>
          <w:tcPr>
            <w:tcW w:w="403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20C16B9" w14:textId="77777777" w:rsidR="00FB77E2" w:rsidRPr="00171459" w:rsidRDefault="007558CC" w:rsidP="009A3E14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Northern Territory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4D07A1E" w14:textId="77777777" w:rsidR="00FB77E2" w:rsidRPr="009A3E14" w:rsidRDefault="007558CC" w:rsidP="009A3E14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5.0332</w:t>
            </w:r>
          </w:p>
        </w:tc>
      </w:tr>
    </w:tbl>
    <w:p w14:paraId="7C75B8C0" w14:textId="77777777" w:rsidR="00FB77E2" w:rsidRPr="002F736C" w:rsidRDefault="007558CC" w:rsidP="005D359F">
      <w:pPr>
        <w:pStyle w:val="BodyText3"/>
        <w:shd w:val="clear" w:color="auto" w:fill="auto"/>
        <w:spacing w:before="120" w:after="60" w:line="240" w:lineRule="auto"/>
        <w:rPr>
          <w:b/>
          <w:sz w:val="22"/>
          <w:szCs w:val="22"/>
        </w:rPr>
      </w:pPr>
      <w:r w:rsidRPr="002F736C">
        <w:rPr>
          <w:rStyle w:val="BodyText1"/>
          <w:b/>
          <w:sz w:val="22"/>
          <w:szCs w:val="22"/>
        </w:rPr>
        <w:t>Arterial road grants</w:t>
      </w:r>
    </w:p>
    <w:p w14:paraId="4B3D92CA" w14:textId="0F2252FF" w:rsidR="00FB77E2" w:rsidRDefault="007558CC" w:rsidP="005D359F">
      <w:pPr>
        <w:pStyle w:val="BodyText3"/>
        <w:shd w:val="clear" w:color="auto" w:fill="auto"/>
        <w:spacing w:before="120" w:line="240" w:lineRule="auto"/>
        <w:ind w:firstLine="274"/>
        <w:rPr>
          <w:rStyle w:val="BodyText1"/>
          <w:sz w:val="22"/>
          <w:szCs w:val="22"/>
        </w:rPr>
      </w:pPr>
      <w:r w:rsidRPr="00171459">
        <w:rPr>
          <w:rStyle w:val="BodyText1"/>
          <w:sz w:val="22"/>
          <w:szCs w:val="22"/>
        </w:rPr>
        <w:t>“3. The amounts of arterial road grants payable to the States under subsection 10(2) are to be worked out using the formula:</w:t>
      </w:r>
    </w:p>
    <w:p w14:paraId="32D6BC81" w14:textId="4B61D295" w:rsidR="00CA7FF3" w:rsidRPr="00171459" w:rsidRDefault="00CA7FF3" w:rsidP="00CA7FF3">
      <w:pPr>
        <w:pStyle w:val="BodyText3"/>
        <w:shd w:val="clear" w:color="auto" w:fill="auto"/>
        <w:spacing w:before="120" w:line="240" w:lineRule="auto"/>
        <w:ind w:firstLine="274"/>
        <w:jc w:val="center"/>
        <w:rPr>
          <w:sz w:val="22"/>
          <w:szCs w:val="22"/>
        </w:rPr>
      </w:pPr>
      <w:bookmarkStart w:id="4" w:name="_GoBack"/>
      <w:r w:rsidRPr="00CA7FF3">
        <w:drawing>
          <wp:inline distT="0" distB="0" distL="0" distR="0" wp14:anchorId="65919FB3" wp14:editId="5DD4CEA6">
            <wp:extent cx="3560869" cy="416967"/>
            <wp:effectExtent l="0" t="0" r="1905" b="2540"/>
            <wp:docPr id="4" name="Picture 4" descr="Open bracket, BA multiplied by IF multiplied by PF multiplied by 1/3 multiplied by ASP over ATP, close bracket, plus, open bracket BA multiplied by IF multiplied by PF multiplied by 2/3 multiplied by 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69" cy="41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2A3612FB" w14:textId="77777777" w:rsidR="00FB77E2" w:rsidRPr="00171459" w:rsidRDefault="007558CC" w:rsidP="005D359F">
      <w:pPr>
        <w:pStyle w:val="BodyText3"/>
        <w:shd w:val="clear" w:color="auto" w:fill="auto"/>
        <w:spacing w:before="120" w:line="240" w:lineRule="auto"/>
        <w:rPr>
          <w:sz w:val="22"/>
          <w:szCs w:val="22"/>
        </w:rPr>
      </w:pPr>
      <w:r w:rsidRPr="00171459">
        <w:rPr>
          <w:rStyle w:val="BodyText1"/>
          <w:sz w:val="22"/>
          <w:szCs w:val="22"/>
        </w:rPr>
        <w:t>where:</w:t>
      </w:r>
    </w:p>
    <w:p w14:paraId="7782FE2C" w14:textId="77777777" w:rsidR="00FB77E2" w:rsidRPr="00171459" w:rsidRDefault="007558CC" w:rsidP="005D359F">
      <w:pPr>
        <w:pStyle w:val="BodyText3"/>
        <w:shd w:val="clear" w:color="auto" w:fill="auto"/>
        <w:spacing w:before="120" w:line="240" w:lineRule="auto"/>
        <w:rPr>
          <w:sz w:val="22"/>
          <w:szCs w:val="22"/>
        </w:rPr>
      </w:pPr>
      <w:r w:rsidRPr="002F736C">
        <w:rPr>
          <w:rStyle w:val="BodytextItalic"/>
          <w:b/>
          <w:sz w:val="22"/>
          <w:szCs w:val="22"/>
        </w:rPr>
        <w:t>BA</w:t>
      </w:r>
      <w:r w:rsidRPr="00171459">
        <w:rPr>
          <w:rStyle w:val="BodyText1"/>
          <w:sz w:val="22"/>
          <w:szCs w:val="22"/>
        </w:rPr>
        <w:t xml:space="preserve"> (base amount) means $350,000,000.</w:t>
      </w:r>
    </w:p>
    <w:p w14:paraId="775DD9C3" w14:textId="77777777" w:rsidR="00FB77E2" w:rsidRPr="00171459" w:rsidRDefault="007558CC" w:rsidP="005D359F">
      <w:pPr>
        <w:pStyle w:val="BodyText3"/>
        <w:shd w:val="clear" w:color="auto" w:fill="auto"/>
        <w:spacing w:before="120" w:line="240" w:lineRule="auto"/>
        <w:rPr>
          <w:sz w:val="22"/>
          <w:szCs w:val="22"/>
        </w:rPr>
      </w:pPr>
      <w:r w:rsidRPr="002F736C">
        <w:rPr>
          <w:rStyle w:val="BodytextItalic"/>
          <w:b/>
          <w:sz w:val="22"/>
          <w:szCs w:val="22"/>
        </w:rPr>
        <w:t>IF</w:t>
      </w:r>
      <w:r w:rsidRPr="00171459">
        <w:rPr>
          <w:rStyle w:val="BodyText1"/>
          <w:sz w:val="22"/>
          <w:szCs w:val="22"/>
        </w:rPr>
        <w:t xml:space="preserve"> (index factor) means the index factor for the grant year.</w:t>
      </w:r>
    </w:p>
    <w:p w14:paraId="667810BD" w14:textId="77777777" w:rsidR="00FB77E2" w:rsidRPr="00171459" w:rsidRDefault="007558CC" w:rsidP="005D359F">
      <w:pPr>
        <w:pStyle w:val="BodyText3"/>
        <w:shd w:val="clear" w:color="auto" w:fill="auto"/>
        <w:spacing w:before="120" w:line="240" w:lineRule="auto"/>
        <w:rPr>
          <w:sz w:val="22"/>
          <w:szCs w:val="22"/>
        </w:rPr>
      </w:pPr>
      <w:r w:rsidRPr="002F736C">
        <w:rPr>
          <w:rStyle w:val="BodytextItalic"/>
          <w:b/>
          <w:sz w:val="22"/>
          <w:szCs w:val="22"/>
        </w:rPr>
        <w:t>PF</w:t>
      </w:r>
      <w:r w:rsidRPr="00171459">
        <w:rPr>
          <w:rStyle w:val="BodyText1"/>
          <w:sz w:val="22"/>
          <w:szCs w:val="22"/>
        </w:rPr>
        <w:t xml:space="preserve"> (population factor) means the population factor for the grant year.</w:t>
      </w:r>
    </w:p>
    <w:p w14:paraId="27270917" w14:textId="77777777" w:rsidR="002F736C" w:rsidRDefault="007558CC" w:rsidP="005D359F">
      <w:pPr>
        <w:pStyle w:val="BodyText3"/>
        <w:shd w:val="clear" w:color="auto" w:fill="auto"/>
        <w:spacing w:before="120" w:line="240" w:lineRule="auto"/>
        <w:rPr>
          <w:rStyle w:val="BodyText1"/>
          <w:sz w:val="22"/>
          <w:szCs w:val="22"/>
        </w:rPr>
      </w:pPr>
      <w:r w:rsidRPr="002F736C">
        <w:rPr>
          <w:rStyle w:val="BodytextItalic"/>
          <w:b/>
          <w:sz w:val="22"/>
          <w:szCs w:val="22"/>
        </w:rPr>
        <w:t>ASP</w:t>
      </w:r>
      <w:r w:rsidRPr="00171459">
        <w:rPr>
          <w:rStyle w:val="BodyText1"/>
          <w:sz w:val="22"/>
          <w:szCs w:val="22"/>
        </w:rPr>
        <w:t xml:space="preserve"> (adjusted state population) means the adjusted population of the State. </w:t>
      </w:r>
    </w:p>
    <w:p w14:paraId="1F947673" w14:textId="77777777" w:rsidR="00FB77E2" w:rsidRPr="00171459" w:rsidRDefault="007558CC" w:rsidP="005D359F">
      <w:pPr>
        <w:pStyle w:val="BodyText3"/>
        <w:shd w:val="clear" w:color="auto" w:fill="auto"/>
        <w:spacing w:before="120" w:line="240" w:lineRule="auto"/>
        <w:rPr>
          <w:sz w:val="22"/>
          <w:szCs w:val="22"/>
        </w:rPr>
      </w:pPr>
      <w:r w:rsidRPr="002F736C">
        <w:rPr>
          <w:rStyle w:val="BodytextItalic"/>
          <w:b/>
          <w:sz w:val="22"/>
          <w:szCs w:val="22"/>
        </w:rPr>
        <w:t>ATP</w:t>
      </w:r>
      <w:r w:rsidRPr="00171459">
        <w:rPr>
          <w:rStyle w:val="BodyText1"/>
          <w:sz w:val="22"/>
          <w:szCs w:val="22"/>
        </w:rPr>
        <w:t xml:space="preserve"> (adjusted total population) means the sum of the adjusted populations of all the States.</w:t>
      </w:r>
    </w:p>
    <w:p w14:paraId="1D90CB02" w14:textId="77777777" w:rsidR="00FB77E2" w:rsidRPr="00171459" w:rsidRDefault="007558CC" w:rsidP="005D359F">
      <w:pPr>
        <w:pStyle w:val="BodyText3"/>
        <w:shd w:val="clear" w:color="auto" w:fill="auto"/>
        <w:spacing w:before="120" w:line="240" w:lineRule="auto"/>
        <w:rPr>
          <w:sz w:val="22"/>
          <w:szCs w:val="22"/>
        </w:rPr>
      </w:pPr>
      <w:r w:rsidRPr="002F736C">
        <w:rPr>
          <w:rStyle w:val="BodytextItalic"/>
          <w:b/>
          <w:sz w:val="22"/>
          <w:szCs w:val="22"/>
        </w:rPr>
        <w:t>HS</w:t>
      </w:r>
      <w:r w:rsidRPr="00171459">
        <w:rPr>
          <w:rStyle w:val="BodyText1"/>
          <w:sz w:val="22"/>
          <w:szCs w:val="22"/>
        </w:rPr>
        <w:t xml:space="preserve"> (historic share) means the number set out opposite to the name of the State in the following table:</w:t>
      </w:r>
    </w:p>
    <w:p w14:paraId="56C8CC2A" w14:textId="77777777" w:rsidR="002F736C" w:rsidRDefault="002F736C">
      <w:pPr>
        <w:rPr>
          <w:rStyle w:val="Bodytext51"/>
          <w:rFonts w:eastAsia="Courier New"/>
          <w:sz w:val="22"/>
          <w:szCs w:val="22"/>
        </w:rPr>
      </w:pPr>
      <w:r>
        <w:rPr>
          <w:rStyle w:val="Bodytext51"/>
          <w:rFonts w:eastAsia="Courier New"/>
          <w:i w:val="0"/>
          <w:iCs w:val="0"/>
          <w:sz w:val="22"/>
          <w:szCs w:val="22"/>
        </w:rPr>
        <w:br w:type="page"/>
      </w:r>
    </w:p>
    <w:p w14:paraId="704D4930" w14:textId="77777777" w:rsidR="00FB77E2" w:rsidRPr="00171459" w:rsidRDefault="007558CC" w:rsidP="00AC6541">
      <w:pPr>
        <w:pStyle w:val="Tablecaption20"/>
        <w:shd w:val="clear" w:color="auto" w:fill="auto"/>
        <w:spacing w:after="120" w:line="240" w:lineRule="auto"/>
        <w:jc w:val="center"/>
        <w:rPr>
          <w:sz w:val="22"/>
          <w:szCs w:val="22"/>
        </w:rPr>
      </w:pPr>
      <w:r w:rsidRPr="004E147C">
        <w:rPr>
          <w:b/>
          <w:sz w:val="22"/>
          <w:szCs w:val="22"/>
        </w:rPr>
        <w:lastRenderedPageBreak/>
        <w:t>SCHEDULE—</w:t>
      </w:r>
      <w:r w:rsidR="00267F69">
        <w:rPr>
          <w:sz w:val="22"/>
          <w:szCs w:val="22"/>
        </w:rPr>
        <w:t>continued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0"/>
        <w:gridCol w:w="1630"/>
      </w:tblGrid>
      <w:tr w:rsidR="00FB77E2" w:rsidRPr="00171459" w14:paraId="1A5D9EBB" w14:textId="77777777" w:rsidTr="003436A4">
        <w:trPr>
          <w:trHeight w:val="394"/>
        </w:trPr>
        <w:tc>
          <w:tcPr>
            <w:tcW w:w="41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FD9FC9" w14:textId="77777777" w:rsidR="00FB77E2" w:rsidRPr="005D359F" w:rsidRDefault="007558CC" w:rsidP="003436A4">
            <w:pPr>
              <w:pStyle w:val="BodyText3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5D359F">
              <w:rPr>
                <w:rStyle w:val="BodyText1"/>
                <w:b/>
                <w:sz w:val="22"/>
                <w:szCs w:val="22"/>
              </w:rPr>
              <w:t>State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E7CAD9" w14:textId="77777777" w:rsidR="00FB77E2" w:rsidRPr="005D359F" w:rsidRDefault="007558CC" w:rsidP="003436A4">
            <w:pPr>
              <w:pStyle w:val="BodyText3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5D359F">
              <w:rPr>
                <w:rStyle w:val="BodyText1"/>
                <w:b/>
                <w:sz w:val="22"/>
                <w:szCs w:val="22"/>
              </w:rPr>
              <w:t>Historic share</w:t>
            </w:r>
          </w:p>
        </w:tc>
      </w:tr>
      <w:tr w:rsidR="00FB77E2" w:rsidRPr="00171459" w14:paraId="2042731C" w14:textId="77777777" w:rsidTr="004E147C">
        <w:trPr>
          <w:trHeight w:val="336"/>
        </w:trPr>
        <w:tc>
          <w:tcPr>
            <w:tcW w:w="4131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9F32BE" w14:textId="77777777" w:rsidR="00FB77E2" w:rsidRPr="00171459" w:rsidRDefault="007558CC" w:rsidP="004E147C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New South Wales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6A6F73" w14:textId="77777777" w:rsidR="00FB77E2" w:rsidRPr="004E147C" w:rsidRDefault="007558CC" w:rsidP="004E147C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0.296</w:t>
            </w:r>
          </w:p>
        </w:tc>
      </w:tr>
      <w:tr w:rsidR="00FB77E2" w:rsidRPr="00171459" w14:paraId="492A9313" w14:textId="77777777" w:rsidTr="004E147C">
        <w:trPr>
          <w:trHeight w:val="365"/>
        </w:trPr>
        <w:tc>
          <w:tcPr>
            <w:tcW w:w="4131" w:type="pct"/>
            <w:shd w:val="clear" w:color="auto" w:fill="FFFFFF"/>
            <w:vAlign w:val="bottom"/>
          </w:tcPr>
          <w:p w14:paraId="3046B4F7" w14:textId="77777777" w:rsidR="00FB77E2" w:rsidRPr="00171459" w:rsidRDefault="007558CC" w:rsidP="004E147C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Victoria</w:t>
            </w:r>
          </w:p>
        </w:tc>
        <w:tc>
          <w:tcPr>
            <w:tcW w:w="869" w:type="pct"/>
            <w:shd w:val="clear" w:color="auto" w:fill="FFFFFF"/>
            <w:vAlign w:val="bottom"/>
          </w:tcPr>
          <w:p w14:paraId="23993FA0" w14:textId="77777777" w:rsidR="00FB77E2" w:rsidRPr="004E147C" w:rsidRDefault="007558CC" w:rsidP="004E147C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0.295</w:t>
            </w:r>
          </w:p>
        </w:tc>
      </w:tr>
      <w:tr w:rsidR="00FB77E2" w:rsidRPr="00171459" w14:paraId="58BEB54D" w14:textId="77777777" w:rsidTr="004E147C">
        <w:trPr>
          <w:trHeight w:val="379"/>
        </w:trPr>
        <w:tc>
          <w:tcPr>
            <w:tcW w:w="4131" w:type="pct"/>
            <w:shd w:val="clear" w:color="auto" w:fill="FFFFFF"/>
            <w:vAlign w:val="bottom"/>
          </w:tcPr>
          <w:p w14:paraId="0159115B" w14:textId="77777777" w:rsidR="00FB77E2" w:rsidRPr="00171459" w:rsidRDefault="007558CC" w:rsidP="004E147C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Queensland</w:t>
            </w:r>
          </w:p>
        </w:tc>
        <w:tc>
          <w:tcPr>
            <w:tcW w:w="869" w:type="pct"/>
            <w:shd w:val="clear" w:color="auto" w:fill="FFFFFF"/>
            <w:vAlign w:val="bottom"/>
          </w:tcPr>
          <w:p w14:paraId="50FB6E2E" w14:textId="77777777" w:rsidR="00FB77E2" w:rsidRPr="004E147C" w:rsidRDefault="007558CC" w:rsidP="004E147C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0.180</w:t>
            </w:r>
          </w:p>
        </w:tc>
      </w:tr>
      <w:tr w:rsidR="00FB77E2" w:rsidRPr="00171459" w14:paraId="043C55A8" w14:textId="77777777" w:rsidTr="004E147C">
        <w:trPr>
          <w:trHeight w:val="365"/>
        </w:trPr>
        <w:tc>
          <w:tcPr>
            <w:tcW w:w="4131" w:type="pct"/>
            <w:shd w:val="clear" w:color="auto" w:fill="FFFFFF"/>
            <w:vAlign w:val="bottom"/>
          </w:tcPr>
          <w:p w14:paraId="273E2111" w14:textId="77777777" w:rsidR="00FB77E2" w:rsidRPr="00171459" w:rsidRDefault="007558CC" w:rsidP="004E147C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Western Australia</w:t>
            </w:r>
          </w:p>
        </w:tc>
        <w:tc>
          <w:tcPr>
            <w:tcW w:w="869" w:type="pct"/>
            <w:shd w:val="clear" w:color="auto" w:fill="FFFFFF"/>
            <w:vAlign w:val="bottom"/>
          </w:tcPr>
          <w:p w14:paraId="158757B4" w14:textId="77777777" w:rsidR="00FB77E2" w:rsidRPr="004E147C" w:rsidRDefault="007558CC" w:rsidP="004E147C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0.124</w:t>
            </w:r>
          </w:p>
        </w:tc>
      </w:tr>
      <w:tr w:rsidR="00FB77E2" w:rsidRPr="00171459" w14:paraId="0653B840" w14:textId="77777777" w:rsidTr="004E147C">
        <w:trPr>
          <w:trHeight w:val="374"/>
        </w:trPr>
        <w:tc>
          <w:tcPr>
            <w:tcW w:w="4131" w:type="pct"/>
            <w:shd w:val="clear" w:color="auto" w:fill="FFFFFF"/>
            <w:vAlign w:val="bottom"/>
          </w:tcPr>
          <w:p w14:paraId="19AEC987" w14:textId="77777777" w:rsidR="00FB77E2" w:rsidRPr="00171459" w:rsidRDefault="007558CC" w:rsidP="004E147C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South Australia</w:t>
            </w:r>
          </w:p>
        </w:tc>
        <w:tc>
          <w:tcPr>
            <w:tcW w:w="869" w:type="pct"/>
            <w:shd w:val="clear" w:color="auto" w:fill="FFFFFF"/>
            <w:vAlign w:val="bottom"/>
          </w:tcPr>
          <w:p w14:paraId="6175FC0F" w14:textId="77777777" w:rsidR="00FB77E2" w:rsidRPr="004E147C" w:rsidRDefault="007558CC" w:rsidP="004E147C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0.065</w:t>
            </w:r>
          </w:p>
        </w:tc>
      </w:tr>
      <w:tr w:rsidR="00FB77E2" w:rsidRPr="00171459" w14:paraId="455A8958" w14:textId="77777777" w:rsidTr="004E147C">
        <w:trPr>
          <w:trHeight w:val="374"/>
        </w:trPr>
        <w:tc>
          <w:tcPr>
            <w:tcW w:w="4131" w:type="pct"/>
            <w:shd w:val="clear" w:color="auto" w:fill="FFFFFF"/>
            <w:vAlign w:val="bottom"/>
          </w:tcPr>
          <w:p w14:paraId="54D018D6" w14:textId="77777777" w:rsidR="00FB77E2" w:rsidRPr="00171459" w:rsidRDefault="007558CC" w:rsidP="004E147C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Tasmania</w:t>
            </w:r>
          </w:p>
        </w:tc>
        <w:tc>
          <w:tcPr>
            <w:tcW w:w="869" w:type="pct"/>
            <w:shd w:val="clear" w:color="auto" w:fill="FFFFFF"/>
            <w:vAlign w:val="bottom"/>
          </w:tcPr>
          <w:p w14:paraId="4E559C50" w14:textId="77777777" w:rsidR="00FB77E2" w:rsidRPr="004E147C" w:rsidRDefault="007558CC" w:rsidP="004E147C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0.025</w:t>
            </w:r>
          </w:p>
        </w:tc>
      </w:tr>
      <w:tr w:rsidR="00FB77E2" w:rsidRPr="00171459" w14:paraId="3B3E338D" w14:textId="77777777" w:rsidTr="004E147C">
        <w:trPr>
          <w:trHeight w:val="394"/>
        </w:trPr>
        <w:tc>
          <w:tcPr>
            <w:tcW w:w="4131" w:type="pct"/>
            <w:shd w:val="clear" w:color="auto" w:fill="FFFFFF"/>
            <w:vAlign w:val="bottom"/>
          </w:tcPr>
          <w:p w14:paraId="3D53DE78" w14:textId="77777777" w:rsidR="00FB77E2" w:rsidRPr="00171459" w:rsidRDefault="007558CC" w:rsidP="004E147C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Australian Capital Territory</w:t>
            </w:r>
          </w:p>
        </w:tc>
        <w:tc>
          <w:tcPr>
            <w:tcW w:w="869" w:type="pct"/>
            <w:shd w:val="clear" w:color="auto" w:fill="FFFFFF"/>
            <w:vAlign w:val="bottom"/>
          </w:tcPr>
          <w:p w14:paraId="558A71D7" w14:textId="77777777" w:rsidR="00FB77E2" w:rsidRPr="004E147C" w:rsidRDefault="007558CC" w:rsidP="004E147C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0.004</w:t>
            </w:r>
          </w:p>
        </w:tc>
      </w:tr>
      <w:tr w:rsidR="00FB77E2" w:rsidRPr="00171459" w14:paraId="6B010E16" w14:textId="77777777" w:rsidTr="004E147C">
        <w:trPr>
          <w:trHeight w:val="389"/>
        </w:trPr>
        <w:tc>
          <w:tcPr>
            <w:tcW w:w="413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C4C7805" w14:textId="77777777" w:rsidR="00FB77E2" w:rsidRPr="00171459" w:rsidRDefault="007558CC" w:rsidP="004E147C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Northern Territory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CA542D0" w14:textId="77777777" w:rsidR="00FB77E2" w:rsidRPr="004E147C" w:rsidRDefault="007558CC" w:rsidP="004E147C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sz w:val="22"/>
                <w:szCs w:val="22"/>
              </w:rPr>
            </w:pPr>
            <w:r w:rsidRPr="004E147C">
              <w:rPr>
                <w:rStyle w:val="BodyText1"/>
                <w:rFonts w:eastAsia="Tahoma"/>
                <w:sz w:val="22"/>
                <w:szCs w:val="22"/>
              </w:rPr>
              <w:t>0.011</w:t>
            </w:r>
          </w:p>
        </w:tc>
      </w:tr>
    </w:tbl>
    <w:p w14:paraId="22864AD2" w14:textId="77777777" w:rsidR="004E147C" w:rsidRPr="004E147C" w:rsidRDefault="007558CC" w:rsidP="001C7306">
      <w:pPr>
        <w:pStyle w:val="BodyText3"/>
        <w:shd w:val="clear" w:color="auto" w:fill="auto"/>
        <w:spacing w:before="120" w:after="60" w:line="240" w:lineRule="auto"/>
        <w:rPr>
          <w:rStyle w:val="BodyText1"/>
          <w:b/>
          <w:sz w:val="22"/>
          <w:szCs w:val="22"/>
        </w:rPr>
      </w:pPr>
      <w:r w:rsidRPr="004E147C">
        <w:rPr>
          <w:rStyle w:val="BodyText1"/>
          <w:b/>
          <w:sz w:val="22"/>
          <w:szCs w:val="22"/>
        </w:rPr>
        <w:t xml:space="preserve">Special revenue assistance grants </w:t>
      </w:r>
    </w:p>
    <w:p w14:paraId="14F11243" w14:textId="77777777" w:rsidR="00560536" w:rsidRDefault="007558CC" w:rsidP="001C7306">
      <w:pPr>
        <w:pStyle w:val="BodyText3"/>
        <w:shd w:val="clear" w:color="auto" w:fill="auto"/>
        <w:spacing w:before="120" w:line="240" w:lineRule="auto"/>
        <w:ind w:firstLine="274"/>
        <w:rPr>
          <w:rStyle w:val="BodyText1"/>
          <w:sz w:val="22"/>
          <w:szCs w:val="22"/>
        </w:rPr>
      </w:pPr>
      <w:r w:rsidRPr="00171459">
        <w:rPr>
          <w:rStyle w:val="BodyText1"/>
          <w:sz w:val="22"/>
          <w:szCs w:val="22"/>
        </w:rPr>
        <w:t xml:space="preserve">“4. </w:t>
      </w:r>
      <w:r w:rsidR="00560536">
        <w:rPr>
          <w:rStyle w:val="BodyText1"/>
          <w:sz w:val="22"/>
          <w:szCs w:val="22"/>
        </w:rPr>
        <w:t>For the purposes of section 12:</w:t>
      </w:r>
    </w:p>
    <w:p w14:paraId="7F56621D" w14:textId="77777777" w:rsidR="00FB77E2" w:rsidRPr="00171459" w:rsidRDefault="007558CC" w:rsidP="00AC6541">
      <w:pPr>
        <w:pStyle w:val="BodyText3"/>
        <w:shd w:val="clear" w:color="auto" w:fill="auto"/>
        <w:spacing w:before="120" w:after="120" w:line="240" w:lineRule="auto"/>
        <w:rPr>
          <w:sz w:val="22"/>
          <w:szCs w:val="22"/>
        </w:rPr>
      </w:pPr>
      <w:r w:rsidRPr="003405A4">
        <w:rPr>
          <w:rStyle w:val="BodytextItalic"/>
          <w:b/>
          <w:sz w:val="22"/>
          <w:szCs w:val="22"/>
        </w:rPr>
        <w:t>base amount</w:t>
      </w:r>
      <w:r w:rsidRPr="00171459">
        <w:rPr>
          <w:rStyle w:val="BodyText1"/>
          <w:sz w:val="22"/>
          <w:szCs w:val="22"/>
        </w:rPr>
        <w:t xml:space="preserve"> means the amount set out opposite to the name of the State in the following table: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0"/>
        <w:gridCol w:w="1360"/>
      </w:tblGrid>
      <w:tr w:rsidR="00FB77E2" w:rsidRPr="00171459" w14:paraId="3DDFC1B9" w14:textId="77777777" w:rsidTr="003436A4">
        <w:trPr>
          <w:trHeight w:val="296"/>
        </w:trPr>
        <w:tc>
          <w:tcPr>
            <w:tcW w:w="42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FEE135" w14:textId="77777777" w:rsidR="00FB77E2" w:rsidRPr="005D359F" w:rsidRDefault="007558CC" w:rsidP="003436A4">
            <w:pPr>
              <w:pStyle w:val="BodyText3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5D359F">
              <w:rPr>
                <w:rStyle w:val="BodyText1"/>
                <w:b/>
                <w:sz w:val="22"/>
                <w:szCs w:val="22"/>
              </w:rPr>
              <w:t>State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126CAB" w14:textId="77777777" w:rsidR="00FB77E2" w:rsidRPr="005D359F" w:rsidRDefault="003405A4" w:rsidP="003436A4">
            <w:pPr>
              <w:pStyle w:val="BodyText3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Style w:val="BodyText1"/>
                <w:b/>
                <w:sz w:val="22"/>
                <w:szCs w:val="22"/>
              </w:rPr>
              <w:t>Base amount</w:t>
            </w:r>
            <w:r w:rsidR="0061214B">
              <w:rPr>
                <w:rStyle w:val="BodyText1"/>
                <w:b/>
                <w:sz w:val="22"/>
                <w:szCs w:val="22"/>
              </w:rPr>
              <w:t xml:space="preserve"> </w:t>
            </w:r>
            <w:r w:rsidR="007558CC" w:rsidRPr="005D359F">
              <w:rPr>
                <w:rStyle w:val="BodyText1"/>
                <w:b/>
                <w:sz w:val="22"/>
                <w:szCs w:val="22"/>
              </w:rPr>
              <w:t>$</w:t>
            </w:r>
          </w:p>
        </w:tc>
      </w:tr>
      <w:tr w:rsidR="00FB77E2" w:rsidRPr="00171459" w14:paraId="5943293D" w14:textId="77777777" w:rsidTr="0061214B">
        <w:trPr>
          <w:trHeight w:val="341"/>
        </w:trPr>
        <w:tc>
          <w:tcPr>
            <w:tcW w:w="427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17BBBC" w14:textId="77777777" w:rsidR="00FB77E2" w:rsidRPr="00171459" w:rsidRDefault="007558CC" w:rsidP="00560536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New South Wales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89F9DB" w14:textId="77777777" w:rsidR="00FB77E2" w:rsidRPr="00560536" w:rsidRDefault="007558CC" w:rsidP="00560536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rFonts w:eastAsia="Tahoma"/>
                <w:sz w:val="22"/>
                <w:szCs w:val="22"/>
              </w:rPr>
            </w:pPr>
            <w:r w:rsidRPr="00560536">
              <w:rPr>
                <w:rStyle w:val="BodyText1"/>
                <w:rFonts w:eastAsia="Tahoma"/>
                <w:sz w:val="22"/>
                <w:szCs w:val="22"/>
              </w:rPr>
              <w:t>171,714,655</w:t>
            </w:r>
          </w:p>
        </w:tc>
      </w:tr>
      <w:tr w:rsidR="00FB77E2" w:rsidRPr="00171459" w14:paraId="070B8586" w14:textId="77777777" w:rsidTr="0061214B">
        <w:trPr>
          <w:trHeight w:val="370"/>
        </w:trPr>
        <w:tc>
          <w:tcPr>
            <w:tcW w:w="4275" w:type="pct"/>
            <w:shd w:val="clear" w:color="auto" w:fill="FFFFFF"/>
            <w:vAlign w:val="bottom"/>
          </w:tcPr>
          <w:p w14:paraId="0091EB78" w14:textId="77777777" w:rsidR="00FB77E2" w:rsidRPr="00171459" w:rsidRDefault="007558CC" w:rsidP="00560536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Victoria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79031A0E" w14:textId="77777777" w:rsidR="00FB77E2" w:rsidRPr="00560536" w:rsidRDefault="007558CC" w:rsidP="00560536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rFonts w:eastAsia="Tahoma"/>
                <w:sz w:val="22"/>
                <w:szCs w:val="22"/>
              </w:rPr>
            </w:pPr>
            <w:r w:rsidRPr="00560536">
              <w:rPr>
                <w:rStyle w:val="BodyText1"/>
                <w:rFonts w:eastAsia="Tahoma"/>
                <w:sz w:val="22"/>
                <w:szCs w:val="22"/>
              </w:rPr>
              <w:t>218,785,810</w:t>
            </w:r>
          </w:p>
        </w:tc>
      </w:tr>
      <w:tr w:rsidR="00FB77E2" w:rsidRPr="00171459" w14:paraId="1C9E5799" w14:textId="77777777" w:rsidTr="0061214B">
        <w:trPr>
          <w:trHeight w:val="384"/>
        </w:trPr>
        <w:tc>
          <w:tcPr>
            <w:tcW w:w="4275" w:type="pct"/>
            <w:shd w:val="clear" w:color="auto" w:fill="FFFFFF"/>
            <w:vAlign w:val="bottom"/>
          </w:tcPr>
          <w:p w14:paraId="600E1D0D" w14:textId="77777777" w:rsidR="00FB77E2" w:rsidRPr="00171459" w:rsidRDefault="007558CC" w:rsidP="00560536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Queensland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187D5E7B" w14:textId="77777777" w:rsidR="00FB77E2" w:rsidRPr="00560536" w:rsidRDefault="007558CC" w:rsidP="00560536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rFonts w:eastAsia="Tahoma"/>
                <w:sz w:val="22"/>
                <w:szCs w:val="22"/>
              </w:rPr>
            </w:pPr>
            <w:r w:rsidRPr="00560536">
              <w:rPr>
                <w:rStyle w:val="BodyText1"/>
                <w:rFonts w:eastAsia="Tahoma"/>
                <w:sz w:val="22"/>
                <w:szCs w:val="22"/>
              </w:rPr>
              <w:t>Nil</w:t>
            </w:r>
          </w:p>
        </w:tc>
      </w:tr>
      <w:tr w:rsidR="00FB77E2" w:rsidRPr="00171459" w14:paraId="1AD8362D" w14:textId="77777777" w:rsidTr="0061214B">
        <w:trPr>
          <w:trHeight w:val="360"/>
        </w:trPr>
        <w:tc>
          <w:tcPr>
            <w:tcW w:w="4275" w:type="pct"/>
            <w:shd w:val="clear" w:color="auto" w:fill="FFFFFF"/>
            <w:vAlign w:val="bottom"/>
          </w:tcPr>
          <w:p w14:paraId="019343EE" w14:textId="77777777" w:rsidR="00FB77E2" w:rsidRPr="00171459" w:rsidRDefault="007558CC" w:rsidP="00560536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Western Australia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09A1AF8C" w14:textId="77777777" w:rsidR="00FB77E2" w:rsidRPr="00560536" w:rsidRDefault="007558CC" w:rsidP="00560536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rFonts w:eastAsia="Tahoma"/>
                <w:sz w:val="22"/>
                <w:szCs w:val="22"/>
              </w:rPr>
            </w:pPr>
            <w:r w:rsidRPr="00560536">
              <w:rPr>
                <w:rStyle w:val="BodyText1"/>
                <w:rFonts w:eastAsia="Tahoma"/>
                <w:sz w:val="22"/>
                <w:szCs w:val="22"/>
              </w:rPr>
              <w:t>Nil</w:t>
            </w:r>
          </w:p>
        </w:tc>
      </w:tr>
      <w:tr w:rsidR="00FB77E2" w:rsidRPr="00171459" w14:paraId="65218252" w14:textId="77777777" w:rsidTr="0061214B">
        <w:trPr>
          <w:trHeight w:val="370"/>
        </w:trPr>
        <w:tc>
          <w:tcPr>
            <w:tcW w:w="4275" w:type="pct"/>
            <w:shd w:val="clear" w:color="auto" w:fill="FFFFFF"/>
            <w:vAlign w:val="bottom"/>
          </w:tcPr>
          <w:p w14:paraId="73A310AF" w14:textId="77777777" w:rsidR="00FB77E2" w:rsidRPr="00171459" w:rsidRDefault="007558CC" w:rsidP="00560536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South Australia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51C3F1D6" w14:textId="77777777" w:rsidR="00FB77E2" w:rsidRPr="00560536" w:rsidRDefault="007558CC" w:rsidP="00560536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rFonts w:eastAsia="Tahoma"/>
                <w:sz w:val="22"/>
                <w:szCs w:val="22"/>
              </w:rPr>
            </w:pPr>
            <w:r w:rsidRPr="00560536">
              <w:rPr>
                <w:rStyle w:val="BodyText1"/>
                <w:rFonts w:eastAsia="Tahoma"/>
                <w:sz w:val="22"/>
                <w:szCs w:val="22"/>
              </w:rPr>
              <w:t>Nil</w:t>
            </w:r>
          </w:p>
        </w:tc>
      </w:tr>
      <w:tr w:rsidR="00FB77E2" w:rsidRPr="00171459" w14:paraId="0198B8E0" w14:textId="77777777" w:rsidTr="0061214B">
        <w:trPr>
          <w:trHeight w:val="374"/>
        </w:trPr>
        <w:tc>
          <w:tcPr>
            <w:tcW w:w="4275" w:type="pct"/>
            <w:shd w:val="clear" w:color="auto" w:fill="FFFFFF"/>
            <w:vAlign w:val="bottom"/>
          </w:tcPr>
          <w:p w14:paraId="51916CFD" w14:textId="77777777" w:rsidR="00FB77E2" w:rsidRPr="00171459" w:rsidRDefault="007558CC" w:rsidP="00560536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Tasmania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530F00A6" w14:textId="77777777" w:rsidR="00FB77E2" w:rsidRPr="00560536" w:rsidRDefault="007558CC" w:rsidP="00560536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rFonts w:eastAsia="Tahoma"/>
                <w:sz w:val="22"/>
                <w:szCs w:val="22"/>
              </w:rPr>
            </w:pPr>
            <w:r w:rsidRPr="00560536">
              <w:rPr>
                <w:rStyle w:val="BodyText1"/>
                <w:rFonts w:eastAsia="Tahoma"/>
                <w:sz w:val="22"/>
                <w:szCs w:val="22"/>
              </w:rPr>
              <w:t>Nil</w:t>
            </w:r>
          </w:p>
        </w:tc>
      </w:tr>
      <w:tr w:rsidR="00FB77E2" w:rsidRPr="00171459" w14:paraId="20037E58" w14:textId="77777777" w:rsidTr="0061214B">
        <w:trPr>
          <w:trHeight w:val="389"/>
        </w:trPr>
        <w:tc>
          <w:tcPr>
            <w:tcW w:w="4275" w:type="pct"/>
            <w:shd w:val="clear" w:color="auto" w:fill="FFFFFF"/>
            <w:vAlign w:val="bottom"/>
          </w:tcPr>
          <w:p w14:paraId="5AF9114F" w14:textId="77777777" w:rsidR="00FB77E2" w:rsidRPr="00171459" w:rsidRDefault="007558CC" w:rsidP="00560536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Australian Capital Territory</w:t>
            </w:r>
          </w:p>
        </w:tc>
        <w:tc>
          <w:tcPr>
            <w:tcW w:w="725" w:type="pct"/>
            <w:shd w:val="clear" w:color="auto" w:fill="FFFFFF"/>
            <w:vAlign w:val="bottom"/>
          </w:tcPr>
          <w:p w14:paraId="2019FCC9" w14:textId="77777777" w:rsidR="00FB77E2" w:rsidRPr="00560536" w:rsidRDefault="007558CC" w:rsidP="00560536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rFonts w:eastAsia="Tahoma"/>
                <w:sz w:val="22"/>
                <w:szCs w:val="22"/>
              </w:rPr>
            </w:pPr>
            <w:r w:rsidRPr="00560536">
              <w:rPr>
                <w:rStyle w:val="BodyText1"/>
                <w:rFonts w:eastAsia="Tahoma"/>
                <w:sz w:val="22"/>
                <w:szCs w:val="22"/>
              </w:rPr>
              <w:t>14,218,925</w:t>
            </w:r>
          </w:p>
        </w:tc>
      </w:tr>
      <w:tr w:rsidR="00FB77E2" w:rsidRPr="00171459" w14:paraId="686F7241" w14:textId="77777777" w:rsidTr="0061214B">
        <w:trPr>
          <w:trHeight w:val="370"/>
        </w:trPr>
        <w:tc>
          <w:tcPr>
            <w:tcW w:w="427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12A8D8" w14:textId="77777777" w:rsidR="00FB77E2" w:rsidRPr="00171459" w:rsidRDefault="007558CC" w:rsidP="00560536">
            <w:pPr>
              <w:pStyle w:val="BodyText3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1459">
              <w:rPr>
                <w:rStyle w:val="BodyText1"/>
                <w:sz w:val="22"/>
                <w:szCs w:val="22"/>
              </w:rPr>
              <w:t>Northern Territory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3E44D20" w14:textId="77777777" w:rsidR="00FB77E2" w:rsidRPr="00560536" w:rsidRDefault="007558CC" w:rsidP="00560536">
            <w:pPr>
              <w:pStyle w:val="BodyText3"/>
              <w:shd w:val="clear" w:color="auto" w:fill="auto"/>
              <w:spacing w:line="240" w:lineRule="auto"/>
              <w:ind w:right="144"/>
              <w:jc w:val="right"/>
              <w:rPr>
                <w:rStyle w:val="BodyText1"/>
                <w:rFonts w:eastAsia="Tahoma"/>
                <w:sz w:val="22"/>
                <w:szCs w:val="22"/>
              </w:rPr>
            </w:pPr>
            <w:r w:rsidRPr="00560536">
              <w:rPr>
                <w:rStyle w:val="BodyText1"/>
                <w:rFonts w:eastAsia="Tahoma"/>
                <w:sz w:val="22"/>
                <w:szCs w:val="22"/>
              </w:rPr>
              <w:t>9,479,283</w:t>
            </w:r>
          </w:p>
        </w:tc>
      </w:tr>
    </w:tbl>
    <w:p w14:paraId="167F1935" w14:textId="77777777" w:rsidR="00FB77E2" w:rsidRPr="00CA7FF3" w:rsidRDefault="007558CC" w:rsidP="005D359F">
      <w:pPr>
        <w:pStyle w:val="Tablecaption0"/>
        <w:shd w:val="clear" w:color="auto" w:fill="auto"/>
        <w:spacing w:before="120" w:line="240" w:lineRule="auto"/>
        <w:jc w:val="both"/>
        <w:rPr>
          <w:b w:val="0"/>
          <w:sz w:val="20"/>
          <w:szCs w:val="22"/>
        </w:rPr>
      </w:pPr>
      <w:r w:rsidRPr="00CA7FF3">
        <w:rPr>
          <w:b w:val="0"/>
          <w:i w:val="0"/>
          <w:sz w:val="20"/>
          <w:szCs w:val="22"/>
        </w:rPr>
        <w:t>[</w:t>
      </w:r>
      <w:r w:rsidRPr="00CA7FF3">
        <w:rPr>
          <w:b w:val="0"/>
          <w:sz w:val="20"/>
          <w:szCs w:val="22"/>
        </w:rPr>
        <w:t>Minister’s second reading speech made in</w:t>
      </w:r>
      <w:r w:rsidRPr="00CA7FF3">
        <w:rPr>
          <w:rStyle w:val="TablecaptionSegoeUI"/>
          <w:rFonts w:ascii="Times New Roman" w:hAnsi="Times New Roman" w:cs="Times New Roman"/>
          <w:b/>
          <w:bCs/>
          <w:sz w:val="20"/>
          <w:szCs w:val="22"/>
        </w:rPr>
        <w:t>—</w:t>
      </w:r>
    </w:p>
    <w:p w14:paraId="24F6C7D1" w14:textId="056B1C99" w:rsidR="00FB77E2" w:rsidRPr="005D359F" w:rsidRDefault="007558CC" w:rsidP="00E949B1">
      <w:pPr>
        <w:pStyle w:val="Tablecaption0"/>
        <w:shd w:val="clear" w:color="auto" w:fill="auto"/>
        <w:spacing w:line="240" w:lineRule="auto"/>
        <w:ind w:left="900" w:right="4140"/>
        <w:jc w:val="both"/>
        <w:rPr>
          <w:b w:val="0"/>
          <w:sz w:val="22"/>
          <w:szCs w:val="22"/>
        </w:rPr>
      </w:pPr>
      <w:r w:rsidRPr="00CA7FF3">
        <w:rPr>
          <w:b w:val="0"/>
          <w:sz w:val="20"/>
          <w:szCs w:val="22"/>
        </w:rPr>
        <w:t>House of Representatives on 23 August 1995 Senate on 24 August 1995</w:t>
      </w:r>
      <w:r w:rsidRPr="00CA7FF3">
        <w:rPr>
          <w:rStyle w:val="TablecaptionSegoeUI"/>
          <w:rFonts w:ascii="Times New Roman" w:hAnsi="Times New Roman" w:cs="Times New Roman"/>
          <w:bCs/>
          <w:sz w:val="20"/>
          <w:szCs w:val="22"/>
        </w:rPr>
        <w:t>]</w:t>
      </w:r>
    </w:p>
    <w:sectPr w:rsidR="00FB77E2" w:rsidRPr="005D359F" w:rsidSect="00C80E82">
      <w:headerReference w:type="default" r:id="rId13"/>
      <w:pgSz w:w="12240" w:h="15840" w:code="1"/>
      <w:pgMar w:top="1440" w:right="1440" w:bottom="1440" w:left="1440" w:header="72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EE811B" w15:done="0"/>
  <w15:commentEx w15:paraId="28A690A4" w15:done="0"/>
  <w15:commentEx w15:paraId="28D38119" w15:done="0"/>
  <w15:commentEx w15:paraId="5E254BFB" w15:done="0"/>
  <w15:commentEx w15:paraId="2728736E" w15:done="0"/>
  <w15:commentEx w15:paraId="3BCAA299" w15:done="0"/>
  <w15:commentEx w15:paraId="5EA797A1" w15:done="0"/>
  <w15:commentEx w15:paraId="07A9AAE0" w15:done="0"/>
  <w15:commentEx w15:paraId="3C0EEABF" w15:done="0"/>
  <w15:commentEx w15:paraId="4F310386" w15:done="0"/>
  <w15:commentEx w15:paraId="75D47FAE" w15:done="0"/>
  <w15:commentEx w15:paraId="01B04D3E" w15:done="0"/>
  <w15:commentEx w15:paraId="19A3A640" w15:done="0"/>
  <w15:commentEx w15:paraId="1ECFEF1A" w15:done="0"/>
  <w15:commentEx w15:paraId="69B8E2DE" w15:done="0"/>
  <w15:commentEx w15:paraId="143A8B53" w15:done="0"/>
  <w15:commentEx w15:paraId="59E447A8" w15:done="0"/>
  <w15:commentEx w15:paraId="4DD31C2F" w15:done="0"/>
  <w15:commentEx w15:paraId="2EF2C1B8" w15:done="0"/>
  <w15:commentEx w15:paraId="13A4397F" w15:done="0"/>
  <w15:commentEx w15:paraId="49EC1EEF" w15:done="0"/>
  <w15:commentEx w15:paraId="045B8CBF" w15:done="0"/>
  <w15:commentEx w15:paraId="005B88EB" w15:done="0"/>
  <w15:commentEx w15:paraId="3ADB1CBD" w15:done="0"/>
  <w15:commentEx w15:paraId="18A891C7" w15:done="0"/>
  <w15:commentEx w15:paraId="1DAD81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E811B" w16cid:durableId="2134A12D"/>
  <w16cid:commentId w16cid:paraId="28A690A4" w16cid:durableId="2134A144"/>
  <w16cid:commentId w16cid:paraId="28D38119" w16cid:durableId="2134A155"/>
  <w16cid:commentId w16cid:paraId="5E254BFB" w16cid:durableId="2134A164"/>
  <w16cid:commentId w16cid:paraId="2728736E" w16cid:durableId="2134A175"/>
  <w16cid:commentId w16cid:paraId="3BCAA299" w16cid:durableId="2134A170"/>
  <w16cid:commentId w16cid:paraId="5EA797A1" w16cid:durableId="2134A186"/>
  <w16cid:commentId w16cid:paraId="07A9AAE0" w16cid:durableId="2134A191"/>
  <w16cid:commentId w16cid:paraId="3C0EEABF" w16cid:durableId="2134A197"/>
  <w16cid:commentId w16cid:paraId="4F310386" w16cid:durableId="2134A1AC"/>
  <w16cid:commentId w16cid:paraId="75D47FAE" w16cid:durableId="2134A1B5"/>
  <w16cid:commentId w16cid:paraId="01B04D3E" w16cid:durableId="2134A1BC"/>
  <w16cid:commentId w16cid:paraId="19A3A640" w16cid:durableId="2134A1CD"/>
  <w16cid:commentId w16cid:paraId="1ECFEF1A" w16cid:durableId="2134A1D5"/>
  <w16cid:commentId w16cid:paraId="69B8E2DE" w16cid:durableId="2134A1DB"/>
  <w16cid:commentId w16cid:paraId="143A8B53" w16cid:durableId="2134A1E0"/>
  <w16cid:commentId w16cid:paraId="59E447A8" w16cid:durableId="2134A1FA"/>
  <w16cid:commentId w16cid:paraId="4DD31C2F" w16cid:durableId="2134A1FF"/>
  <w16cid:commentId w16cid:paraId="2EF2C1B8" w16cid:durableId="2134A215"/>
  <w16cid:commentId w16cid:paraId="13A4397F" w16cid:durableId="2134A227"/>
  <w16cid:commentId w16cid:paraId="49EC1EEF" w16cid:durableId="2134A22F"/>
  <w16cid:commentId w16cid:paraId="045B8CBF" w16cid:durableId="2134A235"/>
  <w16cid:commentId w16cid:paraId="005B88EB" w16cid:durableId="2134A23B"/>
  <w16cid:commentId w16cid:paraId="3ADB1CBD" w16cid:durableId="2134A23E"/>
  <w16cid:commentId w16cid:paraId="18A891C7" w16cid:durableId="2134A244"/>
  <w16cid:commentId w16cid:paraId="1DAD8176" w16cid:durableId="2134A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4B616" w14:textId="77777777" w:rsidR="00970353" w:rsidRDefault="00970353">
      <w:r>
        <w:separator/>
      </w:r>
    </w:p>
  </w:endnote>
  <w:endnote w:type="continuationSeparator" w:id="0">
    <w:p w14:paraId="513E725E" w14:textId="77777777" w:rsidR="00970353" w:rsidRDefault="0097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B76C3" w14:textId="77777777" w:rsidR="00970353" w:rsidRDefault="00970353"/>
  </w:footnote>
  <w:footnote w:type="continuationSeparator" w:id="0">
    <w:p w14:paraId="5D12181D" w14:textId="77777777" w:rsidR="00970353" w:rsidRDefault="009703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</w:rPr>
      <w:id w:val="-16161287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36E53D" w14:textId="11A3DC8F" w:rsidR="00A70A1F" w:rsidRPr="00033EBC" w:rsidRDefault="00A70A1F" w:rsidP="00C80E82">
        <w:pPr>
          <w:pStyle w:val="Header"/>
          <w:tabs>
            <w:tab w:val="clear" w:pos="4513"/>
            <w:tab w:val="clear" w:pos="9026"/>
          </w:tabs>
          <w:jc w:val="center"/>
          <w:rPr>
            <w:rFonts w:ascii="Times New Roman" w:hAnsi="Times New Roman" w:cs="Times New Roman"/>
            <w:sz w:val="22"/>
            <w:szCs w:val="22"/>
          </w:rPr>
        </w:pPr>
        <w:r w:rsidRPr="00033EBC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 xml:space="preserve">States Grants (General Purposes) Amendment </w:t>
        </w:r>
        <w:r w:rsidR="00CA7FF3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 xml:space="preserve">   </w:t>
        </w:r>
        <w:r w:rsidRPr="00033EBC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>No. 123, 1995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4D3"/>
    <w:multiLevelType w:val="multilevel"/>
    <w:tmpl w:val="0F2AF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367B71"/>
    <w:multiLevelType w:val="multilevel"/>
    <w:tmpl w:val="E912E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2B5A01"/>
    <w:multiLevelType w:val="multilevel"/>
    <w:tmpl w:val="5516B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E2"/>
    <w:rsid w:val="000253FF"/>
    <w:rsid w:val="00033EBC"/>
    <w:rsid w:val="00060281"/>
    <w:rsid w:val="00072F70"/>
    <w:rsid w:val="000D46EC"/>
    <w:rsid w:val="00171459"/>
    <w:rsid w:val="00173BE0"/>
    <w:rsid w:val="001B2B03"/>
    <w:rsid w:val="001C7306"/>
    <w:rsid w:val="001F4D7C"/>
    <w:rsid w:val="00232ECB"/>
    <w:rsid w:val="002668E4"/>
    <w:rsid w:val="00267F69"/>
    <w:rsid w:val="002E1B52"/>
    <w:rsid w:val="002F736C"/>
    <w:rsid w:val="003405A4"/>
    <w:rsid w:val="003436A4"/>
    <w:rsid w:val="003E246C"/>
    <w:rsid w:val="0046571A"/>
    <w:rsid w:val="004C5050"/>
    <w:rsid w:val="004E147C"/>
    <w:rsid w:val="00503313"/>
    <w:rsid w:val="00557D32"/>
    <w:rsid w:val="00560536"/>
    <w:rsid w:val="005B571C"/>
    <w:rsid w:val="005C6732"/>
    <w:rsid w:val="005D359F"/>
    <w:rsid w:val="0061214B"/>
    <w:rsid w:val="00657B1B"/>
    <w:rsid w:val="006943E6"/>
    <w:rsid w:val="006A4E25"/>
    <w:rsid w:val="006C1FD9"/>
    <w:rsid w:val="00740519"/>
    <w:rsid w:val="007558CC"/>
    <w:rsid w:val="007C55A1"/>
    <w:rsid w:val="0083368F"/>
    <w:rsid w:val="00836837"/>
    <w:rsid w:val="008C1949"/>
    <w:rsid w:val="008E6CA1"/>
    <w:rsid w:val="009467AF"/>
    <w:rsid w:val="00970353"/>
    <w:rsid w:val="009714AF"/>
    <w:rsid w:val="009A3E14"/>
    <w:rsid w:val="00A70A1F"/>
    <w:rsid w:val="00AA4FED"/>
    <w:rsid w:val="00AC6541"/>
    <w:rsid w:val="00B54F14"/>
    <w:rsid w:val="00BA1545"/>
    <w:rsid w:val="00BE2A82"/>
    <w:rsid w:val="00C25151"/>
    <w:rsid w:val="00C257E9"/>
    <w:rsid w:val="00C3568E"/>
    <w:rsid w:val="00C531F3"/>
    <w:rsid w:val="00C53A6B"/>
    <w:rsid w:val="00C705F2"/>
    <w:rsid w:val="00C80E82"/>
    <w:rsid w:val="00C82D3E"/>
    <w:rsid w:val="00CA7FF3"/>
    <w:rsid w:val="00D319DF"/>
    <w:rsid w:val="00D7071B"/>
    <w:rsid w:val="00E8406C"/>
    <w:rsid w:val="00E949B1"/>
    <w:rsid w:val="00E9783B"/>
    <w:rsid w:val="00EA01A7"/>
    <w:rsid w:val="00F51CC0"/>
    <w:rsid w:val="00F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D32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15pt">
    <w:name w:val="Body text (8) + 11.5 pt"/>
    <w:aliases w:val="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616pt">
    <w:name w:val="Body text (6) + 16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Tahoma">
    <w:name w:val="Body text + Tahoma"/>
    <w:aliases w:val="Spacing 0 pt"/>
    <w:basedOn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ablecaptionSegoeUI">
    <w:name w:val="Table caption + Segoe UI"/>
    <w:aliases w:val="9 pt,Not Italic"/>
    <w:basedOn w:val="Tablecaption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45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442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ListParagraph">
    <w:name w:val="List Paragraph"/>
    <w:basedOn w:val="Normal"/>
    <w:uiPriority w:val="34"/>
    <w:qFormat/>
    <w:rsid w:val="00D31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6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E8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80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E82"/>
    <w:rPr>
      <w:color w:val="000000"/>
    </w:rPr>
  </w:style>
  <w:style w:type="table" w:styleId="TableGrid">
    <w:name w:val="Table Grid"/>
    <w:basedOn w:val="TableNormal"/>
    <w:uiPriority w:val="59"/>
    <w:rsid w:val="003E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FD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FD9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A7FF3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15pt">
    <w:name w:val="Body text (8) + 11.5 pt"/>
    <w:aliases w:val="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616pt">
    <w:name w:val="Body text (6) + 16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Tahoma">
    <w:name w:val="Body text + Tahoma"/>
    <w:aliases w:val="Spacing 0 pt"/>
    <w:basedOn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ablecaptionSegoeUI">
    <w:name w:val="Table caption + Segoe UI"/>
    <w:aliases w:val="9 pt,Not Italic"/>
    <w:basedOn w:val="Tablecaption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45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442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ListParagraph">
    <w:name w:val="List Paragraph"/>
    <w:basedOn w:val="Normal"/>
    <w:uiPriority w:val="34"/>
    <w:qFormat/>
    <w:rsid w:val="00D31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6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E8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80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E82"/>
    <w:rPr>
      <w:color w:val="000000"/>
    </w:rPr>
  </w:style>
  <w:style w:type="table" w:styleId="TableGrid">
    <w:name w:val="Table Grid"/>
    <w:basedOn w:val="TableNormal"/>
    <w:uiPriority w:val="59"/>
    <w:rsid w:val="003E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FD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FD9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A7FF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1469-0F5A-42D9-9695-E7FA0142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Pettingill, Tia</cp:lastModifiedBy>
  <cp:revision>5</cp:revision>
  <dcterms:created xsi:type="dcterms:W3CDTF">2019-09-24T04:11:00Z</dcterms:created>
  <dcterms:modified xsi:type="dcterms:W3CDTF">2019-11-15T01:24:00Z</dcterms:modified>
</cp:coreProperties>
</file>