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3B87C" w14:textId="77777777" w:rsidR="004B0DC1" w:rsidRPr="0088598D" w:rsidRDefault="004B0DC1" w:rsidP="00B6457A">
      <w:pPr>
        <w:jc w:val="center"/>
        <w:rPr>
          <w:rFonts w:ascii="Times New Roman" w:hAnsi="Times New Roman" w:cs="Times New Roman"/>
        </w:rPr>
      </w:pPr>
      <w:bookmarkStart w:id="0" w:name="bookmark0"/>
      <w:bookmarkStart w:id="1" w:name="_GoBack"/>
      <w:bookmarkEnd w:id="1"/>
      <w:r w:rsidRPr="0088598D">
        <w:rPr>
          <w:rFonts w:ascii="Times New Roman" w:hAnsi="Times New Roman" w:cs="Times New Roman"/>
          <w:noProof/>
          <w:lang w:val="en-AU" w:eastAsia="en-AU"/>
        </w:rPr>
        <w:drawing>
          <wp:inline distT="0" distB="0" distL="0" distR="0" wp14:anchorId="0C14C22B" wp14:editId="5671BE95">
            <wp:extent cx="2228850" cy="1365391"/>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3710" cy="1368368"/>
                    </a:xfrm>
                    <a:prstGeom prst="rect">
                      <a:avLst/>
                    </a:prstGeom>
                    <a:noFill/>
                    <a:ln>
                      <a:noFill/>
                    </a:ln>
                  </pic:spPr>
                </pic:pic>
              </a:graphicData>
            </a:graphic>
          </wp:inline>
        </w:drawing>
      </w:r>
    </w:p>
    <w:p w14:paraId="37B925EB" w14:textId="77777777" w:rsidR="00D16C6D" w:rsidRPr="004B0DC1" w:rsidRDefault="00951FF5" w:rsidP="00B6457A">
      <w:pPr>
        <w:spacing w:before="960"/>
        <w:jc w:val="center"/>
        <w:rPr>
          <w:rFonts w:ascii="Times New Roman" w:hAnsi="Times New Roman" w:cs="Times New Roman"/>
          <w:b/>
          <w:sz w:val="36"/>
          <w:szCs w:val="36"/>
        </w:rPr>
      </w:pPr>
      <w:r w:rsidRPr="004B0DC1">
        <w:rPr>
          <w:rFonts w:ascii="Times New Roman" w:hAnsi="Times New Roman" w:cs="Times New Roman"/>
          <w:b/>
          <w:sz w:val="36"/>
          <w:szCs w:val="36"/>
        </w:rPr>
        <w:t>Prime Minister and Cabinet (Miscellaneous Provisions) Act 1995</w:t>
      </w:r>
      <w:bookmarkEnd w:id="0"/>
    </w:p>
    <w:p w14:paraId="54F07D0A" w14:textId="77777777" w:rsidR="00D16C6D" w:rsidRPr="004B0DC1" w:rsidRDefault="00951FF5" w:rsidP="000D5C49">
      <w:pPr>
        <w:spacing w:before="960"/>
        <w:jc w:val="center"/>
        <w:rPr>
          <w:rFonts w:ascii="Times New Roman" w:hAnsi="Times New Roman" w:cs="Times New Roman"/>
          <w:b/>
          <w:sz w:val="22"/>
          <w:szCs w:val="22"/>
        </w:rPr>
      </w:pPr>
      <w:bookmarkStart w:id="2" w:name="bookmark1"/>
      <w:r w:rsidRPr="00693015">
        <w:rPr>
          <w:rFonts w:ascii="Times New Roman" w:hAnsi="Times New Roman" w:cs="Times New Roman"/>
          <w:b/>
          <w:szCs w:val="22"/>
        </w:rPr>
        <w:t>No. 138 of 1995</w:t>
      </w:r>
      <w:bookmarkEnd w:id="2"/>
    </w:p>
    <w:p w14:paraId="28F9CC37" w14:textId="77777777" w:rsidR="00D16C6D" w:rsidRPr="004B0DC1" w:rsidRDefault="00951FF5" w:rsidP="000D5C49">
      <w:pPr>
        <w:spacing w:before="960"/>
        <w:jc w:val="center"/>
        <w:rPr>
          <w:b/>
          <w:sz w:val="22"/>
        </w:rPr>
      </w:pPr>
      <w:r w:rsidRPr="000D5C49">
        <w:rPr>
          <w:rFonts w:ascii="Times New Roman" w:hAnsi="Times New Roman" w:cs="Times New Roman"/>
          <w:b/>
          <w:sz w:val="22"/>
          <w:szCs w:val="22"/>
        </w:rPr>
        <w:t>CONTENTS</w:t>
      </w:r>
    </w:p>
    <w:p w14:paraId="121C1CD2" w14:textId="77777777" w:rsidR="00D16C6D" w:rsidRPr="004B0DC1" w:rsidRDefault="00951FF5" w:rsidP="00B6457A">
      <w:pPr>
        <w:pStyle w:val="Bodytext70"/>
        <w:spacing w:line="240" w:lineRule="auto"/>
        <w:jc w:val="both"/>
        <w:rPr>
          <w:sz w:val="22"/>
        </w:rPr>
      </w:pPr>
      <w:r w:rsidRPr="004B0DC1">
        <w:rPr>
          <w:rStyle w:val="Bodytext79pt"/>
          <w:sz w:val="22"/>
        </w:rPr>
        <w:t>Section</w:t>
      </w:r>
    </w:p>
    <w:p w14:paraId="5B8A58AA" w14:textId="77777777" w:rsidR="00D16C6D" w:rsidRPr="004B0DC1" w:rsidRDefault="004B0DC1" w:rsidP="00B6457A">
      <w:pPr>
        <w:pStyle w:val="Bodytext70"/>
        <w:tabs>
          <w:tab w:val="left" w:pos="990"/>
        </w:tabs>
        <w:spacing w:line="240" w:lineRule="auto"/>
        <w:ind w:firstLine="342"/>
        <w:jc w:val="both"/>
        <w:rPr>
          <w:sz w:val="22"/>
        </w:rPr>
      </w:pPr>
      <w:r>
        <w:rPr>
          <w:rStyle w:val="Bodytext79pt"/>
          <w:sz w:val="22"/>
        </w:rPr>
        <w:t>1.</w:t>
      </w:r>
      <w:r>
        <w:rPr>
          <w:rStyle w:val="Bodytext79pt"/>
          <w:sz w:val="22"/>
        </w:rPr>
        <w:tab/>
      </w:r>
      <w:r w:rsidR="00951FF5" w:rsidRPr="004B0DC1">
        <w:rPr>
          <w:rStyle w:val="Bodytext79pt"/>
          <w:sz w:val="22"/>
        </w:rPr>
        <w:t>Short title</w:t>
      </w:r>
    </w:p>
    <w:p w14:paraId="65784A52" w14:textId="77777777" w:rsidR="00D16C6D" w:rsidRPr="004B0DC1" w:rsidRDefault="004B0DC1" w:rsidP="00B6457A">
      <w:pPr>
        <w:pStyle w:val="Bodytext70"/>
        <w:tabs>
          <w:tab w:val="left" w:pos="990"/>
        </w:tabs>
        <w:spacing w:line="240" w:lineRule="auto"/>
        <w:ind w:firstLine="342"/>
        <w:jc w:val="both"/>
        <w:rPr>
          <w:sz w:val="22"/>
        </w:rPr>
      </w:pPr>
      <w:r>
        <w:rPr>
          <w:rStyle w:val="Bodytext79pt"/>
          <w:sz w:val="22"/>
        </w:rPr>
        <w:t>2.</w:t>
      </w:r>
      <w:r>
        <w:rPr>
          <w:rStyle w:val="Bodytext79pt"/>
          <w:sz w:val="22"/>
        </w:rPr>
        <w:tab/>
      </w:r>
      <w:r w:rsidR="00951FF5" w:rsidRPr="004B0DC1">
        <w:rPr>
          <w:rStyle w:val="Bodytext79pt"/>
          <w:sz w:val="22"/>
        </w:rPr>
        <w:t>Commencement</w:t>
      </w:r>
    </w:p>
    <w:p w14:paraId="52C82074" w14:textId="77777777" w:rsidR="00D16C6D" w:rsidRPr="004B0DC1" w:rsidRDefault="004B0DC1" w:rsidP="00B6457A">
      <w:pPr>
        <w:pStyle w:val="Bodytext70"/>
        <w:tabs>
          <w:tab w:val="left" w:pos="990"/>
        </w:tabs>
        <w:spacing w:line="240" w:lineRule="auto"/>
        <w:ind w:firstLine="342"/>
        <w:jc w:val="both"/>
        <w:rPr>
          <w:sz w:val="22"/>
        </w:rPr>
      </w:pPr>
      <w:r>
        <w:rPr>
          <w:rStyle w:val="Bodytext79pt"/>
          <w:sz w:val="22"/>
        </w:rPr>
        <w:t>3.</w:t>
      </w:r>
      <w:r>
        <w:rPr>
          <w:rStyle w:val="Bodytext79pt"/>
          <w:sz w:val="22"/>
        </w:rPr>
        <w:tab/>
      </w:r>
      <w:r w:rsidR="00951FF5" w:rsidRPr="004B0DC1">
        <w:rPr>
          <w:rStyle w:val="Bodytext79pt"/>
          <w:sz w:val="22"/>
        </w:rPr>
        <w:t>Amendments</w:t>
      </w:r>
    </w:p>
    <w:p w14:paraId="6291D4DC" w14:textId="77777777" w:rsidR="00D16C6D" w:rsidRPr="004B0DC1" w:rsidRDefault="00951FF5" w:rsidP="00B6457A">
      <w:pPr>
        <w:pStyle w:val="Bodytext70"/>
        <w:spacing w:line="240" w:lineRule="auto"/>
        <w:jc w:val="center"/>
        <w:rPr>
          <w:sz w:val="22"/>
        </w:rPr>
      </w:pPr>
      <w:r w:rsidRPr="004B0DC1">
        <w:rPr>
          <w:rStyle w:val="Bodytext79pt"/>
          <w:sz w:val="22"/>
        </w:rPr>
        <w:t>SCHEDULE</w:t>
      </w:r>
    </w:p>
    <w:p w14:paraId="0F9FEA25" w14:textId="77777777" w:rsidR="00D16C6D" w:rsidRPr="004B0DC1" w:rsidRDefault="00951FF5" w:rsidP="00B6457A">
      <w:pPr>
        <w:pStyle w:val="Bodytext70"/>
        <w:spacing w:before="240" w:line="240" w:lineRule="auto"/>
        <w:jc w:val="center"/>
        <w:rPr>
          <w:sz w:val="22"/>
        </w:rPr>
      </w:pPr>
      <w:r w:rsidRPr="004B0DC1">
        <w:rPr>
          <w:rStyle w:val="Bodytext79pt"/>
          <w:sz w:val="22"/>
        </w:rPr>
        <w:t>PART 1—AMENDMENTS OF THE ECONOMIC PLANNING ADVISORY COUNCIL ACT 1983</w:t>
      </w:r>
    </w:p>
    <w:p w14:paraId="04E64857" w14:textId="41C3E386" w:rsidR="00D16C6D" w:rsidRPr="004B0DC1" w:rsidRDefault="00951FF5" w:rsidP="00B6457A">
      <w:pPr>
        <w:pStyle w:val="Bodytext70"/>
        <w:spacing w:before="120" w:line="240" w:lineRule="auto"/>
        <w:jc w:val="center"/>
        <w:rPr>
          <w:sz w:val="22"/>
        </w:rPr>
      </w:pPr>
      <w:r w:rsidRPr="004B0DC1">
        <w:rPr>
          <w:rStyle w:val="Bodytext79pt"/>
          <w:sz w:val="22"/>
        </w:rPr>
        <w:t>PART 2—AMENDMENTS OF THE PARLIAMENTARY ALLOWANCES</w:t>
      </w:r>
      <w:r w:rsidR="00693015">
        <w:rPr>
          <w:rStyle w:val="Bodytext79pt"/>
          <w:sz w:val="22"/>
        </w:rPr>
        <w:t xml:space="preserve"> </w:t>
      </w:r>
      <w:r w:rsidRPr="004B0DC1">
        <w:rPr>
          <w:rStyle w:val="Bodytext79pt"/>
          <w:sz w:val="22"/>
        </w:rPr>
        <w:t>ACT 1952</w:t>
      </w:r>
    </w:p>
    <w:p w14:paraId="1171DC3E" w14:textId="77777777" w:rsidR="00D16C6D" w:rsidRPr="004B0DC1" w:rsidRDefault="00951FF5" w:rsidP="00B6457A">
      <w:pPr>
        <w:pStyle w:val="Bodytext70"/>
        <w:spacing w:before="120" w:line="240" w:lineRule="auto"/>
        <w:jc w:val="center"/>
        <w:rPr>
          <w:sz w:val="22"/>
        </w:rPr>
      </w:pPr>
      <w:r w:rsidRPr="004B0DC1">
        <w:rPr>
          <w:rStyle w:val="Bodytext79pt"/>
          <w:sz w:val="22"/>
        </w:rPr>
        <w:t>PART 3—AMENDMENT OF THE PARLIAMENTARY PRESIDING OFFICERS ACT 1965</w:t>
      </w:r>
    </w:p>
    <w:p w14:paraId="581AF78F" w14:textId="77777777" w:rsidR="00D16C6D" w:rsidRPr="004B0DC1" w:rsidRDefault="00951FF5" w:rsidP="00B6457A">
      <w:pPr>
        <w:pStyle w:val="Bodytext70"/>
        <w:spacing w:before="120" w:line="240" w:lineRule="auto"/>
        <w:jc w:val="center"/>
        <w:rPr>
          <w:sz w:val="22"/>
        </w:rPr>
      </w:pPr>
      <w:r w:rsidRPr="004B0DC1">
        <w:rPr>
          <w:rStyle w:val="Bodytext79pt"/>
          <w:sz w:val="22"/>
        </w:rPr>
        <w:t>PART 4—AMENDMENTS OF THE PUBLIC SERVICE ACT 1922</w:t>
      </w:r>
    </w:p>
    <w:p w14:paraId="1D981C44" w14:textId="77777777" w:rsidR="00112257" w:rsidRDefault="00112257" w:rsidP="00B6457A">
      <w:pPr>
        <w:jc w:val="center"/>
        <w:rPr>
          <w:rFonts w:ascii="Times New Roman" w:hAnsi="Times New Roman" w:cs="Times New Roman"/>
          <w:sz w:val="22"/>
        </w:rPr>
        <w:sectPr w:rsidR="00112257" w:rsidSect="00003B79">
          <w:headerReference w:type="default" r:id="rId10"/>
          <w:type w:val="continuous"/>
          <w:pgSz w:w="12240" w:h="15840" w:code="1"/>
          <w:pgMar w:top="1440" w:right="1440" w:bottom="1440" w:left="1440" w:header="720" w:footer="0" w:gutter="0"/>
          <w:cols w:space="720"/>
          <w:noEndnote/>
          <w:titlePg/>
          <w:docGrid w:linePitch="360"/>
        </w:sectPr>
      </w:pPr>
      <w:bookmarkStart w:id="3" w:name="bookmark2"/>
    </w:p>
    <w:p w14:paraId="6F812515" w14:textId="77777777" w:rsidR="004B0DC1" w:rsidRPr="0088598D" w:rsidRDefault="004B0DC1" w:rsidP="00B6457A">
      <w:pPr>
        <w:jc w:val="center"/>
        <w:rPr>
          <w:rFonts w:ascii="Times New Roman" w:hAnsi="Times New Roman" w:cs="Times New Roman"/>
          <w:sz w:val="22"/>
        </w:rPr>
      </w:pPr>
      <w:r w:rsidRPr="0088598D">
        <w:rPr>
          <w:rFonts w:ascii="Times New Roman" w:hAnsi="Times New Roman" w:cs="Times New Roman"/>
          <w:noProof/>
          <w:lang w:val="en-AU" w:eastAsia="en-AU"/>
        </w:rPr>
        <w:lastRenderedPageBreak/>
        <w:drawing>
          <wp:inline distT="0" distB="0" distL="0" distR="0" wp14:anchorId="53D30D3B" wp14:editId="4E33DF4E">
            <wp:extent cx="2228850" cy="1365391"/>
            <wp:effectExtent l="0" t="0" r="0"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3710" cy="1368368"/>
                    </a:xfrm>
                    <a:prstGeom prst="rect">
                      <a:avLst/>
                    </a:prstGeom>
                    <a:noFill/>
                    <a:ln>
                      <a:noFill/>
                    </a:ln>
                  </pic:spPr>
                </pic:pic>
              </a:graphicData>
            </a:graphic>
          </wp:inline>
        </w:drawing>
      </w:r>
    </w:p>
    <w:p w14:paraId="4878824D" w14:textId="77777777" w:rsidR="00D16C6D" w:rsidRPr="0088598D" w:rsidRDefault="00951FF5" w:rsidP="00457259">
      <w:pPr>
        <w:spacing w:before="960"/>
        <w:jc w:val="center"/>
        <w:rPr>
          <w:rFonts w:ascii="Times New Roman" w:hAnsi="Times New Roman" w:cs="Times New Roman"/>
          <w:b/>
          <w:sz w:val="36"/>
          <w:szCs w:val="36"/>
        </w:rPr>
      </w:pPr>
      <w:r w:rsidRPr="0088598D">
        <w:rPr>
          <w:rFonts w:ascii="Times New Roman" w:hAnsi="Times New Roman" w:cs="Times New Roman"/>
          <w:b/>
          <w:sz w:val="36"/>
          <w:szCs w:val="36"/>
        </w:rPr>
        <w:t>Prime Minister and Cabinet (Miscellaneous Provisions) Act 1995</w:t>
      </w:r>
      <w:bookmarkEnd w:id="3"/>
    </w:p>
    <w:p w14:paraId="522B9E8F" w14:textId="77777777" w:rsidR="00D16C6D" w:rsidRDefault="00951FF5" w:rsidP="008F7CD7">
      <w:pPr>
        <w:spacing w:before="960"/>
        <w:jc w:val="center"/>
        <w:rPr>
          <w:rFonts w:ascii="Times New Roman" w:hAnsi="Times New Roman" w:cs="Times New Roman"/>
          <w:b/>
          <w:sz w:val="22"/>
          <w:szCs w:val="22"/>
        </w:rPr>
      </w:pPr>
      <w:bookmarkStart w:id="4" w:name="bookmark3"/>
      <w:r w:rsidRPr="00693015">
        <w:rPr>
          <w:rFonts w:ascii="Times New Roman" w:hAnsi="Times New Roman" w:cs="Times New Roman"/>
          <w:b/>
          <w:szCs w:val="22"/>
        </w:rPr>
        <w:t>No. 138 of 1995</w:t>
      </w:r>
      <w:bookmarkEnd w:id="4"/>
    </w:p>
    <w:p w14:paraId="6E6EC4F0" w14:textId="77777777" w:rsidR="0088598D" w:rsidRPr="004B0DC1" w:rsidRDefault="0088598D" w:rsidP="008F7CD7">
      <w:pPr>
        <w:pBdr>
          <w:top w:val="double" w:sz="4" w:space="1" w:color="auto"/>
        </w:pBdr>
        <w:spacing w:before="960"/>
        <w:jc w:val="both"/>
        <w:rPr>
          <w:rFonts w:ascii="Times New Roman" w:hAnsi="Times New Roman" w:cs="Times New Roman"/>
          <w:b/>
          <w:sz w:val="22"/>
          <w:szCs w:val="22"/>
        </w:rPr>
      </w:pPr>
    </w:p>
    <w:p w14:paraId="2A862818" w14:textId="77777777" w:rsidR="00D16C6D" w:rsidRPr="0088598D" w:rsidRDefault="00951FF5" w:rsidP="005000CE">
      <w:pPr>
        <w:pStyle w:val="Bodytext50"/>
        <w:spacing w:before="960" w:line="240" w:lineRule="auto"/>
        <w:jc w:val="center"/>
        <w:rPr>
          <w:sz w:val="26"/>
          <w:szCs w:val="26"/>
        </w:rPr>
      </w:pPr>
      <w:r w:rsidRPr="0088598D">
        <w:rPr>
          <w:sz w:val="26"/>
          <w:szCs w:val="26"/>
        </w:rPr>
        <w:t>An Act to amend various Acts relating to matters dealt with within the portfolio of the Prime Minister, and for related</w:t>
      </w:r>
      <w:r w:rsidR="0088598D">
        <w:rPr>
          <w:sz w:val="26"/>
          <w:szCs w:val="26"/>
        </w:rPr>
        <w:t xml:space="preserve"> </w:t>
      </w:r>
      <w:r w:rsidRPr="0088598D">
        <w:rPr>
          <w:sz w:val="26"/>
          <w:szCs w:val="26"/>
        </w:rPr>
        <w:t>purposes</w:t>
      </w:r>
    </w:p>
    <w:p w14:paraId="77BCF2C3" w14:textId="77777777" w:rsidR="00D16C6D" w:rsidRPr="004B0DC1" w:rsidRDefault="00951FF5" w:rsidP="00B6457A">
      <w:pPr>
        <w:pStyle w:val="Bodytext60"/>
        <w:spacing w:before="120" w:line="240" w:lineRule="auto"/>
      </w:pPr>
      <w:r w:rsidRPr="0088598D">
        <w:rPr>
          <w:rStyle w:val="Bodytext61"/>
          <w:iCs/>
        </w:rPr>
        <w:t>[</w:t>
      </w:r>
      <w:r w:rsidRPr="004B0DC1">
        <w:rPr>
          <w:rStyle w:val="Bodytext61"/>
          <w:i/>
          <w:iCs/>
        </w:rPr>
        <w:t>Assented to 5 December 1995</w:t>
      </w:r>
      <w:r w:rsidRPr="0088598D">
        <w:rPr>
          <w:rStyle w:val="Bodytext61"/>
          <w:iCs/>
        </w:rPr>
        <w:t>]</w:t>
      </w:r>
    </w:p>
    <w:p w14:paraId="26BA1F13" w14:textId="77777777" w:rsidR="00D16C6D" w:rsidRPr="004B0DC1" w:rsidRDefault="00951FF5" w:rsidP="00B6457A">
      <w:pPr>
        <w:pStyle w:val="BodyText1"/>
        <w:spacing w:line="240" w:lineRule="auto"/>
        <w:ind w:firstLine="274"/>
        <w:jc w:val="both"/>
      </w:pPr>
      <w:r w:rsidRPr="004B0DC1">
        <w:t>The Parliament of Australia enacts:</w:t>
      </w:r>
    </w:p>
    <w:p w14:paraId="4D46D5AC" w14:textId="77777777" w:rsidR="00D16C6D" w:rsidRPr="0088598D" w:rsidRDefault="00951FF5" w:rsidP="00B6457A">
      <w:pPr>
        <w:spacing w:before="120" w:after="60"/>
        <w:jc w:val="both"/>
        <w:rPr>
          <w:rFonts w:ascii="Times New Roman" w:hAnsi="Times New Roman" w:cs="Times New Roman"/>
          <w:b/>
          <w:sz w:val="22"/>
          <w:szCs w:val="22"/>
        </w:rPr>
      </w:pPr>
      <w:bookmarkStart w:id="5" w:name="bookmark4"/>
      <w:r w:rsidRPr="0088598D">
        <w:rPr>
          <w:rFonts w:ascii="Times New Roman" w:hAnsi="Times New Roman" w:cs="Times New Roman"/>
          <w:b/>
          <w:sz w:val="22"/>
          <w:szCs w:val="22"/>
        </w:rPr>
        <w:t>Short title</w:t>
      </w:r>
      <w:bookmarkEnd w:id="5"/>
    </w:p>
    <w:p w14:paraId="3180030C" w14:textId="77777777" w:rsidR="00D16C6D" w:rsidRPr="004B0DC1" w:rsidRDefault="00457259" w:rsidP="000D5C49">
      <w:pPr>
        <w:pStyle w:val="Bodytext60"/>
        <w:tabs>
          <w:tab w:val="left" w:pos="630"/>
        </w:tabs>
        <w:spacing w:before="120" w:line="240" w:lineRule="auto"/>
        <w:ind w:left="360"/>
        <w:jc w:val="both"/>
      </w:pPr>
      <w:r w:rsidRPr="00457259">
        <w:rPr>
          <w:rStyle w:val="Bodytext6NotItalic"/>
          <w:b/>
        </w:rPr>
        <w:t>1.</w:t>
      </w:r>
      <w:r>
        <w:rPr>
          <w:rStyle w:val="Bodytext6NotItalic"/>
        </w:rPr>
        <w:tab/>
      </w:r>
      <w:r w:rsidR="00951FF5" w:rsidRPr="004B0DC1">
        <w:rPr>
          <w:rStyle w:val="Bodytext6NotItalic"/>
        </w:rPr>
        <w:t xml:space="preserve">This Act may be cited as the </w:t>
      </w:r>
      <w:r w:rsidR="00951FF5" w:rsidRPr="004B0DC1">
        <w:rPr>
          <w:rStyle w:val="Bodytext61"/>
          <w:i/>
          <w:iCs/>
        </w:rPr>
        <w:t>Prime Minister and Cabinet (Miscellaneous Provisions) Act 1995.</w:t>
      </w:r>
    </w:p>
    <w:p w14:paraId="1701BBDA" w14:textId="77777777" w:rsidR="0088598D" w:rsidRDefault="0088598D" w:rsidP="00B6457A">
      <w:pPr>
        <w:jc w:val="both"/>
        <w:rPr>
          <w:rStyle w:val="Bodytext61"/>
          <w:rFonts w:eastAsia="Courier New"/>
        </w:rPr>
      </w:pPr>
      <w:r>
        <w:rPr>
          <w:rStyle w:val="Bodytext61"/>
          <w:rFonts w:eastAsia="Courier New"/>
          <w:i w:val="0"/>
          <w:iCs w:val="0"/>
        </w:rPr>
        <w:br w:type="page"/>
      </w:r>
    </w:p>
    <w:p w14:paraId="38906187" w14:textId="77777777" w:rsidR="00D16C6D" w:rsidRPr="0088598D" w:rsidRDefault="00951FF5" w:rsidP="00B6457A">
      <w:pPr>
        <w:pStyle w:val="BodyText1"/>
        <w:spacing w:before="120" w:after="60" w:line="240" w:lineRule="auto"/>
        <w:ind w:firstLine="0"/>
        <w:jc w:val="both"/>
        <w:rPr>
          <w:b/>
        </w:rPr>
      </w:pPr>
      <w:r w:rsidRPr="0088598D">
        <w:rPr>
          <w:b/>
        </w:rPr>
        <w:lastRenderedPageBreak/>
        <w:t>Commencement</w:t>
      </w:r>
    </w:p>
    <w:p w14:paraId="15FA4EE3" w14:textId="77777777" w:rsidR="0088598D" w:rsidRPr="0088598D" w:rsidRDefault="00457259" w:rsidP="00457259">
      <w:pPr>
        <w:pStyle w:val="Bodytext60"/>
        <w:tabs>
          <w:tab w:val="left" w:pos="630"/>
        </w:tabs>
        <w:spacing w:before="120" w:line="240" w:lineRule="auto"/>
        <w:ind w:firstLine="297"/>
        <w:jc w:val="both"/>
        <w:rPr>
          <w:i w:val="0"/>
        </w:rPr>
      </w:pPr>
      <w:r w:rsidRPr="00457259">
        <w:rPr>
          <w:b/>
          <w:i w:val="0"/>
        </w:rPr>
        <w:t>2.</w:t>
      </w:r>
      <w:r>
        <w:rPr>
          <w:i w:val="0"/>
        </w:rPr>
        <w:tab/>
      </w:r>
      <w:r w:rsidR="00951FF5" w:rsidRPr="0088598D">
        <w:rPr>
          <w:i w:val="0"/>
        </w:rPr>
        <w:t xml:space="preserve">This Act commences on the day on which it receives the Royal Assent. </w:t>
      </w:r>
    </w:p>
    <w:p w14:paraId="3EB121F2" w14:textId="77777777" w:rsidR="00D16C6D" w:rsidRPr="0088598D" w:rsidRDefault="00951FF5" w:rsidP="00B6457A">
      <w:pPr>
        <w:pStyle w:val="BodyText1"/>
        <w:spacing w:before="120" w:after="60" w:line="240" w:lineRule="auto"/>
        <w:ind w:firstLine="0"/>
        <w:jc w:val="both"/>
        <w:rPr>
          <w:b/>
        </w:rPr>
      </w:pPr>
      <w:r w:rsidRPr="0088598D">
        <w:rPr>
          <w:b/>
        </w:rPr>
        <w:t>Amendments</w:t>
      </w:r>
    </w:p>
    <w:p w14:paraId="2C7025B2" w14:textId="77777777" w:rsidR="00366245" w:rsidRDefault="00457259" w:rsidP="00457259">
      <w:pPr>
        <w:pStyle w:val="Bodytext60"/>
        <w:tabs>
          <w:tab w:val="left" w:pos="612"/>
        </w:tabs>
        <w:spacing w:before="120" w:line="240" w:lineRule="auto"/>
        <w:ind w:firstLine="297"/>
        <w:jc w:val="both"/>
        <w:rPr>
          <w:i w:val="0"/>
        </w:rPr>
      </w:pPr>
      <w:r w:rsidRPr="00457259">
        <w:rPr>
          <w:b/>
          <w:i w:val="0"/>
        </w:rPr>
        <w:t>3.</w:t>
      </w:r>
      <w:r>
        <w:rPr>
          <w:i w:val="0"/>
        </w:rPr>
        <w:tab/>
      </w:r>
      <w:r w:rsidR="00951FF5" w:rsidRPr="00366245">
        <w:rPr>
          <w:i w:val="0"/>
        </w:rPr>
        <w:t>The Acts referred to in the Schedule are amended in accordance with the applicable items in the Schedule, and the other items in the Schedule have effect according to their terms</w:t>
      </w:r>
    </w:p>
    <w:p w14:paraId="6562DCE7" w14:textId="77777777" w:rsidR="00D16C6D" w:rsidRPr="00366245" w:rsidRDefault="00366245" w:rsidP="00B6457A">
      <w:pPr>
        <w:pStyle w:val="Bodytext60"/>
        <w:tabs>
          <w:tab w:val="left" w:pos="585"/>
        </w:tabs>
        <w:spacing w:before="120" w:line="240" w:lineRule="auto"/>
        <w:jc w:val="center"/>
        <w:rPr>
          <w:b/>
          <w:i w:val="0"/>
        </w:rPr>
      </w:pPr>
      <w:r w:rsidRPr="00366245">
        <w:rPr>
          <w:b/>
          <w:i w:val="0"/>
        </w:rPr>
        <w:t>____________</w:t>
      </w:r>
    </w:p>
    <w:p w14:paraId="1CC16F73" w14:textId="77777777" w:rsidR="0088598D" w:rsidRDefault="0088598D" w:rsidP="00B6457A">
      <w:pPr>
        <w:jc w:val="both"/>
        <w:rPr>
          <w:rStyle w:val="Bodytext61"/>
          <w:rFonts w:eastAsia="Courier New"/>
        </w:rPr>
      </w:pPr>
      <w:r>
        <w:rPr>
          <w:rStyle w:val="Bodytext61"/>
          <w:rFonts w:eastAsia="Courier New"/>
          <w:i w:val="0"/>
          <w:iCs w:val="0"/>
        </w:rPr>
        <w:br w:type="page"/>
      </w:r>
    </w:p>
    <w:p w14:paraId="43DD46F9" w14:textId="77777777" w:rsidR="00D16C6D" w:rsidRPr="004B0DC1" w:rsidRDefault="00951FF5" w:rsidP="00353459">
      <w:pPr>
        <w:pStyle w:val="Bodytext70"/>
        <w:tabs>
          <w:tab w:val="right" w:pos="9360"/>
        </w:tabs>
        <w:spacing w:before="120" w:line="240" w:lineRule="auto"/>
        <w:ind w:firstLine="3600"/>
        <w:jc w:val="both"/>
        <w:rPr>
          <w:sz w:val="22"/>
        </w:rPr>
      </w:pPr>
      <w:r w:rsidRPr="00366245">
        <w:rPr>
          <w:rStyle w:val="Bodytext711pt"/>
          <w:b/>
        </w:rPr>
        <w:lastRenderedPageBreak/>
        <w:t>SCHEDULE</w:t>
      </w:r>
      <w:r w:rsidRPr="004B0DC1">
        <w:rPr>
          <w:rStyle w:val="Bodytext711pt"/>
        </w:rPr>
        <w:tab/>
      </w:r>
      <w:r w:rsidR="00366245" w:rsidRPr="00693015">
        <w:rPr>
          <w:rStyle w:val="Bodytext79pt"/>
          <w:sz w:val="20"/>
        </w:rPr>
        <w:t xml:space="preserve">Section </w:t>
      </w:r>
      <w:r w:rsidRPr="00693015">
        <w:rPr>
          <w:rStyle w:val="Bodytext79pt"/>
          <w:sz w:val="20"/>
        </w:rPr>
        <w:t>3</w:t>
      </w:r>
    </w:p>
    <w:p w14:paraId="1AF8A124" w14:textId="77777777" w:rsidR="00D16C6D" w:rsidRPr="00366245" w:rsidRDefault="00951FF5" w:rsidP="00112257">
      <w:pPr>
        <w:pStyle w:val="BodyText1"/>
        <w:spacing w:before="120" w:line="240" w:lineRule="auto"/>
        <w:ind w:left="720" w:right="720" w:firstLine="0"/>
        <w:jc w:val="center"/>
        <w:rPr>
          <w:b/>
        </w:rPr>
      </w:pPr>
      <w:r w:rsidRPr="00366245">
        <w:rPr>
          <w:b/>
        </w:rPr>
        <w:t>PART 1—AMENDMENTS OF THE ECONOMIC PLANNING ADVISORY COUNCIL ACT 1983</w:t>
      </w:r>
    </w:p>
    <w:p w14:paraId="4F4A9E05" w14:textId="77777777" w:rsidR="00D16C6D" w:rsidRPr="00366245" w:rsidRDefault="00B6457A" w:rsidP="000D5C49">
      <w:pPr>
        <w:pStyle w:val="BodyText1"/>
        <w:spacing w:before="120" w:line="240" w:lineRule="auto"/>
        <w:ind w:firstLine="0"/>
        <w:jc w:val="both"/>
        <w:rPr>
          <w:b/>
        </w:rPr>
      </w:pPr>
      <w:r>
        <w:rPr>
          <w:b/>
        </w:rPr>
        <w:t xml:space="preserve">1. </w:t>
      </w:r>
      <w:r w:rsidR="00951FF5" w:rsidRPr="00366245">
        <w:rPr>
          <w:b/>
        </w:rPr>
        <w:t>Title:</w:t>
      </w:r>
    </w:p>
    <w:p w14:paraId="7C9D0BA4" w14:textId="77777777" w:rsidR="00D16C6D" w:rsidRPr="004B0DC1" w:rsidRDefault="00951FF5" w:rsidP="000D5C49">
      <w:pPr>
        <w:pStyle w:val="BodyText1"/>
        <w:spacing w:before="120" w:line="240" w:lineRule="auto"/>
        <w:ind w:firstLine="270"/>
        <w:jc w:val="both"/>
      </w:pPr>
      <w:r w:rsidRPr="004B0DC1">
        <w:t xml:space="preserve">Omit </w:t>
      </w:r>
      <w:r w:rsidRPr="00693015">
        <w:t>“</w:t>
      </w:r>
      <w:r w:rsidRPr="00366245">
        <w:rPr>
          <w:b/>
        </w:rPr>
        <w:t>Council</w:t>
      </w:r>
      <w:r w:rsidRPr="00693015">
        <w:t>”</w:t>
      </w:r>
      <w:r w:rsidRPr="004B0DC1">
        <w:t xml:space="preserve">, substitute </w:t>
      </w:r>
      <w:r w:rsidRPr="00693015">
        <w:t>“</w:t>
      </w:r>
      <w:r w:rsidRPr="00794BD1">
        <w:rPr>
          <w:b/>
        </w:rPr>
        <w:t>Commission</w:t>
      </w:r>
      <w:r w:rsidRPr="00693015">
        <w:t>”.</w:t>
      </w:r>
    </w:p>
    <w:p w14:paraId="2FD48D03" w14:textId="77777777" w:rsidR="00D16C6D" w:rsidRPr="00366245" w:rsidRDefault="00B6457A" w:rsidP="000D5C49">
      <w:pPr>
        <w:pStyle w:val="BodyText1"/>
        <w:spacing w:before="120" w:line="240" w:lineRule="auto"/>
        <w:ind w:firstLine="0"/>
        <w:jc w:val="both"/>
        <w:rPr>
          <w:b/>
        </w:rPr>
      </w:pPr>
      <w:r>
        <w:rPr>
          <w:b/>
        </w:rPr>
        <w:t xml:space="preserve">2. </w:t>
      </w:r>
      <w:r w:rsidR="00951FF5" w:rsidRPr="00366245">
        <w:rPr>
          <w:b/>
        </w:rPr>
        <w:t>Heading to Part I:</w:t>
      </w:r>
    </w:p>
    <w:p w14:paraId="08327E71" w14:textId="77777777" w:rsidR="00D16C6D" w:rsidRPr="004B0DC1" w:rsidRDefault="00951FF5" w:rsidP="000D5C49">
      <w:pPr>
        <w:pStyle w:val="BodyText1"/>
        <w:spacing w:before="120" w:line="240" w:lineRule="auto"/>
        <w:ind w:firstLine="270"/>
        <w:jc w:val="both"/>
      </w:pPr>
      <w:r w:rsidRPr="004B0DC1">
        <w:t>Omit, substitute:</w:t>
      </w:r>
    </w:p>
    <w:p w14:paraId="14295A12" w14:textId="77777777" w:rsidR="00D16C6D" w:rsidRPr="00366245" w:rsidRDefault="00951FF5" w:rsidP="000D5C49">
      <w:pPr>
        <w:pStyle w:val="BodyText1"/>
        <w:spacing w:line="240" w:lineRule="auto"/>
        <w:ind w:firstLine="0"/>
        <w:jc w:val="center"/>
        <w:rPr>
          <w:b/>
        </w:rPr>
      </w:pPr>
      <w:r w:rsidRPr="00693015">
        <w:t>“</w:t>
      </w:r>
      <w:r w:rsidRPr="00366245">
        <w:rPr>
          <w:b/>
        </w:rPr>
        <w:t>PART 1—PRELIMINARY</w:t>
      </w:r>
      <w:r w:rsidRPr="00693015">
        <w:t>”.</w:t>
      </w:r>
    </w:p>
    <w:p w14:paraId="11710DAE" w14:textId="77777777" w:rsidR="00D16C6D" w:rsidRPr="004B0DC1" w:rsidRDefault="00366245" w:rsidP="000D5C49">
      <w:pPr>
        <w:pStyle w:val="BodyText1"/>
        <w:spacing w:before="120" w:line="240" w:lineRule="auto"/>
        <w:ind w:firstLine="0"/>
        <w:jc w:val="both"/>
      </w:pPr>
      <w:r w:rsidRPr="00366245">
        <w:rPr>
          <w:b/>
        </w:rPr>
        <w:t>3</w:t>
      </w:r>
      <w:r w:rsidR="00B6457A">
        <w:t xml:space="preserve">. </w:t>
      </w:r>
      <w:r w:rsidR="00951FF5" w:rsidRPr="00366245">
        <w:rPr>
          <w:b/>
        </w:rPr>
        <w:t>Section 1:</w:t>
      </w:r>
    </w:p>
    <w:p w14:paraId="392674F9" w14:textId="77777777" w:rsidR="00D16C6D" w:rsidRPr="004B0DC1" w:rsidRDefault="00B6457A" w:rsidP="000D5C49">
      <w:pPr>
        <w:pStyle w:val="BodyText1"/>
        <w:spacing w:before="120" w:line="240" w:lineRule="auto"/>
        <w:ind w:firstLine="270"/>
        <w:jc w:val="both"/>
      </w:pPr>
      <w:r>
        <w:t>Omit “</w:t>
      </w:r>
      <w:r w:rsidRPr="00B6457A">
        <w:rPr>
          <w:i/>
        </w:rPr>
        <w:t>Council</w:t>
      </w:r>
      <w:r w:rsidR="00951FF5" w:rsidRPr="004B0DC1">
        <w:t xml:space="preserve">”, substitute </w:t>
      </w:r>
      <w:r w:rsidR="00951FF5" w:rsidRPr="00693015">
        <w:rPr>
          <w:rStyle w:val="BodytextItalic"/>
          <w:i w:val="0"/>
        </w:rPr>
        <w:t>“</w:t>
      </w:r>
      <w:r w:rsidR="00951FF5" w:rsidRPr="004B0DC1">
        <w:rPr>
          <w:rStyle w:val="BodytextItalic"/>
        </w:rPr>
        <w:t>Commission</w:t>
      </w:r>
      <w:r w:rsidR="00951FF5" w:rsidRPr="00693015">
        <w:rPr>
          <w:rStyle w:val="BodytextItalic"/>
          <w:i w:val="0"/>
        </w:rPr>
        <w:t>”.</w:t>
      </w:r>
    </w:p>
    <w:p w14:paraId="1362471B" w14:textId="77777777" w:rsidR="00D16C6D" w:rsidRPr="004B0DC1" w:rsidRDefault="00366245" w:rsidP="000D5C49">
      <w:pPr>
        <w:pStyle w:val="BodyText1"/>
        <w:spacing w:before="120" w:line="240" w:lineRule="auto"/>
        <w:ind w:firstLine="0"/>
        <w:jc w:val="both"/>
      </w:pPr>
      <w:r w:rsidRPr="00366245">
        <w:rPr>
          <w:b/>
        </w:rPr>
        <w:t>4.</w:t>
      </w:r>
      <w:r w:rsidR="00B6457A">
        <w:t xml:space="preserve"> </w:t>
      </w:r>
      <w:r w:rsidR="00951FF5" w:rsidRPr="00366245">
        <w:rPr>
          <w:b/>
        </w:rPr>
        <w:t>Section 3:</w:t>
      </w:r>
    </w:p>
    <w:p w14:paraId="3C4E97B2" w14:textId="77777777" w:rsidR="00D16C6D" w:rsidRPr="004B0DC1" w:rsidRDefault="00951FF5" w:rsidP="000D5C49">
      <w:pPr>
        <w:pStyle w:val="BodyText1"/>
        <w:spacing w:before="120" w:line="240" w:lineRule="auto"/>
        <w:ind w:firstLine="270"/>
        <w:jc w:val="both"/>
      </w:pPr>
      <w:r w:rsidRPr="004B0DC1">
        <w:t>Repeal, substitute:</w:t>
      </w:r>
    </w:p>
    <w:p w14:paraId="2E1E6D0B" w14:textId="77777777" w:rsidR="00D16C6D" w:rsidRPr="00366245" w:rsidRDefault="00951FF5" w:rsidP="000D5C49">
      <w:pPr>
        <w:pStyle w:val="BodyText1"/>
        <w:spacing w:before="120" w:after="60" w:line="240" w:lineRule="auto"/>
        <w:ind w:firstLine="0"/>
        <w:jc w:val="both"/>
        <w:rPr>
          <w:b/>
        </w:rPr>
      </w:pPr>
      <w:r w:rsidRPr="00366245">
        <w:rPr>
          <w:b/>
        </w:rPr>
        <w:t>Definitions</w:t>
      </w:r>
    </w:p>
    <w:p w14:paraId="604A0F9E" w14:textId="77777777" w:rsidR="00D16C6D" w:rsidRPr="004B0DC1" w:rsidRDefault="00951FF5" w:rsidP="000D5C49">
      <w:pPr>
        <w:pStyle w:val="BodyText1"/>
        <w:spacing w:before="120" w:line="240" w:lineRule="auto"/>
        <w:ind w:firstLine="342"/>
        <w:jc w:val="both"/>
      </w:pPr>
      <w:r w:rsidRPr="004B0DC1">
        <w:t>“3. In this Act, unless the contrary intention appears:</w:t>
      </w:r>
    </w:p>
    <w:p w14:paraId="14460B53" w14:textId="77777777" w:rsidR="00D16C6D" w:rsidRPr="004B0DC1" w:rsidRDefault="00951FF5" w:rsidP="000D5C49">
      <w:pPr>
        <w:pStyle w:val="BodyText1"/>
        <w:spacing w:line="240" w:lineRule="auto"/>
        <w:ind w:firstLine="0"/>
        <w:jc w:val="both"/>
      </w:pPr>
      <w:r w:rsidRPr="00366245">
        <w:rPr>
          <w:b/>
        </w:rPr>
        <w:t>‘Commission’</w:t>
      </w:r>
      <w:r w:rsidRPr="004B0DC1">
        <w:t xml:space="preserve"> means the Economic Planning Advisory Commission referred to in section 4;</w:t>
      </w:r>
    </w:p>
    <w:p w14:paraId="5E2D2A58" w14:textId="77777777" w:rsidR="00D16C6D" w:rsidRPr="004B0DC1" w:rsidRDefault="00951FF5" w:rsidP="000D5C49">
      <w:pPr>
        <w:pStyle w:val="BodyText1"/>
        <w:spacing w:line="240" w:lineRule="auto"/>
        <w:ind w:firstLine="0"/>
        <w:jc w:val="both"/>
      </w:pPr>
      <w:r w:rsidRPr="00366245">
        <w:rPr>
          <w:b/>
        </w:rPr>
        <w:t>‘Commissioner’</w:t>
      </w:r>
      <w:r w:rsidRPr="004B0DC1">
        <w:t xml:space="preserve"> means the person who, from time to time, holds the office of Commissioner and includes a person acting in that office.”.</w:t>
      </w:r>
    </w:p>
    <w:p w14:paraId="05BE5ED8" w14:textId="77777777" w:rsidR="00D16C6D" w:rsidRPr="00366245" w:rsidRDefault="00B6457A" w:rsidP="000D5C49">
      <w:pPr>
        <w:pStyle w:val="BodyText1"/>
        <w:spacing w:before="120" w:line="240" w:lineRule="auto"/>
        <w:ind w:firstLine="0"/>
        <w:jc w:val="both"/>
        <w:rPr>
          <w:b/>
        </w:rPr>
      </w:pPr>
      <w:r>
        <w:rPr>
          <w:b/>
        </w:rPr>
        <w:t xml:space="preserve">5. </w:t>
      </w:r>
      <w:r w:rsidR="00951FF5" w:rsidRPr="00366245">
        <w:rPr>
          <w:b/>
        </w:rPr>
        <w:t>Parts II to V:</w:t>
      </w:r>
    </w:p>
    <w:p w14:paraId="73493505" w14:textId="77777777" w:rsidR="00D16C6D" w:rsidRPr="004B0DC1" w:rsidRDefault="00951FF5" w:rsidP="000D5C49">
      <w:pPr>
        <w:pStyle w:val="BodyText1"/>
        <w:spacing w:before="120" w:line="240" w:lineRule="auto"/>
        <w:ind w:firstLine="270"/>
        <w:jc w:val="both"/>
      </w:pPr>
      <w:r w:rsidRPr="004B0DC1">
        <w:t>Repeal, substitute:</w:t>
      </w:r>
    </w:p>
    <w:p w14:paraId="5A83F5A1" w14:textId="77777777" w:rsidR="00D16C6D" w:rsidRPr="00B6457A" w:rsidRDefault="00951FF5" w:rsidP="000D5C49">
      <w:pPr>
        <w:pStyle w:val="BodyText1"/>
        <w:spacing w:before="120" w:line="240" w:lineRule="auto"/>
        <w:ind w:firstLine="0"/>
        <w:jc w:val="center"/>
        <w:rPr>
          <w:b/>
        </w:rPr>
      </w:pPr>
      <w:r w:rsidRPr="00693015">
        <w:t>“</w:t>
      </w:r>
      <w:r w:rsidRPr="00B6457A">
        <w:rPr>
          <w:b/>
        </w:rPr>
        <w:t>PART 2—ESTABLISHMENT, CONSTITUTION, FUNCTIONS AND POWERS OF COMMISSION</w:t>
      </w:r>
    </w:p>
    <w:p w14:paraId="13730239" w14:textId="77777777" w:rsidR="00D16C6D" w:rsidRPr="00B6457A" w:rsidRDefault="00951FF5" w:rsidP="000D5C49">
      <w:pPr>
        <w:pStyle w:val="BodyText1"/>
        <w:spacing w:before="120" w:after="60" w:line="240" w:lineRule="auto"/>
        <w:ind w:firstLine="0"/>
        <w:jc w:val="both"/>
        <w:rPr>
          <w:b/>
        </w:rPr>
      </w:pPr>
      <w:r w:rsidRPr="00B6457A">
        <w:rPr>
          <w:b/>
        </w:rPr>
        <w:t>Establishment of Commission</w:t>
      </w:r>
    </w:p>
    <w:p w14:paraId="3E290B4A" w14:textId="77777777" w:rsidR="00D16C6D" w:rsidRPr="004B0DC1" w:rsidRDefault="00951FF5" w:rsidP="000D5C49">
      <w:pPr>
        <w:pStyle w:val="BodyText1"/>
        <w:spacing w:before="120" w:line="240" w:lineRule="auto"/>
        <w:ind w:firstLine="342"/>
        <w:jc w:val="both"/>
      </w:pPr>
      <w:r w:rsidRPr="004B0DC1">
        <w:t>“4. There is established a body by the name of the Economic Planning Advisory Commission.</w:t>
      </w:r>
    </w:p>
    <w:p w14:paraId="47A2F3C5" w14:textId="77777777" w:rsidR="00D16C6D" w:rsidRPr="00B6457A" w:rsidRDefault="00951FF5" w:rsidP="000D5C49">
      <w:pPr>
        <w:pStyle w:val="BodyText1"/>
        <w:spacing w:before="120" w:after="60" w:line="240" w:lineRule="auto"/>
        <w:ind w:firstLine="0"/>
        <w:jc w:val="both"/>
        <w:rPr>
          <w:b/>
        </w:rPr>
      </w:pPr>
      <w:r w:rsidRPr="00B6457A">
        <w:rPr>
          <w:b/>
        </w:rPr>
        <w:t>Constitution of Commission</w:t>
      </w:r>
    </w:p>
    <w:p w14:paraId="516E96E5" w14:textId="77777777" w:rsidR="00D16C6D" w:rsidRPr="004B0DC1" w:rsidRDefault="00951FF5" w:rsidP="000D5C49">
      <w:pPr>
        <w:pStyle w:val="BodyText1"/>
        <w:spacing w:before="120" w:line="240" w:lineRule="auto"/>
        <w:ind w:firstLine="342"/>
        <w:jc w:val="both"/>
      </w:pPr>
      <w:r w:rsidRPr="004B0DC1">
        <w:t>“5.(1) The Commission is constituted by a Commissioner.</w:t>
      </w:r>
    </w:p>
    <w:p w14:paraId="1A9FB03A" w14:textId="77777777" w:rsidR="00D16C6D" w:rsidRPr="004B0DC1" w:rsidRDefault="00951FF5" w:rsidP="000D5C49">
      <w:pPr>
        <w:pStyle w:val="BodyText1"/>
        <w:spacing w:before="120" w:line="240" w:lineRule="auto"/>
        <w:ind w:firstLine="342"/>
        <w:jc w:val="both"/>
      </w:pPr>
      <w:r w:rsidRPr="004B0DC1">
        <w:t>“(2) The Commissioner, under the Minister, is responsible for the performance of the Commission’s functions.</w:t>
      </w:r>
    </w:p>
    <w:p w14:paraId="7B385D29" w14:textId="77777777" w:rsidR="00D16C6D" w:rsidRPr="004B0DC1" w:rsidRDefault="00951FF5" w:rsidP="000D5C49">
      <w:pPr>
        <w:pStyle w:val="BodyText1"/>
        <w:spacing w:before="120" w:after="60" w:line="240" w:lineRule="auto"/>
        <w:ind w:firstLine="0"/>
        <w:jc w:val="both"/>
      </w:pPr>
      <w:r w:rsidRPr="00B6457A">
        <w:rPr>
          <w:b/>
        </w:rPr>
        <w:t>Functions of</w:t>
      </w:r>
      <w:r w:rsidRPr="004B0DC1">
        <w:t xml:space="preserve"> </w:t>
      </w:r>
      <w:r w:rsidRPr="00B6457A">
        <w:rPr>
          <w:b/>
        </w:rPr>
        <w:t>Commission</w:t>
      </w:r>
    </w:p>
    <w:p w14:paraId="3C5AE1A9" w14:textId="77777777" w:rsidR="00D16C6D" w:rsidRPr="004B0DC1" w:rsidRDefault="00951FF5" w:rsidP="000D5C49">
      <w:pPr>
        <w:pStyle w:val="BodyText1"/>
        <w:spacing w:before="120" w:line="240" w:lineRule="auto"/>
        <w:ind w:firstLine="342"/>
        <w:jc w:val="both"/>
      </w:pPr>
      <w:r w:rsidRPr="004B0DC1">
        <w:t>“6. The Commission’s functions are:</w:t>
      </w:r>
    </w:p>
    <w:p w14:paraId="058FDC4D" w14:textId="77777777" w:rsidR="00B6457A" w:rsidRDefault="00B6457A">
      <w:pPr>
        <w:rPr>
          <w:rStyle w:val="Bodytext61"/>
          <w:rFonts w:eastAsia="Courier New"/>
        </w:rPr>
      </w:pPr>
      <w:r>
        <w:rPr>
          <w:rStyle w:val="Bodytext61"/>
          <w:rFonts w:eastAsia="Courier New"/>
          <w:i w:val="0"/>
          <w:iCs w:val="0"/>
        </w:rPr>
        <w:br w:type="page"/>
      </w:r>
    </w:p>
    <w:p w14:paraId="7B032985" w14:textId="77777777" w:rsidR="00D16C6D" w:rsidRPr="004B0DC1" w:rsidRDefault="00951FF5" w:rsidP="00B17F96">
      <w:pPr>
        <w:pStyle w:val="BodyText1"/>
        <w:spacing w:before="120" w:line="240" w:lineRule="auto"/>
        <w:ind w:firstLine="0"/>
        <w:jc w:val="center"/>
      </w:pPr>
      <w:r w:rsidRPr="00B17F96">
        <w:rPr>
          <w:b/>
        </w:rPr>
        <w:lastRenderedPageBreak/>
        <w:t>SCHEDULE</w:t>
      </w:r>
      <w:r w:rsidRPr="004B0DC1">
        <w:t>—continued</w:t>
      </w:r>
    </w:p>
    <w:p w14:paraId="435CD252" w14:textId="77777777" w:rsidR="00D16C6D" w:rsidRPr="004B0DC1" w:rsidRDefault="00B17F96" w:rsidP="00B17F96">
      <w:pPr>
        <w:pStyle w:val="BodyText1"/>
        <w:spacing w:before="120" w:line="240" w:lineRule="auto"/>
        <w:ind w:left="576" w:hanging="302"/>
        <w:jc w:val="both"/>
      </w:pPr>
      <w:r>
        <w:t xml:space="preserve">(a) </w:t>
      </w:r>
      <w:r w:rsidR="00951FF5" w:rsidRPr="004B0DC1">
        <w:t>to investigate, or assist in the investigation of, matters relating to medium and long-term economic and social issues and provide, or assist in the provision of, information and advice to the Minister in respect of those matters; and</w:t>
      </w:r>
    </w:p>
    <w:p w14:paraId="5AFD6922" w14:textId="77777777" w:rsidR="00D16C6D" w:rsidRPr="004B0DC1" w:rsidRDefault="00B17F96" w:rsidP="00B17F96">
      <w:pPr>
        <w:pStyle w:val="BodyText1"/>
        <w:spacing w:before="120" w:line="240" w:lineRule="auto"/>
        <w:ind w:left="576" w:hanging="302"/>
        <w:jc w:val="both"/>
      </w:pPr>
      <w:r>
        <w:t xml:space="preserve">(b) </w:t>
      </w:r>
      <w:r w:rsidR="00951FF5" w:rsidRPr="004B0DC1">
        <w:t>to promote public debate on, and public understanding of, economic and social issues; and</w:t>
      </w:r>
    </w:p>
    <w:p w14:paraId="46B712EB" w14:textId="77777777" w:rsidR="00D16C6D" w:rsidRPr="004B0DC1" w:rsidRDefault="00B17F96" w:rsidP="00B17F96">
      <w:pPr>
        <w:pStyle w:val="BodyText1"/>
        <w:spacing w:before="120" w:line="240" w:lineRule="auto"/>
        <w:ind w:left="576" w:hanging="302"/>
        <w:jc w:val="both"/>
      </w:pPr>
      <w:r>
        <w:t xml:space="preserve">(c) </w:t>
      </w:r>
      <w:r w:rsidR="00951FF5" w:rsidRPr="004B0DC1">
        <w:t>at the request of the Minister, to undertake special projects in respect of matters relating to economic and social issues; and</w:t>
      </w:r>
    </w:p>
    <w:p w14:paraId="785DABD7" w14:textId="77777777" w:rsidR="00D16C6D" w:rsidRPr="004B0DC1" w:rsidRDefault="00B17F96" w:rsidP="00B17F96">
      <w:pPr>
        <w:pStyle w:val="BodyText1"/>
        <w:spacing w:before="120" w:line="240" w:lineRule="auto"/>
        <w:ind w:left="576" w:hanging="302"/>
        <w:jc w:val="both"/>
      </w:pPr>
      <w:r>
        <w:t xml:space="preserve">(d) </w:t>
      </w:r>
      <w:r w:rsidR="00951FF5" w:rsidRPr="004B0DC1">
        <w:t>to seek, and report to the Minister on, the views of persons, and groups of persons, in industry, the trade union movement, and the community generally, in connection with the preparation of the annual Commonwealth budget.</w:t>
      </w:r>
    </w:p>
    <w:p w14:paraId="3C965B94" w14:textId="77777777" w:rsidR="00D16C6D" w:rsidRPr="004B0DC1" w:rsidRDefault="00951FF5" w:rsidP="00B17F96">
      <w:pPr>
        <w:pStyle w:val="BodyText1"/>
        <w:spacing w:before="120" w:after="60" w:line="240" w:lineRule="auto"/>
        <w:ind w:firstLine="0"/>
        <w:jc w:val="both"/>
      </w:pPr>
      <w:r w:rsidRPr="00B17F96">
        <w:rPr>
          <w:b/>
        </w:rPr>
        <w:t>Powers of</w:t>
      </w:r>
      <w:r w:rsidRPr="004B0DC1">
        <w:t xml:space="preserve"> </w:t>
      </w:r>
      <w:r w:rsidRPr="00B17F96">
        <w:rPr>
          <w:b/>
        </w:rPr>
        <w:t>Commission</w:t>
      </w:r>
    </w:p>
    <w:p w14:paraId="6F441BFF" w14:textId="77777777" w:rsidR="00D16C6D" w:rsidRPr="004B0DC1" w:rsidRDefault="00951FF5" w:rsidP="00B17F96">
      <w:pPr>
        <w:pStyle w:val="BodyText1"/>
        <w:spacing w:before="120" w:line="240" w:lineRule="auto"/>
        <w:ind w:firstLine="270"/>
        <w:jc w:val="both"/>
      </w:pPr>
      <w:r w:rsidRPr="004B0DC1">
        <w:t>“7.(1) The Commission has power to do all things necessary or convenient to be done for or in connection with the performance of its functions.</w:t>
      </w:r>
    </w:p>
    <w:p w14:paraId="22F300AC" w14:textId="77777777" w:rsidR="00D16C6D" w:rsidRPr="004B0DC1" w:rsidRDefault="00951FF5" w:rsidP="00B17F96">
      <w:pPr>
        <w:pStyle w:val="BodyText1"/>
        <w:spacing w:before="120" w:line="240" w:lineRule="auto"/>
        <w:ind w:firstLine="270"/>
        <w:jc w:val="both"/>
      </w:pPr>
      <w:r w:rsidRPr="004B0DC1">
        <w:t>“(2) Without limiting subsection (1), the Commission may:</w:t>
      </w:r>
    </w:p>
    <w:p w14:paraId="5F6D83D9" w14:textId="77777777" w:rsidR="00D16C6D" w:rsidRPr="004B0DC1" w:rsidRDefault="00B17F96" w:rsidP="00C24017">
      <w:pPr>
        <w:pStyle w:val="BodyText1"/>
        <w:spacing w:before="120" w:line="240" w:lineRule="auto"/>
        <w:ind w:left="603" w:hanging="306"/>
        <w:jc w:val="both"/>
      </w:pPr>
      <w:r>
        <w:t xml:space="preserve">(a) </w:t>
      </w:r>
      <w:r w:rsidR="00951FF5" w:rsidRPr="004B0DC1">
        <w:t xml:space="preserve">at the Minister’s request, </w:t>
      </w:r>
      <w:proofErr w:type="spellStart"/>
      <w:r w:rsidR="00951FF5" w:rsidRPr="004B0DC1">
        <w:t>organise</w:t>
      </w:r>
      <w:proofErr w:type="spellEnd"/>
      <w:r w:rsidR="00951FF5" w:rsidRPr="004B0DC1">
        <w:t xml:space="preserve"> meetings of, and provide secretarial support to, any bodies or groups of people established to consider medium and long-term economic and social issues; and</w:t>
      </w:r>
    </w:p>
    <w:p w14:paraId="076812F9" w14:textId="77777777" w:rsidR="00D16C6D" w:rsidRPr="004B0DC1" w:rsidRDefault="00B17F96" w:rsidP="00C24017">
      <w:pPr>
        <w:pStyle w:val="BodyText1"/>
        <w:spacing w:before="120" w:line="240" w:lineRule="auto"/>
        <w:ind w:left="603" w:hanging="306"/>
        <w:jc w:val="both"/>
      </w:pPr>
      <w:r>
        <w:t xml:space="preserve">(b) </w:t>
      </w:r>
      <w:r w:rsidR="00951FF5" w:rsidRPr="004B0DC1">
        <w:t>with the Minister’s agreement, provide information on matters related to its functions to any bodies or groups of people conducting inquiries into medium and long-term economic and social issues; and</w:t>
      </w:r>
    </w:p>
    <w:p w14:paraId="3EAC8697" w14:textId="77777777" w:rsidR="00D16C6D" w:rsidRPr="004B0DC1" w:rsidRDefault="00B17F96" w:rsidP="00C24017">
      <w:pPr>
        <w:pStyle w:val="BodyText1"/>
        <w:spacing w:before="120" w:line="240" w:lineRule="auto"/>
        <w:ind w:left="603" w:hanging="306"/>
        <w:jc w:val="both"/>
      </w:pPr>
      <w:r>
        <w:t xml:space="preserve">(c) </w:t>
      </w:r>
      <w:r w:rsidR="00951FF5" w:rsidRPr="004B0DC1">
        <w:t>prepare reports and papers on matters within its functions and give them to the Minister; and</w:t>
      </w:r>
    </w:p>
    <w:p w14:paraId="7BB4282B" w14:textId="77777777" w:rsidR="00D16C6D" w:rsidRPr="004B0DC1" w:rsidRDefault="00B17F96" w:rsidP="00C24017">
      <w:pPr>
        <w:pStyle w:val="BodyText1"/>
        <w:spacing w:before="120" w:line="240" w:lineRule="auto"/>
        <w:ind w:left="603" w:hanging="306"/>
        <w:jc w:val="both"/>
      </w:pPr>
      <w:r>
        <w:t xml:space="preserve">(d) </w:t>
      </w:r>
      <w:proofErr w:type="spellStart"/>
      <w:r w:rsidR="00951FF5" w:rsidRPr="004B0DC1">
        <w:t>organise</w:t>
      </w:r>
      <w:proofErr w:type="spellEnd"/>
      <w:r w:rsidR="00951FF5" w:rsidRPr="004B0DC1">
        <w:t>, and participate in, seminars and conferences on matters related to its functions.</w:t>
      </w:r>
    </w:p>
    <w:p w14:paraId="4975E73E" w14:textId="77777777" w:rsidR="00D16C6D" w:rsidRPr="00B17F96" w:rsidRDefault="00951FF5" w:rsidP="00B17F96">
      <w:pPr>
        <w:pStyle w:val="BodyText1"/>
        <w:spacing w:before="120" w:after="60" w:line="240" w:lineRule="auto"/>
        <w:ind w:firstLine="0"/>
        <w:jc w:val="both"/>
        <w:rPr>
          <w:b/>
        </w:rPr>
      </w:pPr>
      <w:r w:rsidRPr="00B17F96">
        <w:rPr>
          <w:b/>
        </w:rPr>
        <w:t>Publication of Commission’s reports and papers</w:t>
      </w:r>
    </w:p>
    <w:p w14:paraId="4B350579" w14:textId="77777777" w:rsidR="00D16C6D" w:rsidRPr="004B0DC1" w:rsidRDefault="00951FF5" w:rsidP="00C24017">
      <w:pPr>
        <w:pStyle w:val="BodyText1"/>
        <w:spacing w:before="120" w:line="240" w:lineRule="auto"/>
        <w:ind w:firstLine="270"/>
        <w:jc w:val="both"/>
      </w:pPr>
      <w:r w:rsidRPr="004B0DC1">
        <w:t>“8.(1) If a report or paper is prepared for the Minister by the Commission, the Minister may publish the report or paper by causing it to be made public in any way that he or she thinks appropriate.</w:t>
      </w:r>
    </w:p>
    <w:p w14:paraId="4C1FC587" w14:textId="77777777" w:rsidR="00D16C6D" w:rsidRPr="004B0DC1" w:rsidRDefault="00951FF5" w:rsidP="00C24017">
      <w:pPr>
        <w:pStyle w:val="BodyText1"/>
        <w:spacing w:before="120" w:line="240" w:lineRule="auto"/>
        <w:ind w:firstLine="270"/>
        <w:jc w:val="both"/>
      </w:pPr>
      <w:r w:rsidRPr="004B0DC1">
        <w:t>“(2) Without limiting subsection (1), the way, or a way, in which the Minister may cause a report or paper prepared by the Commission to be made public is by causing it to be laid before each House of the Parliament.</w:t>
      </w:r>
    </w:p>
    <w:p w14:paraId="79E9AC53" w14:textId="77777777" w:rsidR="00D16C6D" w:rsidRPr="004B0DC1" w:rsidRDefault="00951FF5" w:rsidP="00C24017">
      <w:pPr>
        <w:pStyle w:val="BodyText1"/>
        <w:spacing w:before="120" w:line="240" w:lineRule="auto"/>
        <w:ind w:firstLine="270"/>
        <w:jc w:val="both"/>
      </w:pPr>
      <w:r w:rsidRPr="004B0DC1">
        <w:t>“(3) If:</w:t>
      </w:r>
    </w:p>
    <w:p w14:paraId="1484D5A8" w14:textId="77777777" w:rsidR="00D16C6D" w:rsidRPr="004B0DC1" w:rsidRDefault="00C24017" w:rsidP="00C24017">
      <w:pPr>
        <w:pStyle w:val="BodyText1"/>
        <w:spacing w:before="120" w:line="240" w:lineRule="auto"/>
        <w:ind w:firstLine="198"/>
        <w:jc w:val="both"/>
      </w:pPr>
      <w:r>
        <w:t xml:space="preserve">(a) </w:t>
      </w:r>
      <w:r w:rsidR="00951FF5" w:rsidRPr="004B0DC1">
        <w:t>the Minister decides to publish a report or paper prepared by the Commission; and</w:t>
      </w:r>
    </w:p>
    <w:p w14:paraId="470537EB" w14:textId="77777777" w:rsidR="00B17F96" w:rsidRDefault="00B17F96">
      <w:pPr>
        <w:rPr>
          <w:rStyle w:val="Bodytext61"/>
          <w:rFonts w:eastAsia="Courier New"/>
        </w:rPr>
      </w:pPr>
      <w:r>
        <w:rPr>
          <w:rStyle w:val="Bodytext61"/>
          <w:rFonts w:eastAsia="Courier New"/>
          <w:i w:val="0"/>
          <w:iCs w:val="0"/>
        </w:rPr>
        <w:br w:type="page"/>
      </w:r>
    </w:p>
    <w:p w14:paraId="2E3EFA74" w14:textId="77777777" w:rsidR="00D16C6D" w:rsidRPr="004B0DC1" w:rsidRDefault="00951FF5" w:rsidP="00C24017">
      <w:pPr>
        <w:pStyle w:val="BodyText1"/>
        <w:spacing w:before="120" w:line="240" w:lineRule="auto"/>
        <w:ind w:firstLine="0"/>
        <w:jc w:val="center"/>
      </w:pPr>
      <w:r w:rsidRPr="00C24017">
        <w:rPr>
          <w:b/>
        </w:rPr>
        <w:lastRenderedPageBreak/>
        <w:t>SCHEDULE</w:t>
      </w:r>
      <w:r w:rsidRPr="004B0DC1">
        <w:t>—continued</w:t>
      </w:r>
    </w:p>
    <w:p w14:paraId="411B03F1" w14:textId="77777777" w:rsidR="00D16C6D" w:rsidRPr="004B0DC1" w:rsidRDefault="00C24017" w:rsidP="00C24017">
      <w:pPr>
        <w:pStyle w:val="BodyText1"/>
        <w:spacing w:before="120" w:line="240" w:lineRule="auto"/>
        <w:ind w:left="522" w:hanging="324"/>
        <w:jc w:val="both"/>
      </w:pPr>
      <w:r>
        <w:t xml:space="preserve">(b) </w:t>
      </w:r>
      <w:r w:rsidR="00951FF5" w:rsidRPr="004B0DC1">
        <w:t>the report or paper contains economic information the publication of which would, in the Minister’s opinion, be contrary to the public interest;</w:t>
      </w:r>
    </w:p>
    <w:p w14:paraId="4472F92F" w14:textId="77777777" w:rsidR="00D16C6D" w:rsidRPr="004B0DC1" w:rsidRDefault="00951FF5" w:rsidP="00C24017">
      <w:pPr>
        <w:pStyle w:val="BodyText1"/>
        <w:spacing w:before="120" w:line="240" w:lineRule="auto"/>
        <w:ind w:firstLine="0"/>
        <w:jc w:val="both"/>
      </w:pPr>
      <w:r w:rsidRPr="004B0DC1">
        <w:t>the Minister may publish the report with any deletions that the Minister considers necessary or desirable.</w:t>
      </w:r>
    </w:p>
    <w:p w14:paraId="09CE689A" w14:textId="77777777" w:rsidR="00D16C6D" w:rsidRPr="004B0DC1" w:rsidRDefault="00951FF5" w:rsidP="00C24017">
      <w:pPr>
        <w:pStyle w:val="BodyText1"/>
        <w:spacing w:before="120" w:line="240" w:lineRule="auto"/>
        <w:ind w:firstLine="270"/>
        <w:jc w:val="both"/>
      </w:pPr>
      <w:r w:rsidRPr="004B0DC1">
        <w:t>“(4) If, in accordance with paragraph (3)(b), the Minister publishes a report or paper with deletions, the Minister must make it publicly known that the report was published with deletions.</w:t>
      </w:r>
    </w:p>
    <w:p w14:paraId="4E8F9E55" w14:textId="77777777" w:rsidR="00D16C6D" w:rsidRPr="004B0DC1" w:rsidRDefault="00951FF5" w:rsidP="00C24017">
      <w:pPr>
        <w:pStyle w:val="Bodytext90"/>
        <w:spacing w:before="120" w:line="240" w:lineRule="auto"/>
        <w:jc w:val="center"/>
        <w:rPr>
          <w:sz w:val="22"/>
        </w:rPr>
      </w:pPr>
      <w:r w:rsidRPr="00693015">
        <w:rPr>
          <w:b w:val="0"/>
          <w:sz w:val="22"/>
        </w:rPr>
        <w:t>“</w:t>
      </w:r>
      <w:r w:rsidRPr="004B0DC1">
        <w:rPr>
          <w:sz w:val="22"/>
        </w:rPr>
        <w:t>PART 3—COMMISSIONER, STAFF AND CONSULTANTS</w:t>
      </w:r>
    </w:p>
    <w:p w14:paraId="76B9FA2B" w14:textId="77777777" w:rsidR="00D16C6D" w:rsidRPr="004B0DC1" w:rsidRDefault="00951FF5" w:rsidP="00C24017">
      <w:pPr>
        <w:pStyle w:val="Bodytext90"/>
        <w:spacing w:before="120" w:after="60" w:line="240" w:lineRule="auto"/>
        <w:jc w:val="both"/>
        <w:rPr>
          <w:sz w:val="22"/>
        </w:rPr>
      </w:pPr>
      <w:r w:rsidRPr="004B0DC1">
        <w:rPr>
          <w:sz w:val="22"/>
        </w:rPr>
        <w:t>Appointment of Commissioner</w:t>
      </w:r>
    </w:p>
    <w:p w14:paraId="57BF34E9" w14:textId="77777777" w:rsidR="00D16C6D" w:rsidRPr="004B0DC1" w:rsidRDefault="00951FF5" w:rsidP="00C24017">
      <w:pPr>
        <w:pStyle w:val="BodyText1"/>
        <w:spacing w:before="120" w:line="240" w:lineRule="auto"/>
        <w:ind w:firstLine="270"/>
        <w:jc w:val="both"/>
      </w:pPr>
      <w:r w:rsidRPr="004B0DC1">
        <w:t>“9.(1) The Commissioner is to be appointed by the Minister.</w:t>
      </w:r>
    </w:p>
    <w:p w14:paraId="5D5DC10F" w14:textId="77777777" w:rsidR="00D16C6D" w:rsidRPr="004B0DC1" w:rsidRDefault="00951FF5" w:rsidP="00C24017">
      <w:pPr>
        <w:pStyle w:val="BodyText1"/>
        <w:spacing w:before="120" w:line="240" w:lineRule="auto"/>
        <w:ind w:firstLine="270"/>
        <w:jc w:val="both"/>
      </w:pPr>
      <w:r w:rsidRPr="004B0DC1">
        <w:t>“(2) The Commissioner holds office for the period (which must not be more than 5 years) stated in the instrument of appointment, but is eligible for re-appointment.</w:t>
      </w:r>
    </w:p>
    <w:p w14:paraId="70C4444C" w14:textId="77777777" w:rsidR="00D16C6D" w:rsidRPr="004B0DC1" w:rsidRDefault="00951FF5" w:rsidP="00C24017">
      <w:pPr>
        <w:pStyle w:val="Bodytext90"/>
        <w:spacing w:before="120" w:after="60" w:line="240" w:lineRule="auto"/>
        <w:jc w:val="both"/>
        <w:rPr>
          <w:sz w:val="22"/>
        </w:rPr>
      </w:pPr>
      <w:r w:rsidRPr="004B0DC1">
        <w:rPr>
          <w:sz w:val="22"/>
        </w:rPr>
        <w:t>Remuneration and allowances of Commissioner</w:t>
      </w:r>
    </w:p>
    <w:p w14:paraId="347D0E5F" w14:textId="77777777" w:rsidR="00D16C6D" w:rsidRPr="004B0DC1" w:rsidRDefault="00951FF5" w:rsidP="00C24017">
      <w:pPr>
        <w:pStyle w:val="BodyText1"/>
        <w:spacing w:before="120" w:line="240" w:lineRule="auto"/>
        <w:ind w:firstLine="270"/>
        <w:jc w:val="both"/>
      </w:pPr>
      <w:r w:rsidRPr="004B0DC1">
        <w:t>“10.(1) The Commissioner is to be paid the remuneration determined by the Remuneration Tribunal, but, if no determination of that remuneration is in force, is to be paid the remuneration that is prescribed by the regulations.</w:t>
      </w:r>
    </w:p>
    <w:p w14:paraId="3C9D289B" w14:textId="77777777" w:rsidR="00D16C6D" w:rsidRPr="004B0DC1" w:rsidRDefault="00951FF5" w:rsidP="00C24017">
      <w:pPr>
        <w:pStyle w:val="BodyText1"/>
        <w:spacing w:before="120" w:line="240" w:lineRule="auto"/>
        <w:ind w:firstLine="270"/>
        <w:jc w:val="both"/>
      </w:pPr>
      <w:r w:rsidRPr="004B0DC1">
        <w:t>“(2) The Commissioner is to be paid the allowances that are prescribed by the regulations.</w:t>
      </w:r>
    </w:p>
    <w:p w14:paraId="742B90D5" w14:textId="77777777" w:rsidR="00D16C6D" w:rsidRPr="004B0DC1" w:rsidRDefault="00951FF5" w:rsidP="00C24017">
      <w:pPr>
        <w:pStyle w:val="BodyText1"/>
        <w:spacing w:before="120" w:line="240" w:lineRule="auto"/>
        <w:ind w:firstLine="270"/>
        <w:jc w:val="both"/>
      </w:pPr>
      <w:r w:rsidRPr="004B0DC1">
        <w:t xml:space="preserve">“(3) This section has effect subject to the </w:t>
      </w:r>
      <w:r w:rsidRPr="004B0DC1">
        <w:rPr>
          <w:rStyle w:val="BodytextItalic"/>
        </w:rPr>
        <w:t>Remuneration Tribunal Act 1973.</w:t>
      </w:r>
    </w:p>
    <w:p w14:paraId="46602301" w14:textId="77777777" w:rsidR="00D16C6D" w:rsidRPr="004B0DC1" w:rsidRDefault="00951FF5" w:rsidP="00C24017">
      <w:pPr>
        <w:pStyle w:val="Bodytext90"/>
        <w:spacing w:before="120" w:after="60" w:line="240" w:lineRule="auto"/>
        <w:jc w:val="both"/>
        <w:rPr>
          <w:sz w:val="22"/>
        </w:rPr>
      </w:pPr>
      <w:r w:rsidRPr="004B0DC1">
        <w:rPr>
          <w:sz w:val="22"/>
        </w:rPr>
        <w:t>Leave of absence of Commissioner</w:t>
      </w:r>
    </w:p>
    <w:p w14:paraId="712BBF4B" w14:textId="77777777" w:rsidR="00D16C6D" w:rsidRPr="004B0DC1" w:rsidRDefault="00951FF5" w:rsidP="00C24017">
      <w:pPr>
        <w:pStyle w:val="BodyText1"/>
        <w:spacing w:before="120" w:line="240" w:lineRule="auto"/>
        <w:ind w:firstLine="270"/>
        <w:jc w:val="both"/>
      </w:pPr>
      <w:r w:rsidRPr="004B0DC1">
        <w:t xml:space="preserve">“11.(1) Subject to section 87E of the </w:t>
      </w:r>
      <w:r w:rsidRPr="004B0DC1">
        <w:rPr>
          <w:rStyle w:val="BodytextItalic"/>
        </w:rPr>
        <w:t>Public Service Act 1922</w:t>
      </w:r>
      <w:r w:rsidRPr="00693015">
        <w:rPr>
          <w:rStyle w:val="BodytextItalic"/>
          <w:i w:val="0"/>
        </w:rPr>
        <w:t>,</w:t>
      </w:r>
      <w:r w:rsidRPr="004B0DC1">
        <w:t xml:space="preserve"> the Commissioner has the recreation leave entitlements that are determined by the Remuneration Tribunal.</w:t>
      </w:r>
    </w:p>
    <w:p w14:paraId="36568999" w14:textId="77777777" w:rsidR="00D16C6D" w:rsidRPr="004B0DC1" w:rsidRDefault="00951FF5" w:rsidP="00C24017">
      <w:pPr>
        <w:pStyle w:val="BodyText1"/>
        <w:spacing w:before="120" w:line="240" w:lineRule="auto"/>
        <w:ind w:firstLine="270"/>
        <w:jc w:val="both"/>
      </w:pPr>
      <w:r w:rsidRPr="004B0DC1">
        <w:t>“(2) The Minister may grant the Commissioner leave of absence, other than recreation leave, on the terms and conditions as to remuneration or otherwise that the Minister determines.</w:t>
      </w:r>
    </w:p>
    <w:p w14:paraId="30E9750B" w14:textId="77777777" w:rsidR="00D16C6D" w:rsidRPr="004B0DC1" w:rsidRDefault="00951FF5" w:rsidP="00C24017">
      <w:pPr>
        <w:pStyle w:val="Bodytext90"/>
        <w:spacing w:before="120" w:after="60" w:line="240" w:lineRule="auto"/>
        <w:jc w:val="both"/>
        <w:rPr>
          <w:sz w:val="22"/>
        </w:rPr>
      </w:pPr>
      <w:r w:rsidRPr="004B0DC1">
        <w:rPr>
          <w:sz w:val="22"/>
        </w:rPr>
        <w:t>Resignation of Commissioner</w:t>
      </w:r>
    </w:p>
    <w:p w14:paraId="073C0542" w14:textId="77777777" w:rsidR="00D16C6D" w:rsidRPr="004B0DC1" w:rsidRDefault="00951FF5" w:rsidP="000E7D99">
      <w:pPr>
        <w:pStyle w:val="BodyText1"/>
        <w:spacing w:before="120" w:line="240" w:lineRule="auto"/>
        <w:ind w:firstLine="270"/>
        <w:jc w:val="both"/>
      </w:pPr>
      <w:r w:rsidRPr="004B0DC1">
        <w:t>“12. The Commissioner may resign his or her office by writing signed by him or her and delivered to the Minister.</w:t>
      </w:r>
    </w:p>
    <w:p w14:paraId="24A27BC9" w14:textId="77777777" w:rsidR="00D16C6D" w:rsidRPr="004B0DC1" w:rsidRDefault="00951FF5" w:rsidP="000E7D99">
      <w:pPr>
        <w:pStyle w:val="Bodytext90"/>
        <w:spacing w:before="120" w:after="60" w:line="240" w:lineRule="auto"/>
        <w:jc w:val="both"/>
        <w:rPr>
          <w:sz w:val="22"/>
        </w:rPr>
      </w:pPr>
      <w:r w:rsidRPr="004B0DC1">
        <w:rPr>
          <w:sz w:val="22"/>
        </w:rPr>
        <w:t>Ending of appointment of Commissioner</w:t>
      </w:r>
    </w:p>
    <w:p w14:paraId="08739A73" w14:textId="77777777" w:rsidR="00D16C6D" w:rsidRPr="004B0DC1" w:rsidRDefault="00951FF5" w:rsidP="000E7D99">
      <w:pPr>
        <w:pStyle w:val="BodyText1"/>
        <w:spacing w:before="120" w:line="240" w:lineRule="auto"/>
        <w:ind w:firstLine="270"/>
        <w:jc w:val="both"/>
      </w:pPr>
      <w:r w:rsidRPr="004B0DC1">
        <w:t xml:space="preserve">“13.(1) The Minister may end the appointment of the Commissioner because of </w:t>
      </w:r>
      <w:proofErr w:type="spellStart"/>
      <w:r w:rsidRPr="004B0DC1">
        <w:t>misbehaviour</w:t>
      </w:r>
      <w:proofErr w:type="spellEnd"/>
      <w:r w:rsidRPr="004B0DC1">
        <w:t xml:space="preserve"> or physical or mental incapacity.</w:t>
      </w:r>
    </w:p>
    <w:p w14:paraId="55F8EBBE" w14:textId="77777777" w:rsidR="000E7D99" w:rsidRDefault="000E7D99">
      <w:pPr>
        <w:rPr>
          <w:rStyle w:val="Bodytext61"/>
          <w:rFonts w:eastAsia="Courier New"/>
        </w:rPr>
      </w:pPr>
      <w:r>
        <w:rPr>
          <w:rStyle w:val="Bodytext61"/>
          <w:rFonts w:eastAsia="Courier New"/>
          <w:i w:val="0"/>
          <w:iCs w:val="0"/>
        </w:rPr>
        <w:br w:type="page"/>
      </w:r>
    </w:p>
    <w:p w14:paraId="4978BA2E" w14:textId="77777777" w:rsidR="00D16C6D" w:rsidRPr="004B0DC1" w:rsidRDefault="00951FF5" w:rsidP="00457259">
      <w:pPr>
        <w:pStyle w:val="BodyText1"/>
        <w:spacing w:before="120" w:line="240" w:lineRule="auto"/>
        <w:ind w:firstLine="0"/>
        <w:jc w:val="center"/>
      </w:pPr>
      <w:r w:rsidRPr="000E7D99">
        <w:rPr>
          <w:b/>
        </w:rPr>
        <w:lastRenderedPageBreak/>
        <w:t>SCHEDULE</w:t>
      </w:r>
      <w:r w:rsidRPr="004B0DC1">
        <w:t>—continued</w:t>
      </w:r>
    </w:p>
    <w:p w14:paraId="378B4E9A" w14:textId="77777777" w:rsidR="00D16C6D" w:rsidRPr="004B0DC1" w:rsidRDefault="00951FF5" w:rsidP="000E7D99">
      <w:pPr>
        <w:pStyle w:val="BodyText1"/>
        <w:spacing w:line="240" w:lineRule="auto"/>
        <w:ind w:firstLine="333"/>
        <w:jc w:val="both"/>
      </w:pPr>
      <w:r w:rsidRPr="004B0DC1">
        <w:t>“(2) If the Commissioner:</w:t>
      </w:r>
    </w:p>
    <w:p w14:paraId="76534641" w14:textId="77777777" w:rsidR="00D16C6D" w:rsidRPr="004B0DC1" w:rsidRDefault="000E7D99" w:rsidP="000E7D99">
      <w:pPr>
        <w:pStyle w:val="BodyText1"/>
        <w:spacing w:before="120" w:line="240" w:lineRule="auto"/>
        <w:ind w:left="693" w:hanging="333"/>
        <w:jc w:val="both"/>
      </w:pPr>
      <w:r>
        <w:t xml:space="preserve">(a) </w:t>
      </w:r>
      <w:r w:rsidR="00951FF5" w:rsidRPr="004B0DC1">
        <w:t>engages in paid employment outside the duties of his or her office without the approval of the Minister; or</w:t>
      </w:r>
    </w:p>
    <w:p w14:paraId="73BB236C" w14:textId="77777777" w:rsidR="00D16C6D" w:rsidRPr="004B0DC1" w:rsidRDefault="000E7D99" w:rsidP="000E7D99">
      <w:pPr>
        <w:pStyle w:val="BodyText1"/>
        <w:spacing w:before="120" w:line="240" w:lineRule="auto"/>
        <w:ind w:left="693" w:hanging="333"/>
        <w:jc w:val="both"/>
      </w:pPr>
      <w:r>
        <w:t xml:space="preserve">(b) </w:t>
      </w:r>
      <w:r w:rsidR="00951FF5" w:rsidRPr="004B0DC1">
        <w:t>is absent from duty, except on leave of absence, for 14 consecutive days or 28 days in any 12 months; or</w:t>
      </w:r>
    </w:p>
    <w:p w14:paraId="6D4AD128" w14:textId="77777777" w:rsidR="00D16C6D" w:rsidRPr="004B0DC1" w:rsidRDefault="000E7D99" w:rsidP="000E7D99">
      <w:pPr>
        <w:pStyle w:val="BodyText1"/>
        <w:spacing w:before="120" w:line="240" w:lineRule="auto"/>
        <w:ind w:left="693" w:hanging="333"/>
        <w:jc w:val="both"/>
      </w:pPr>
      <w:r>
        <w:t xml:space="preserve">(c) </w:t>
      </w:r>
      <w:r w:rsidR="00951FF5" w:rsidRPr="004B0DC1">
        <w:t>becomes bankrupt or applies to take the benefit of any law for the relief of bankrupt or insolvent debtors, compounds with his or her creditors or makes an assignment of his or her remuneration for their benefit;</w:t>
      </w:r>
    </w:p>
    <w:p w14:paraId="6A46CD29" w14:textId="77777777" w:rsidR="00D16C6D" w:rsidRPr="004B0DC1" w:rsidRDefault="00951FF5" w:rsidP="000E7D99">
      <w:pPr>
        <w:pStyle w:val="BodyText1"/>
        <w:spacing w:before="120" w:line="240" w:lineRule="auto"/>
        <w:ind w:firstLine="0"/>
        <w:jc w:val="both"/>
      </w:pPr>
      <w:r w:rsidRPr="004B0DC1">
        <w:t>the Minister must end the Commissioner’s appointment.</w:t>
      </w:r>
    </w:p>
    <w:p w14:paraId="393991CF" w14:textId="77777777" w:rsidR="00D16C6D" w:rsidRPr="004B0DC1" w:rsidRDefault="00951FF5" w:rsidP="000E7D99">
      <w:pPr>
        <w:pStyle w:val="Bodytext90"/>
        <w:spacing w:before="120" w:after="60" w:line="240" w:lineRule="auto"/>
        <w:jc w:val="both"/>
        <w:rPr>
          <w:sz w:val="22"/>
        </w:rPr>
      </w:pPr>
      <w:r w:rsidRPr="004B0DC1">
        <w:rPr>
          <w:sz w:val="22"/>
        </w:rPr>
        <w:t>Terms and conditions not provided for by Act</w:t>
      </w:r>
    </w:p>
    <w:p w14:paraId="709B8BF6" w14:textId="77777777" w:rsidR="00D16C6D" w:rsidRPr="004B0DC1" w:rsidRDefault="000D5C49" w:rsidP="000E7D99">
      <w:pPr>
        <w:pStyle w:val="BodyText1"/>
        <w:spacing w:before="120" w:line="240" w:lineRule="auto"/>
        <w:ind w:firstLine="333"/>
        <w:jc w:val="both"/>
      </w:pPr>
      <w:r>
        <w:t>“</w:t>
      </w:r>
      <w:r w:rsidR="00951FF5" w:rsidRPr="004B0DC1">
        <w:t>14. The Commissioner holds office on the terms and conditions (if any), in relation to matters not provided for by this Act, that are determined by the Minister.</w:t>
      </w:r>
    </w:p>
    <w:p w14:paraId="1A554D70" w14:textId="77777777" w:rsidR="00D16C6D" w:rsidRPr="004B0DC1" w:rsidRDefault="00951FF5" w:rsidP="000E7D99">
      <w:pPr>
        <w:pStyle w:val="Bodytext90"/>
        <w:spacing w:before="120" w:after="60" w:line="240" w:lineRule="auto"/>
        <w:jc w:val="both"/>
        <w:rPr>
          <w:sz w:val="22"/>
        </w:rPr>
      </w:pPr>
      <w:r w:rsidRPr="004B0DC1">
        <w:rPr>
          <w:sz w:val="22"/>
        </w:rPr>
        <w:t>Acting Commissioner</w:t>
      </w:r>
    </w:p>
    <w:p w14:paraId="558878E9" w14:textId="77777777" w:rsidR="00D16C6D" w:rsidRPr="004B0DC1" w:rsidRDefault="00951FF5" w:rsidP="000E7D99">
      <w:pPr>
        <w:pStyle w:val="BodyText1"/>
        <w:spacing w:before="120" w:line="240" w:lineRule="auto"/>
        <w:ind w:firstLine="333"/>
        <w:jc w:val="both"/>
      </w:pPr>
      <w:r w:rsidRPr="004B0DC1">
        <w:t>“15. The Minister may appoint a person to act as the Commissioner:</w:t>
      </w:r>
    </w:p>
    <w:p w14:paraId="6F935776" w14:textId="77777777" w:rsidR="00D16C6D" w:rsidRPr="004B0DC1" w:rsidRDefault="000E7D99" w:rsidP="000E7D99">
      <w:pPr>
        <w:pStyle w:val="BodyText1"/>
        <w:spacing w:before="120" w:line="240" w:lineRule="auto"/>
        <w:ind w:left="612" w:hanging="315"/>
        <w:jc w:val="both"/>
      </w:pPr>
      <w:r>
        <w:t xml:space="preserve">(a) </w:t>
      </w:r>
      <w:r w:rsidR="00951FF5" w:rsidRPr="004B0DC1">
        <w:t>during a vacancy in the office of Commissioner, whether or not an appointment has previously been made to the office; or</w:t>
      </w:r>
    </w:p>
    <w:p w14:paraId="028F3B63" w14:textId="77777777" w:rsidR="00D16C6D" w:rsidRPr="004B0DC1" w:rsidRDefault="000E7D99" w:rsidP="000E7D99">
      <w:pPr>
        <w:pStyle w:val="BodyText1"/>
        <w:spacing w:before="120" w:line="240" w:lineRule="auto"/>
        <w:ind w:left="612" w:hanging="315"/>
        <w:jc w:val="both"/>
      </w:pPr>
      <w:r>
        <w:t xml:space="preserve">(b) </w:t>
      </w:r>
      <w:r w:rsidR="00951FF5" w:rsidRPr="004B0DC1">
        <w:t>during any period, or during all periods, when the Commissioner is absent from Australia or, for any reason, is unable to perform the functions of his or her office.</w:t>
      </w:r>
    </w:p>
    <w:p w14:paraId="4BE5FFA2" w14:textId="77777777" w:rsidR="00D16C6D" w:rsidRPr="004B0DC1" w:rsidRDefault="00951FF5" w:rsidP="000E7D99">
      <w:pPr>
        <w:pStyle w:val="Bodytext90"/>
        <w:spacing w:before="120" w:after="60" w:line="240" w:lineRule="auto"/>
        <w:jc w:val="both"/>
        <w:rPr>
          <w:sz w:val="22"/>
        </w:rPr>
      </w:pPr>
      <w:r w:rsidRPr="004B0DC1">
        <w:rPr>
          <w:sz w:val="22"/>
        </w:rPr>
        <w:t>Staff</w:t>
      </w:r>
    </w:p>
    <w:p w14:paraId="518CCC4F" w14:textId="77777777" w:rsidR="00D16C6D" w:rsidRPr="004B0DC1" w:rsidRDefault="00951FF5" w:rsidP="000E7D99">
      <w:pPr>
        <w:pStyle w:val="BodyText1"/>
        <w:spacing w:before="120" w:line="240" w:lineRule="auto"/>
        <w:ind w:firstLine="333"/>
        <w:jc w:val="both"/>
      </w:pPr>
      <w:r w:rsidRPr="004B0DC1">
        <w:t xml:space="preserve">“16.(1) The staff required to assist in the performance of the Commission’s functions are to be people appointed or employed under the </w:t>
      </w:r>
      <w:r w:rsidRPr="004B0DC1">
        <w:rPr>
          <w:rStyle w:val="BodytextItalic"/>
        </w:rPr>
        <w:t>Public Service Act 1922.</w:t>
      </w:r>
    </w:p>
    <w:p w14:paraId="2186D71B" w14:textId="77777777" w:rsidR="00D16C6D" w:rsidRPr="004B0DC1" w:rsidRDefault="00951FF5" w:rsidP="000E7D99">
      <w:pPr>
        <w:pStyle w:val="BodyText1"/>
        <w:spacing w:before="120" w:line="240" w:lineRule="auto"/>
        <w:ind w:firstLine="333"/>
        <w:jc w:val="both"/>
      </w:pPr>
      <w:r w:rsidRPr="004B0DC1">
        <w:t xml:space="preserve">“(2) The Commissioner has all the powers of a Secretary under the </w:t>
      </w:r>
      <w:r w:rsidRPr="004B0DC1">
        <w:rPr>
          <w:rStyle w:val="BodytextItalic"/>
        </w:rPr>
        <w:t>Public Service Act 1922</w:t>
      </w:r>
      <w:r w:rsidRPr="004B0DC1">
        <w:t xml:space="preserve"> as they relate to the branch of the Australian Public Service comprising the Commission’s staff.</w:t>
      </w:r>
    </w:p>
    <w:p w14:paraId="4CF6E992" w14:textId="77777777" w:rsidR="00D16C6D" w:rsidRPr="004B0DC1" w:rsidRDefault="00951FF5" w:rsidP="000E7D99">
      <w:pPr>
        <w:pStyle w:val="Bodytext90"/>
        <w:spacing w:before="120" w:after="60" w:line="240" w:lineRule="auto"/>
        <w:jc w:val="both"/>
        <w:rPr>
          <w:sz w:val="22"/>
        </w:rPr>
      </w:pPr>
      <w:r w:rsidRPr="004B0DC1">
        <w:rPr>
          <w:sz w:val="22"/>
        </w:rPr>
        <w:t>Consultants</w:t>
      </w:r>
    </w:p>
    <w:p w14:paraId="376B59CF" w14:textId="77777777" w:rsidR="00D16C6D" w:rsidRPr="004B0DC1" w:rsidRDefault="00951FF5" w:rsidP="000E7D99">
      <w:pPr>
        <w:pStyle w:val="BodyText1"/>
        <w:spacing w:before="120" w:line="240" w:lineRule="auto"/>
        <w:ind w:firstLine="333"/>
        <w:jc w:val="both"/>
      </w:pPr>
      <w:r w:rsidRPr="004B0DC1">
        <w:t>“17.(1) The Commissioner may, on behalf of the Commonwealth, engage persons who have suitable qualifications and experience as consultants to the Commission.</w:t>
      </w:r>
    </w:p>
    <w:p w14:paraId="2C6136E3" w14:textId="77777777" w:rsidR="00D16C6D" w:rsidRPr="004B0DC1" w:rsidRDefault="00951FF5" w:rsidP="000E7D99">
      <w:pPr>
        <w:pStyle w:val="BodyText1"/>
        <w:spacing w:before="120" w:line="240" w:lineRule="auto"/>
        <w:ind w:firstLine="333"/>
        <w:jc w:val="both"/>
      </w:pPr>
      <w:r w:rsidRPr="004B0DC1">
        <w:t>“(2) The terms and conditions of engagement of the persons engaged under subsection (1) are those determined by the Commissioner.</w:t>
      </w:r>
    </w:p>
    <w:p w14:paraId="28837064" w14:textId="77777777" w:rsidR="000E7D99" w:rsidRDefault="000E7D99">
      <w:pPr>
        <w:rPr>
          <w:rStyle w:val="Bodytext61"/>
          <w:rFonts w:eastAsia="Courier New"/>
        </w:rPr>
      </w:pPr>
      <w:r>
        <w:rPr>
          <w:rStyle w:val="Bodytext61"/>
          <w:rFonts w:eastAsia="Courier New"/>
          <w:i w:val="0"/>
          <w:iCs w:val="0"/>
        </w:rPr>
        <w:br w:type="page"/>
      </w:r>
    </w:p>
    <w:p w14:paraId="557B8292" w14:textId="77777777" w:rsidR="000E7D99" w:rsidRDefault="00951FF5" w:rsidP="000E7D99">
      <w:pPr>
        <w:pStyle w:val="BodyText1"/>
        <w:spacing w:before="120" w:line="240" w:lineRule="auto"/>
        <w:ind w:firstLine="0"/>
        <w:jc w:val="center"/>
      </w:pPr>
      <w:r w:rsidRPr="000E7D99">
        <w:rPr>
          <w:b/>
        </w:rPr>
        <w:lastRenderedPageBreak/>
        <w:t>SCHEDULE</w:t>
      </w:r>
      <w:r w:rsidRPr="004B0DC1">
        <w:t xml:space="preserve">—continued </w:t>
      </w:r>
    </w:p>
    <w:p w14:paraId="7E4CF77F" w14:textId="77777777" w:rsidR="00D16C6D" w:rsidRPr="000E7D99" w:rsidRDefault="000E7D99" w:rsidP="000E7D99">
      <w:pPr>
        <w:pStyle w:val="BodyText1"/>
        <w:spacing w:before="120" w:line="240" w:lineRule="auto"/>
        <w:ind w:firstLine="0"/>
        <w:jc w:val="center"/>
        <w:rPr>
          <w:b/>
        </w:rPr>
      </w:pPr>
      <w:r w:rsidRPr="000E7D99">
        <w:rPr>
          <w:b/>
        </w:rPr>
        <w:t>“</w:t>
      </w:r>
      <w:r w:rsidR="00951FF5" w:rsidRPr="000E7D99">
        <w:rPr>
          <w:b/>
        </w:rPr>
        <w:t>PART 4—MISCELLANEOUS</w:t>
      </w:r>
    </w:p>
    <w:p w14:paraId="69BFC8E2" w14:textId="77777777" w:rsidR="00D16C6D" w:rsidRPr="004B0DC1" w:rsidRDefault="00951FF5" w:rsidP="000E7D99">
      <w:pPr>
        <w:pStyle w:val="Bodytext90"/>
        <w:spacing w:before="120" w:after="60" w:line="240" w:lineRule="auto"/>
        <w:jc w:val="both"/>
        <w:rPr>
          <w:sz w:val="22"/>
        </w:rPr>
      </w:pPr>
      <w:r w:rsidRPr="004B0DC1">
        <w:rPr>
          <w:sz w:val="22"/>
        </w:rPr>
        <w:t>Annual report</w:t>
      </w:r>
    </w:p>
    <w:p w14:paraId="7D8A68C7" w14:textId="77777777" w:rsidR="00D16C6D" w:rsidRPr="004B0DC1" w:rsidRDefault="00951FF5" w:rsidP="000E7D99">
      <w:pPr>
        <w:pStyle w:val="BodyText1"/>
        <w:spacing w:before="120" w:line="240" w:lineRule="auto"/>
        <w:ind w:firstLine="333"/>
        <w:jc w:val="both"/>
      </w:pPr>
      <w:r w:rsidRPr="004B0DC1">
        <w:t>“18.(1) The Commissioner must, as soon as practicable after each 30 June, prepare and give to the Minister a report of the Commission’s operations during the year that ended on that 30 June.</w:t>
      </w:r>
    </w:p>
    <w:p w14:paraId="41E2A2F6" w14:textId="77777777" w:rsidR="00D16C6D" w:rsidRPr="004B0DC1" w:rsidRDefault="00951FF5" w:rsidP="000E7D99">
      <w:pPr>
        <w:pStyle w:val="BodyText1"/>
        <w:spacing w:before="120" w:line="240" w:lineRule="auto"/>
        <w:ind w:firstLine="333"/>
        <w:jc w:val="both"/>
      </w:pPr>
      <w:r w:rsidRPr="004B0DC1">
        <w:t>“(2) The Minister must cause a copy of every report given to the Minister under subsection (1), to be laid before each House of the Parliament within 15 sitting days of that House after the report is received by the Minister.</w:t>
      </w:r>
    </w:p>
    <w:p w14:paraId="2E929D32" w14:textId="77777777" w:rsidR="00D16C6D" w:rsidRPr="004B0DC1" w:rsidRDefault="00951FF5" w:rsidP="000E7D99">
      <w:pPr>
        <w:pStyle w:val="Bodytext90"/>
        <w:spacing w:before="120" w:after="60" w:line="240" w:lineRule="auto"/>
        <w:jc w:val="both"/>
        <w:rPr>
          <w:sz w:val="22"/>
        </w:rPr>
      </w:pPr>
      <w:r w:rsidRPr="004B0DC1">
        <w:rPr>
          <w:sz w:val="22"/>
        </w:rPr>
        <w:t>Regulations</w:t>
      </w:r>
    </w:p>
    <w:p w14:paraId="49A55B3C" w14:textId="77777777" w:rsidR="00D16C6D" w:rsidRPr="004B0DC1" w:rsidRDefault="000D5C49" w:rsidP="000E7D99">
      <w:pPr>
        <w:pStyle w:val="BodyText1"/>
        <w:spacing w:before="120" w:line="240" w:lineRule="auto"/>
        <w:ind w:firstLine="333"/>
        <w:jc w:val="both"/>
      </w:pPr>
      <w:r>
        <w:t>“</w:t>
      </w:r>
      <w:r w:rsidR="00951FF5" w:rsidRPr="004B0DC1">
        <w:t>19. The Governor-General may make regulations prescribing matters:</w:t>
      </w:r>
    </w:p>
    <w:p w14:paraId="67A9DEFE" w14:textId="77777777" w:rsidR="00D16C6D" w:rsidRPr="004B0DC1" w:rsidRDefault="000E7D99" w:rsidP="000E7D99">
      <w:pPr>
        <w:pStyle w:val="BodyText1"/>
        <w:spacing w:before="120" w:line="240" w:lineRule="auto"/>
        <w:ind w:firstLine="360"/>
        <w:jc w:val="both"/>
      </w:pPr>
      <w:r>
        <w:t xml:space="preserve">(a) </w:t>
      </w:r>
      <w:r w:rsidR="00951FF5" w:rsidRPr="004B0DC1">
        <w:t>required or permitted by this Act to be prescribed; or</w:t>
      </w:r>
    </w:p>
    <w:p w14:paraId="7ADC9A13" w14:textId="77777777" w:rsidR="00D16C6D" w:rsidRPr="004B0DC1" w:rsidRDefault="000E7D99" w:rsidP="000E7D99">
      <w:pPr>
        <w:pStyle w:val="BodyText1"/>
        <w:spacing w:before="120" w:line="240" w:lineRule="auto"/>
        <w:ind w:firstLine="360"/>
        <w:jc w:val="both"/>
      </w:pPr>
      <w:r>
        <w:t xml:space="preserve">(b) </w:t>
      </w:r>
      <w:r w:rsidR="00951FF5" w:rsidRPr="004B0DC1">
        <w:t>necessary or convenient to be prescribed for carrying out or giving effect to this Act.</w:t>
      </w:r>
    </w:p>
    <w:p w14:paraId="7C0FC901" w14:textId="77777777" w:rsidR="00D16C6D" w:rsidRPr="004B0DC1" w:rsidRDefault="00951FF5" w:rsidP="000E7D99">
      <w:pPr>
        <w:pStyle w:val="Bodytext90"/>
        <w:spacing w:before="120" w:after="60" w:line="240" w:lineRule="auto"/>
        <w:jc w:val="both"/>
        <w:rPr>
          <w:sz w:val="22"/>
        </w:rPr>
      </w:pPr>
      <w:r w:rsidRPr="004B0DC1">
        <w:rPr>
          <w:sz w:val="22"/>
        </w:rPr>
        <w:t>Transitional</w:t>
      </w:r>
    </w:p>
    <w:p w14:paraId="049F202E" w14:textId="77777777" w:rsidR="00D16C6D" w:rsidRPr="004B0DC1" w:rsidRDefault="00951FF5" w:rsidP="000E7D99">
      <w:pPr>
        <w:pStyle w:val="BodyText1"/>
        <w:spacing w:before="120" w:line="240" w:lineRule="auto"/>
        <w:ind w:firstLine="333"/>
        <w:jc w:val="both"/>
        <w:sectPr w:rsidR="00D16C6D" w:rsidRPr="004B0DC1" w:rsidSect="00112257">
          <w:pgSz w:w="12240" w:h="15840" w:code="1"/>
          <w:pgMar w:top="1440" w:right="1440" w:bottom="1440" w:left="1440" w:header="720" w:footer="0" w:gutter="0"/>
          <w:cols w:space="720"/>
          <w:noEndnote/>
          <w:titlePg/>
          <w:docGrid w:linePitch="360"/>
        </w:sectPr>
      </w:pPr>
      <w:r w:rsidRPr="004B0DC1">
        <w:t>“20. In any Act, in any instrument under an Act, in any award or other industrial determination or order or any industrial agreement, in any other order (whether executive, judicial or otherwise), in any contract, in any pleading in, or process issued in connection with, any legal proceedings or in any other instrument, a reference to the Economic Planning Advisory Council is taken, except in relation to matters that occurred before the commencement of this section, to be a reference to the Commission.”.</w:t>
      </w:r>
    </w:p>
    <w:p w14:paraId="67A23F14" w14:textId="77777777" w:rsidR="000E7D99" w:rsidRDefault="000E7D99">
      <w:pPr>
        <w:rPr>
          <w:rStyle w:val="Bodytext61"/>
          <w:rFonts w:eastAsia="Courier New"/>
        </w:rPr>
      </w:pPr>
      <w:r>
        <w:rPr>
          <w:rStyle w:val="Bodytext61"/>
          <w:rFonts w:eastAsia="Courier New"/>
          <w:i w:val="0"/>
          <w:iCs w:val="0"/>
        </w:rPr>
        <w:lastRenderedPageBreak/>
        <w:br w:type="page"/>
      </w:r>
    </w:p>
    <w:p w14:paraId="565ACF36" w14:textId="77777777" w:rsidR="00D16C6D" w:rsidRPr="004B0DC1" w:rsidRDefault="00951FF5" w:rsidP="005B3D60">
      <w:pPr>
        <w:pStyle w:val="Bodytext90"/>
        <w:spacing w:before="120" w:line="240" w:lineRule="auto"/>
        <w:jc w:val="center"/>
        <w:rPr>
          <w:sz w:val="22"/>
        </w:rPr>
      </w:pPr>
      <w:r w:rsidRPr="004B0DC1">
        <w:rPr>
          <w:sz w:val="22"/>
        </w:rPr>
        <w:lastRenderedPageBreak/>
        <w:t>SCHEDULE—</w:t>
      </w:r>
      <w:r w:rsidRPr="00251148">
        <w:rPr>
          <w:b w:val="0"/>
          <w:sz w:val="22"/>
        </w:rPr>
        <w:t>continued</w:t>
      </w:r>
    </w:p>
    <w:p w14:paraId="74CC2880" w14:textId="77777777" w:rsidR="00D16C6D" w:rsidRPr="004B0DC1" w:rsidRDefault="00951FF5" w:rsidP="005B3D60">
      <w:pPr>
        <w:pStyle w:val="Bodytext90"/>
        <w:spacing w:before="120" w:line="240" w:lineRule="auto"/>
        <w:jc w:val="center"/>
        <w:rPr>
          <w:sz w:val="22"/>
        </w:rPr>
      </w:pPr>
      <w:r w:rsidRPr="004B0DC1">
        <w:rPr>
          <w:sz w:val="22"/>
        </w:rPr>
        <w:t>PART 2—AMENDMENTS OF THE PARLIAMENTARY ALLOWANCES ACT 1952</w:t>
      </w:r>
    </w:p>
    <w:p w14:paraId="573AA731" w14:textId="77777777" w:rsidR="00D16C6D" w:rsidRPr="005B3D60" w:rsidRDefault="005B3D60" w:rsidP="000D5C49">
      <w:pPr>
        <w:pStyle w:val="BodyText1"/>
        <w:spacing w:before="120" w:line="240" w:lineRule="auto"/>
        <w:ind w:firstLine="0"/>
        <w:jc w:val="both"/>
        <w:rPr>
          <w:b/>
        </w:rPr>
      </w:pPr>
      <w:r>
        <w:rPr>
          <w:b/>
        </w:rPr>
        <w:t xml:space="preserve">6. </w:t>
      </w:r>
      <w:r w:rsidR="00951FF5" w:rsidRPr="005B3D60">
        <w:rPr>
          <w:b/>
        </w:rPr>
        <w:t>Paragraphs 3(2)(a) and (b):</w:t>
      </w:r>
    </w:p>
    <w:p w14:paraId="002CE3D6" w14:textId="77777777" w:rsidR="00D16C6D" w:rsidRPr="004B0DC1" w:rsidRDefault="00951FF5" w:rsidP="000D5C49">
      <w:pPr>
        <w:pStyle w:val="BodyText1"/>
        <w:spacing w:before="120" w:line="240" w:lineRule="auto"/>
        <w:ind w:firstLine="270"/>
        <w:jc w:val="both"/>
      </w:pPr>
      <w:r w:rsidRPr="004B0DC1">
        <w:t>After “he” insert “or she”.</w:t>
      </w:r>
    </w:p>
    <w:p w14:paraId="552D44D5" w14:textId="4BF52DA1" w:rsidR="00D16C6D" w:rsidRPr="005B3D60" w:rsidRDefault="005B3D60" w:rsidP="000D5C49">
      <w:pPr>
        <w:pStyle w:val="BodyText1"/>
        <w:spacing w:before="120" w:line="240" w:lineRule="auto"/>
        <w:ind w:firstLine="0"/>
        <w:jc w:val="both"/>
        <w:rPr>
          <w:b/>
        </w:rPr>
      </w:pPr>
      <w:r w:rsidRPr="005B3D60">
        <w:rPr>
          <w:b/>
        </w:rPr>
        <w:t>7.</w:t>
      </w:r>
      <w:r>
        <w:rPr>
          <w:b/>
        </w:rPr>
        <w:t xml:space="preserve"> </w:t>
      </w:r>
      <w:r w:rsidR="00951FF5" w:rsidRPr="005B3D60">
        <w:rPr>
          <w:b/>
        </w:rPr>
        <w:t>Paragraphs 5(</w:t>
      </w:r>
      <w:r w:rsidR="00693015">
        <w:rPr>
          <w:b/>
        </w:rPr>
        <w:t>1</w:t>
      </w:r>
      <w:r w:rsidR="00951FF5" w:rsidRPr="005B3D60">
        <w:rPr>
          <w:b/>
        </w:rPr>
        <w:t>)(a), (b) and (c):</w:t>
      </w:r>
    </w:p>
    <w:p w14:paraId="44B69325" w14:textId="77777777" w:rsidR="00D16C6D" w:rsidRPr="004B0DC1" w:rsidRDefault="00951FF5" w:rsidP="000D5C49">
      <w:pPr>
        <w:pStyle w:val="BodyText1"/>
        <w:spacing w:before="120" w:line="240" w:lineRule="auto"/>
        <w:ind w:firstLine="270"/>
        <w:jc w:val="both"/>
      </w:pPr>
      <w:r w:rsidRPr="004B0DC1">
        <w:t>After “his” insert “or her”.</w:t>
      </w:r>
    </w:p>
    <w:p w14:paraId="2B37CCA8" w14:textId="77777777" w:rsidR="00D16C6D" w:rsidRPr="005B3D60" w:rsidRDefault="005B3D60" w:rsidP="000D5C49">
      <w:pPr>
        <w:pStyle w:val="BodyText1"/>
        <w:spacing w:before="120" w:line="240" w:lineRule="auto"/>
        <w:ind w:firstLine="0"/>
        <w:jc w:val="both"/>
        <w:rPr>
          <w:b/>
        </w:rPr>
      </w:pPr>
      <w:r w:rsidRPr="005B3D60">
        <w:rPr>
          <w:b/>
        </w:rPr>
        <w:t xml:space="preserve">8. </w:t>
      </w:r>
      <w:r w:rsidR="00951FF5" w:rsidRPr="005B3D60">
        <w:rPr>
          <w:b/>
        </w:rPr>
        <w:t>Subsection 5A(1):</w:t>
      </w:r>
    </w:p>
    <w:p w14:paraId="16B3172F" w14:textId="77777777" w:rsidR="00D16C6D" w:rsidRPr="004B0DC1" w:rsidRDefault="00951FF5" w:rsidP="000D5C49">
      <w:pPr>
        <w:pStyle w:val="BodyText1"/>
        <w:spacing w:before="120" w:line="240" w:lineRule="auto"/>
        <w:ind w:firstLine="270"/>
        <w:jc w:val="both"/>
      </w:pPr>
      <w:r w:rsidRPr="004B0DC1">
        <w:t>After “his” insert “or her”.</w:t>
      </w:r>
    </w:p>
    <w:p w14:paraId="6F8D2ADB" w14:textId="77777777" w:rsidR="00D16C6D" w:rsidRPr="005B3D60" w:rsidRDefault="005B3D60" w:rsidP="000D5C49">
      <w:pPr>
        <w:pStyle w:val="BodyText1"/>
        <w:spacing w:before="120" w:line="240" w:lineRule="auto"/>
        <w:ind w:firstLine="0"/>
        <w:jc w:val="both"/>
        <w:rPr>
          <w:b/>
        </w:rPr>
      </w:pPr>
      <w:r w:rsidRPr="005B3D60">
        <w:rPr>
          <w:b/>
        </w:rPr>
        <w:t xml:space="preserve">9. </w:t>
      </w:r>
      <w:r w:rsidR="00951FF5" w:rsidRPr="005B3D60">
        <w:rPr>
          <w:b/>
        </w:rPr>
        <w:t>Subsection 5A(2):</w:t>
      </w:r>
    </w:p>
    <w:p w14:paraId="15B20A06" w14:textId="77777777" w:rsidR="00D16C6D" w:rsidRPr="004B0DC1" w:rsidRDefault="00951FF5" w:rsidP="000D5C49">
      <w:pPr>
        <w:pStyle w:val="BodyText1"/>
        <w:spacing w:before="120" w:line="240" w:lineRule="auto"/>
        <w:ind w:firstLine="270"/>
        <w:jc w:val="both"/>
      </w:pPr>
      <w:r w:rsidRPr="004B0DC1">
        <w:t>Omit “his re-election or, if he”, substitute “his or her re-election or, if he or she”.</w:t>
      </w:r>
    </w:p>
    <w:p w14:paraId="6A374266" w14:textId="37AAD0A6" w:rsidR="00D16C6D" w:rsidRPr="005B3D60" w:rsidRDefault="005B3D60" w:rsidP="000D5C49">
      <w:pPr>
        <w:pStyle w:val="BodyText1"/>
        <w:spacing w:before="120" w:line="240" w:lineRule="auto"/>
        <w:ind w:firstLine="0"/>
        <w:jc w:val="both"/>
        <w:rPr>
          <w:b/>
        </w:rPr>
      </w:pPr>
      <w:r w:rsidRPr="005B3D60">
        <w:rPr>
          <w:b/>
        </w:rPr>
        <w:t>10.</w:t>
      </w:r>
      <w:r w:rsidR="00951FF5" w:rsidRPr="005B3D60">
        <w:rPr>
          <w:b/>
        </w:rPr>
        <w:t>Paragraph 6(</w:t>
      </w:r>
      <w:r w:rsidR="00693015">
        <w:rPr>
          <w:b/>
        </w:rPr>
        <w:t>1</w:t>
      </w:r>
      <w:r w:rsidR="00951FF5" w:rsidRPr="005B3D60">
        <w:rPr>
          <w:b/>
        </w:rPr>
        <w:t>)(b):</w:t>
      </w:r>
    </w:p>
    <w:p w14:paraId="64FB2210" w14:textId="77777777" w:rsidR="00D16C6D" w:rsidRPr="004B0DC1" w:rsidRDefault="00951FF5" w:rsidP="000D5C49">
      <w:pPr>
        <w:pStyle w:val="BodyText1"/>
        <w:spacing w:before="120" w:line="240" w:lineRule="auto"/>
        <w:ind w:firstLine="270"/>
        <w:jc w:val="both"/>
      </w:pPr>
      <w:r w:rsidRPr="004B0DC1">
        <w:t>Omit “Chairman of Committees of the Senate or of the House of Representatives”, substitute “Deputy President and Chairman of Committees of the Senate or Deputy Speaker of the House of Representatives”.</w:t>
      </w:r>
    </w:p>
    <w:p w14:paraId="1156A5F1" w14:textId="77777777" w:rsidR="00D16C6D" w:rsidRPr="005B3D60" w:rsidRDefault="005B3D60" w:rsidP="000D5C49">
      <w:pPr>
        <w:pStyle w:val="BodyText1"/>
        <w:spacing w:before="120" w:line="240" w:lineRule="auto"/>
        <w:ind w:firstLine="0"/>
        <w:jc w:val="both"/>
        <w:rPr>
          <w:b/>
        </w:rPr>
      </w:pPr>
      <w:r w:rsidRPr="005B3D60">
        <w:rPr>
          <w:b/>
        </w:rPr>
        <w:t xml:space="preserve">11. </w:t>
      </w:r>
      <w:r w:rsidR="00951FF5" w:rsidRPr="005B3D60">
        <w:rPr>
          <w:b/>
        </w:rPr>
        <w:t>Subsections 6(4) and (5):</w:t>
      </w:r>
    </w:p>
    <w:p w14:paraId="4428D821" w14:textId="77777777" w:rsidR="00D16C6D" w:rsidRPr="004B0DC1" w:rsidRDefault="00951FF5" w:rsidP="000D5C49">
      <w:pPr>
        <w:pStyle w:val="BodyText1"/>
        <w:spacing w:before="120" w:line="240" w:lineRule="auto"/>
        <w:ind w:firstLine="270"/>
        <w:jc w:val="both"/>
      </w:pPr>
      <w:r w:rsidRPr="004B0DC1">
        <w:t>Omit, substitute:</w:t>
      </w:r>
    </w:p>
    <w:p w14:paraId="6DF85210" w14:textId="77777777" w:rsidR="00D16C6D" w:rsidRPr="004B0DC1" w:rsidRDefault="00951FF5" w:rsidP="000D5C49">
      <w:pPr>
        <w:pStyle w:val="BodyText1"/>
        <w:spacing w:before="120" w:line="240" w:lineRule="auto"/>
        <w:ind w:firstLine="270"/>
        <w:jc w:val="both"/>
      </w:pPr>
      <w:r w:rsidRPr="004B0DC1">
        <w:t>“(4) The allowances payable to a Deputy President and Chairman of Committees of the Senate who is re-elected at an election of the Senate are to be reckoned to and including the day next before the day on which his or her successor as Deputy President and Chairman of Committees of the Senate is chosen.</w:t>
      </w:r>
    </w:p>
    <w:p w14:paraId="6A71151D" w14:textId="77777777" w:rsidR="00D16C6D" w:rsidRPr="004B0DC1" w:rsidRDefault="00951FF5" w:rsidP="000D5C49">
      <w:pPr>
        <w:pStyle w:val="BodyText1"/>
        <w:spacing w:before="120" w:line="240" w:lineRule="auto"/>
        <w:ind w:firstLine="270"/>
        <w:jc w:val="both"/>
      </w:pPr>
      <w:r w:rsidRPr="004B0DC1">
        <w:t>“(5) The allowances payable to a Deputy Speaker of the House of Representatives who is re-elected at a general election of that House are to be reckoned to and including the day next before the day on which his or her successor as Deputy Speaker of that House is chosen.”.</w:t>
      </w:r>
    </w:p>
    <w:p w14:paraId="0F43E98E" w14:textId="77777777" w:rsidR="005B3D60" w:rsidRDefault="005B3D60">
      <w:pPr>
        <w:rPr>
          <w:rStyle w:val="Bodytext61"/>
          <w:rFonts w:eastAsia="Courier New"/>
        </w:rPr>
      </w:pPr>
      <w:r>
        <w:rPr>
          <w:rStyle w:val="Bodytext61"/>
          <w:rFonts w:eastAsia="Courier New"/>
          <w:i w:val="0"/>
          <w:iCs w:val="0"/>
        </w:rPr>
        <w:br w:type="page"/>
      </w:r>
    </w:p>
    <w:p w14:paraId="3B63B544" w14:textId="77777777" w:rsidR="00D16C6D" w:rsidRPr="004B0DC1" w:rsidRDefault="00951FF5" w:rsidP="005B3D60">
      <w:pPr>
        <w:pStyle w:val="BodyText1"/>
        <w:spacing w:before="120" w:line="240" w:lineRule="auto"/>
        <w:ind w:firstLine="0"/>
        <w:jc w:val="center"/>
      </w:pPr>
      <w:r w:rsidRPr="005B3D60">
        <w:rPr>
          <w:b/>
        </w:rPr>
        <w:lastRenderedPageBreak/>
        <w:t>SCHEDULE</w:t>
      </w:r>
      <w:r w:rsidRPr="004B0DC1">
        <w:t>—continued</w:t>
      </w:r>
    </w:p>
    <w:p w14:paraId="7B2DD2E2" w14:textId="77777777" w:rsidR="00D16C6D" w:rsidRPr="005B3D60" w:rsidRDefault="00951FF5" w:rsidP="005B3D60">
      <w:pPr>
        <w:pStyle w:val="BodyText1"/>
        <w:spacing w:before="120" w:line="240" w:lineRule="auto"/>
        <w:ind w:firstLine="0"/>
        <w:jc w:val="center"/>
        <w:rPr>
          <w:b/>
        </w:rPr>
      </w:pPr>
      <w:r w:rsidRPr="005B3D60">
        <w:rPr>
          <w:b/>
        </w:rPr>
        <w:t>PART 3—AMENDMENT OF THE PARLIAMENTARY PRESIDING OFFICERS ACT 1965</w:t>
      </w:r>
    </w:p>
    <w:p w14:paraId="2800187F" w14:textId="77777777" w:rsidR="00D16C6D" w:rsidRPr="005B3D60" w:rsidRDefault="005B3D60" w:rsidP="000D5C49">
      <w:pPr>
        <w:pStyle w:val="BodyText1"/>
        <w:spacing w:before="120" w:line="240" w:lineRule="auto"/>
        <w:ind w:firstLine="0"/>
        <w:jc w:val="both"/>
        <w:rPr>
          <w:b/>
        </w:rPr>
      </w:pPr>
      <w:r w:rsidRPr="005B3D60">
        <w:rPr>
          <w:b/>
        </w:rPr>
        <w:t>12.</w:t>
      </w:r>
      <w:r>
        <w:rPr>
          <w:b/>
        </w:rPr>
        <w:t xml:space="preserve"> </w:t>
      </w:r>
      <w:r w:rsidR="00951FF5" w:rsidRPr="005B3D60">
        <w:rPr>
          <w:b/>
        </w:rPr>
        <w:t>Section 2 (definition of “Deputy Presiding Officer”):</w:t>
      </w:r>
    </w:p>
    <w:p w14:paraId="26B8854C" w14:textId="77777777" w:rsidR="00D16C6D" w:rsidRDefault="00951FF5" w:rsidP="005B3D60">
      <w:pPr>
        <w:pStyle w:val="BodyText1"/>
        <w:spacing w:before="120" w:line="240" w:lineRule="auto"/>
        <w:ind w:firstLine="270"/>
        <w:jc w:val="both"/>
      </w:pPr>
      <w:r w:rsidRPr="004B0DC1">
        <w:t>Omit from paragraph (b) “and Chairman of Committees”.</w:t>
      </w:r>
    </w:p>
    <w:p w14:paraId="0FDE8130" w14:textId="77777777" w:rsidR="005B3D60" w:rsidRDefault="005B3D60">
      <w:pPr>
        <w:rPr>
          <w:rStyle w:val="Bodytext61"/>
          <w:rFonts w:eastAsia="Courier New"/>
        </w:rPr>
      </w:pPr>
      <w:r>
        <w:rPr>
          <w:rStyle w:val="Bodytext61"/>
          <w:rFonts w:eastAsia="Courier New"/>
          <w:i w:val="0"/>
          <w:iCs w:val="0"/>
        </w:rPr>
        <w:br w:type="page"/>
      </w:r>
    </w:p>
    <w:p w14:paraId="660EDA56" w14:textId="77777777" w:rsidR="005B3D60" w:rsidRDefault="00951FF5" w:rsidP="00457259">
      <w:pPr>
        <w:pStyle w:val="BodyText1"/>
        <w:spacing w:before="120" w:line="240" w:lineRule="auto"/>
        <w:ind w:firstLine="0"/>
        <w:jc w:val="center"/>
      </w:pPr>
      <w:r w:rsidRPr="005B3D60">
        <w:rPr>
          <w:b/>
        </w:rPr>
        <w:lastRenderedPageBreak/>
        <w:t>SCHEDULE</w:t>
      </w:r>
      <w:r w:rsidRPr="004B0DC1">
        <w:t>—continued</w:t>
      </w:r>
    </w:p>
    <w:p w14:paraId="62DB1585" w14:textId="77777777" w:rsidR="00D16C6D" w:rsidRPr="005B3D60" w:rsidRDefault="00951FF5" w:rsidP="005B3D60">
      <w:pPr>
        <w:pStyle w:val="BodyText1"/>
        <w:spacing w:before="120" w:line="240" w:lineRule="auto"/>
        <w:ind w:firstLine="0"/>
        <w:jc w:val="center"/>
        <w:rPr>
          <w:b/>
        </w:rPr>
      </w:pPr>
      <w:r w:rsidRPr="005B3D60">
        <w:rPr>
          <w:b/>
        </w:rPr>
        <w:t>PART 4—AMENDMENTS OF THE PUBLIC SERVICE ACT 1922</w:t>
      </w:r>
    </w:p>
    <w:p w14:paraId="09D567F6" w14:textId="77777777" w:rsidR="00D16C6D" w:rsidRPr="005B3D60" w:rsidRDefault="005B3D60" w:rsidP="00457259">
      <w:pPr>
        <w:pStyle w:val="BodyText1"/>
        <w:tabs>
          <w:tab w:val="left" w:pos="333"/>
        </w:tabs>
        <w:spacing w:before="120" w:line="240" w:lineRule="auto"/>
        <w:ind w:firstLine="0"/>
        <w:jc w:val="both"/>
        <w:rPr>
          <w:b/>
        </w:rPr>
      </w:pPr>
      <w:r w:rsidRPr="005B3D60">
        <w:rPr>
          <w:b/>
        </w:rPr>
        <w:t>13.</w:t>
      </w:r>
      <w:r>
        <w:rPr>
          <w:b/>
        </w:rPr>
        <w:t xml:space="preserve"> </w:t>
      </w:r>
      <w:r w:rsidR="00951FF5" w:rsidRPr="005B3D60">
        <w:rPr>
          <w:b/>
        </w:rPr>
        <w:t>Subsections 9(7H), (7J) and (7K):</w:t>
      </w:r>
    </w:p>
    <w:p w14:paraId="5B01F745" w14:textId="77777777" w:rsidR="00D16C6D" w:rsidRPr="004B0DC1" w:rsidRDefault="00951FF5" w:rsidP="005B3D60">
      <w:pPr>
        <w:pStyle w:val="BodyText1"/>
        <w:spacing w:before="120" w:line="240" w:lineRule="auto"/>
        <w:ind w:firstLine="252"/>
        <w:jc w:val="both"/>
      </w:pPr>
      <w:r w:rsidRPr="004B0DC1">
        <w:t>Omit, substitute:</w:t>
      </w:r>
    </w:p>
    <w:p w14:paraId="75780707" w14:textId="77777777" w:rsidR="00D16C6D" w:rsidRPr="004B0DC1" w:rsidRDefault="00951FF5" w:rsidP="005B3D60">
      <w:pPr>
        <w:pStyle w:val="BodyText1"/>
        <w:spacing w:before="120" w:line="240" w:lineRule="auto"/>
        <w:ind w:firstLine="252"/>
        <w:jc w:val="both"/>
      </w:pPr>
      <w:r w:rsidRPr="004B0DC1">
        <w:t>“(7H) The President or the Speaker, or the President and the Speaker, as the case may be, may, by signed writing, delegate to an officer or employee of the Parliament all or any of his, her or their powers, as the case may be, under this Act (other than the powers to make recommendations to the Governor-General under subsections (1), (6) and (7G)).”.</w:t>
      </w:r>
    </w:p>
    <w:p w14:paraId="18B28624" w14:textId="77777777" w:rsidR="00D16C6D" w:rsidRPr="005B3D60" w:rsidRDefault="005B3D60" w:rsidP="00457259">
      <w:pPr>
        <w:pStyle w:val="BodyText1"/>
        <w:spacing w:before="120" w:line="240" w:lineRule="auto"/>
        <w:ind w:firstLine="0"/>
        <w:jc w:val="both"/>
        <w:rPr>
          <w:b/>
        </w:rPr>
      </w:pPr>
      <w:r w:rsidRPr="005B3D60">
        <w:rPr>
          <w:b/>
        </w:rPr>
        <w:t xml:space="preserve">14. </w:t>
      </w:r>
      <w:r w:rsidR="00951FF5" w:rsidRPr="005B3D60">
        <w:rPr>
          <w:b/>
        </w:rPr>
        <w:t>Subsection 9(2AA):</w:t>
      </w:r>
    </w:p>
    <w:p w14:paraId="13D0CA74" w14:textId="77777777" w:rsidR="00D16C6D" w:rsidRPr="004B0DC1" w:rsidRDefault="00951FF5" w:rsidP="005765F3">
      <w:pPr>
        <w:pStyle w:val="BodyText1"/>
        <w:spacing w:before="120" w:line="240" w:lineRule="auto"/>
        <w:ind w:firstLine="270"/>
        <w:jc w:val="both"/>
      </w:pPr>
      <w:r w:rsidRPr="004B0DC1">
        <w:t>After “this section” insert “and section 9AB”.</w:t>
      </w:r>
    </w:p>
    <w:p w14:paraId="4BF38088" w14:textId="77777777" w:rsidR="00D16C6D" w:rsidRPr="005765F3" w:rsidRDefault="005765F3" w:rsidP="00457259">
      <w:pPr>
        <w:pStyle w:val="BodyText1"/>
        <w:spacing w:before="120" w:line="240" w:lineRule="auto"/>
        <w:ind w:firstLine="0"/>
        <w:jc w:val="both"/>
        <w:rPr>
          <w:b/>
        </w:rPr>
      </w:pPr>
      <w:r w:rsidRPr="005765F3">
        <w:rPr>
          <w:b/>
        </w:rPr>
        <w:t xml:space="preserve">15. </w:t>
      </w:r>
      <w:r w:rsidR="00951FF5" w:rsidRPr="005765F3">
        <w:rPr>
          <w:b/>
        </w:rPr>
        <w:t>After section 9AA:</w:t>
      </w:r>
    </w:p>
    <w:p w14:paraId="5796CAAE" w14:textId="77777777" w:rsidR="00D16C6D" w:rsidRPr="004B0DC1" w:rsidRDefault="00951FF5" w:rsidP="005765F3">
      <w:pPr>
        <w:pStyle w:val="BodyText1"/>
        <w:spacing w:before="120" w:line="240" w:lineRule="auto"/>
        <w:ind w:firstLine="270"/>
        <w:jc w:val="both"/>
      </w:pPr>
      <w:r w:rsidRPr="005765F3">
        <w:t>I</w:t>
      </w:r>
      <w:r w:rsidRPr="004B0DC1">
        <w:t>nsert:</w:t>
      </w:r>
    </w:p>
    <w:p w14:paraId="4EEA56EB" w14:textId="77777777" w:rsidR="00D16C6D" w:rsidRPr="005765F3" w:rsidRDefault="00951FF5" w:rsidP="00457259">
      <w:pPr>
        <w:pStyle w:val="BodyText1"/>
        <w:spacing w:before="120" w:after="60" w:line="240" w:lineRule="auto"/>
        <w:ind w:firstLine="0"/>
        <w:jc w:val="both"/>
        <w:rPr>
          <w:b/>
        </w:rPr>
      </w:pPr>
      <w:r w:rsidRPr="005765F3">
        <w:rPr>
          <w:b/>
        </w:rPr>
        <w:t>Modifications of certain provisions in relation to officers of the Parliament</w:t>
      </w:r>
    </w:p>
    <w:p w14:paraId="0F1549D2" w14:textId="77777777" w:rsidR="00D16C6D" w:rsidRPr="004B0DC1" w:rsidRDefault="00951FF5" w:rsidP="005765F3">
      <w:pPr>
        <w:pStyle w:val="BodyText1"/>
        <w:spacing w:before="120" w:line="240" w:lineRule="auto"/>
        <w:ind w:firstLine="252"/>
        <w:jc w:val="both"/>
      </w:pPr>
      <w:r w:rsidRPr="004B0DC1">
        <w:t>“9AB.(1) In this section and in sections 50DAA, 50DA, 50DB, 50DC and 50G as those sections have effect as modified by Schedule 4:</w:t>
      </w:r>
    </w:p>
    <w:p w14:paraId="56DDC5F7" w14:textId="77777777" w:rsidR="00693015" w:rsidRDefault="00951FF5" w:rsidP="005765F3">
      <w:pPr>
        <w:pStyle w:val="BodyText1"/>
        <w:spacing w:before="120" w:line="240" w:lineRule="auto"/>
        <w:ind w:firstLine="0"/>
        <w:jc w:val="both"/>
      </w:pPr>
      <w:r w:rsidRPr="005765F3">
        <w:rPr>
          <w:b/>
        </w:rPr>
        <w:t>‘office of the Parliament’</w:t>
      </w:r>
      <w:r w:rsidRPr="004B0DC1">
        <w:t xml:space="preserve"> has the same </w:t>
      </w:r>
      <w:r w:rsidR="00693015">
        <w:t>meaning as in section 9;</w:t>
      </w:r>
    </w:p>
    <w:p w14:paraId="3EBDA59A" w14:textId="1500752B" w:rsidR="00D16C6D" w:rsidRPr="004B0DC1" w:rsidRDefault="00951FF5" w:rsidP="005765F3">
      <w:pPr>
        <w:pStyle w:val="BodyText1"/>
        <w:spacing w:before="120" w:line="240" w:lineRule="auto"/>
        <w:ind w:firstLine="0"/>
        <w:jc w:val="both"/>
      </w:pPr>
      <w:r w:rsidRPr="005765F3">
        <w:rPr>
          <w:b/>
        </w:rPr>
        <w:t>‘responsible authority’</w:t>
      </w:r>
      <w:r w:rsidRPr="004B0DC1">
        <w:t xml:space="preserve"> means:</w:t>
      </w:r>
    </w:p>
    <w:p w14:paraId="0C86D426" w14:textId="77777777" w:rsidR="00D16C6D" w:rsidRPr="004B0DC1" w:rsidRDefault="005765F3" w:rsidP="005765F3">
      <w:pPr>
        <w:pStyle w:val="BodyText1"/>
        <w:spacing w:before="120" w:line="240" w:lineRule="auto"/>
        <w:ind w:firstLine="270"/>
        <w:jc w:val="both"/>
      </w:pPr>
      <w:r>
        <w:t xml:space="preserve">(a) </w:t>
      </w:r>
      <w:r w:rsidR="00951FF5" w:rsidRPr="004B0DC1">
        <w:t>in relation to a promotion to, or the creation of, an office of the Parliament:</w:t>
      </w:r>
    </w:p>
    <w:p w14:paraId="2B85690F" w14:textId="77777777" w:rsidR="00D16C6D" w:rsidRPr="004B0DC1" w:rsidRDefault="005765F3" w:rsidP="005765F3">
      <w:pPr>
        <w:pStyle w:val="BodyText1"/>
        <w:spacing w:before="120" w:line="240" w:lineRule="auto"/>
        <w:ind w:left="1125" w:hanging="270"/>
        <w:jc w:val="both"/>
      </w:pPr>
      <w:r>
        <w:t>(</w:t>
      </w:r>
      <w:proofErr w:type="spellStart"/>
      <w:r>
        <w:t>i</w:t>
      </w:r>
      <w:proofErr w:type="spellEnd"/>
      <w:r>
        <w:t xml:space="preserve">) </w:t>
      </w:r>
      <w:r w:rsidR="00951FF5" w:rsidRPr="004B0DC1">
        <w:t>if the office is, or is to be, an office in the Department of the Senate—the President of the Senate; or</w:t>
      </w:r>
    </w:p>
    <w:p w14:paraId="381C2138" w14:textId="77777777" w:rsidR="00D16C6D" w:rsidRPr="004B0DC1" w:rsidRDefault="005765F3" w:rsidP="005765F3">
      <w:pPr>
        <w:pStyle w:val="BodyText1"/>
        <w:spacing w:before="120" w:line="240" w:lineRule="auto"/>
        <w:ind w:left="1125" w:hanging="315"/>
        <w:jc w:val="both"/>
      </w:pPr>
      <w:r>
        <w:t xml:space="preserve">(ii) </w:t>
      </w:r>
      <w:r w:rsidR="00951FF5" w:rsidRPr="004B0DC1">
        <w:t>if the office is, or i</w:t>
      </w:r>
      <w:r>
        <w:t xml:space="preserve">s to be, an office in the House </w:t>
      </w:r>
      <w:r w:rsidR="00951FF5" w:rsidRPr="004B0DC1">
        <w:t>of</w:t>
      </w:r>
      <w:r>
        <w:t xml:space="preserve"> </w:t>
      </w:r>
      <w:r w:rsidR="00951FF5" w:rsidRPr="004B0DC1">
        <w:t>Represent</w:t>
      </w:r>
      <w:r>
        <w:t xml:space="preserve">atives—the Speaker of the House </w:t>
      </w:r>
      <w:r w:rsidR="00951FF5" w:rsidRPr="004B0DC1">
        <w:t>of</w:t>
      </w:r>
      <w:r>
        <w:t xml:space="preserve"> </w:t>
      </w:r>
      <w:r w:rsidR="00951FF5" w:rsidRPr="004B0DC1">
        <w:t>Representatives; or</w:t>
      </w:r>
    </w:p>
    <w:p w14:paraId="2A3320BC" w14:textId="77777777" w:rsidR="00D16C6D" w:rsidRPr="004B0DC1" w:rsidRDefault="005765F3" w:rsidP="005765F3">
      <w:pPr>
        <w:pStyle w:val="BodyText1"/>
        <w:spacing w:before="120" w:line="240" w:lineRule="auto"/>
        <w:ind w:left="1125" w:hanging="387"/>
        <w:jc w:val="both"/>
      </w:pPr>
      <w:r>
        <w:t xml:space="preserve">(iii) </w:t>
      </w:r>
      <w:r w:rsidR="00951FF5" w:rsidRPr="004B0DC1">
        <w:t>if the office is, or is to be, an office in the Department of the Parliamentary Library, the Department of the Parliamentary Reporting Staff or the Joint House Department—the President of the Senate and the Speaker of the House of Representatives; or</w:t>
      </w:r>
    </w:p>
    <w:p w14:paraId="067B9967" w14:textId="77777777" w:rsidR="00D16C6D" w:rsidRPr="004B0DC1" w:rsidRDefault="005765F3" w:rsidP="005765F3">
      <w:pPr>
        <w:pStyle w:val="BodyText1"/>
        <w:spacing w:before="120" w:line="240" w:lineRule="auto"/>
        <w:ind w:firstLine="270"/>
        <w:jc w:val="both"/>
      </w:pPr>
      <w:r>
        <w:t xml:space="preserve">(b) </w:t>
      </w:r>
      <w:r w:rsidR="00951FF5" w:rsidRPr="004B0DC1">
        <w:t>in relation to a transfer to an office of the Parliament:</w:t>
      </w:r>
    </w:p>
    <w:p w14:paraId="1EEC83F2" w14:textId="6F93CCE1" w:rsidR="00D16C6D" w:rsidRPr="004B0DC1" w:rsidRDefault="005765F3" w:rsidP="00693015">
      <w:pPr>
        <w:pStyle w:val="BodyText1"/>
        <w:spacing w:before="120" w:line="240" w:lineRule="auto"/>
        <w:ind w:left="1125" w:hanging="270"/>
        <w:jc w:val="both"/>
      </w:pPr>
      <w:r>
        <w:t>(</w:t>
      </w:r>
      <w:proofErr w:type="spellStart"/>
      <w:r>
        <w:t>i</w:t>
      </w:r>
      <w:proofErr w:type="spellEnd"/>
      <w:r>
        <w:t xml:space="preserve">) </w:t>
      </w:r>
      <w:r w:rsidR="00951FF5" w:rsidRPr="004B0DC1">
        <w:t xml:space="preserve">if the </w:t>
      </w:r>
      <w:r>
        <w:t xml:space="preserve">transfer is to an office in the </w:t>
      </w:r>
      <w:r w:rsidR="00951FF5" w:rsidRPr="004B0DC1">
        <w:t>Department of the</w:t>
      </w:r>
      <w:r w:rsidR="00693015">
        <w:t xml:space="preserve"> </w:t>
      </w:r>
      <w:r w:rsidR="00951FF5" w:rsidRPr="004B0DC1">
        <w:t>Senate—the Clerk of the Senate; or</w:t>
      </w:r>
    </w:p>
    <w:p w14:paraId="728E8FD0" w14:textId="77777777" w:rsidR="00D16C6D" w:rsidRPr="004B0DC1" w:rsidRDefault="005765F3" w:rsidP="005765F3">
      <w:pPr>
        <w:pStyle w:val="BodyText1"/>
        <w:spacing w:before="120" w:line="240" w:lineRule="auto"/>
        <w:ind w:left="1125" w:hanging="333"/>
        <w:jc w:val="both"/>
      </w:pPr>
      <w:r>
        <w:t xml:space="preserve">(ii) </w:t>
      </w:r>
      <w:r w:rsidR="00951FF5" w:rsidRPr="004B0DC1">
        <w:t>if the transfer is to an office in the Department of the House of Representatives—the Clerk of the House of Representatives; or</w:t>
      </w:r>
    </w:p>
    <w:p w14:paraId="6230018B" w14:textId="77777777" w:rsidR="005765F3" w:rsidRDefault="005765F3">
      <w:pPr>
        <w:rPr>
          <w:rStyle w:val="Bodytext61"/>
          <w:rFonts w:eastAsia="Courier New"/>
        </w:rPr>
      </w:pPr>
      <w:r>
        <w:rPr>
          <w:rStyle w:val="Bodytext61"/>
          <w:rFonts w:eastAsia="Courier New"/>
          <w:i w:val="0"/>
          <w:iCs w:val="0"/>
        </w:rPr>
        <w:br w:type="page"/>
      </w:r>
    </w:p>
    <w:p w14:paraId="66B80963" w14:textId="77777777" w:rsidR="00D16C6D" w:rsidRPr="004B0DC1" w:rsidRDefault="00951FF5" w:rsidP="00EC1645">
      <w:pPr>
        <w:pStyle w:val="BodyText1"/>
        <w:spacing w:before="120" w:line="240" w:lineRule="auto"/>
        <w:ind w:firstLine="0"/>
        <w:jc w:val="center"/>
      </w:pPr>
      <w:r w:rsidRPr="00EC1645">
        <w:rPr>
          <w:b/>
        </w:rPr>
        <w:lastRenderedPageBreak/>
        <w:t>SCHEDULE</w:t>
      </w:r>
      <w:r w:rsidRPr="004B0DC1">
        <w:t>—continued</w:t>
      </w:r>
    </w:p>
    <w:p w14:paraId="3D4CF747" w14:textId="77777777" w:rsidR="00D16C6D" w:rsidRPr="004B0DC1" w:rsidRDefault="00EC1645" w:rsidP="00FB2EE0">
      <w:pPr>
        <w:pStyle w:val="BodyText1"/>
        <w:spacing w:before="120" w:line="240" w:lineRule="auto"/>
        <w:ind w:left="1170" w:hanging="450"/>
        <w:jc w:val="both"/>
      </w:pPr>
      <w:r>
        <w:t>(iii</w:t>
      </w:r>
      <w:r w:rsidR="00FB2EE0">
        <w:t xml:space="preserve">) </w:t>
      </w:r>
      <w:r w:rsidR="00951FF5" w:rsidRPr="004B0DC1">
        <w:t>if the transfer is to an office in the Department of the Parliamentary Library—the Parliamentary Librarian; or</w:t>
      </w:r>
    </w:p>
    <w:p w14:paraId="4CB7303D" w14:textId="77777777" w:rsidR="00D16C6D" w:rsidRPr="004B0DC1" w:rsidRDefault="00EC1645" w:rsidP="00FB2EE0">
      <w:pPr>
        <w:pStyle w:val="BodyText1"/>
        <w:spacing w:before="120" w:line="240" w:lineRule="auto"/>
        <w:ind w:left="1152" w:hanging="432"/>
        <w:jc w:val="both"/>
      </w:pPr>
      <w:r>
        <w:t xml:space="preserve">(iv) </w:t>
      </w:r>
      <w:r w:rsidR="00FB2EE0">
        <w:t xml:space="preserve"> </w:t>
      </w:r>
      <w:r w:rsidR="00951FF5" w:rsidRPr="004B0DC1">
        <w:t>if the transfer is to an office in the Department of the Parliamentary Reporting Staff—the Principal Parliamentary Reporter; or</w:t>
      </w:r>
    </w:p>
    <w:p w14:paraId="2AC27F02" w14:textId="77777777" w:rsidR="00D16C6D" w:rsidRPr="004B0DC1" w:rsidRDefault="00EC1645" w:rsidP="00FB2EE0">
      <w:pPr>
        <w:pStyle w:val="BodyText1"/>
        <w:spacing w:before="120" w:line="240" w:lineRule="auto"/>
        <w:ind w:left="1107" w:hanging="387"/>
        <w:jc w:val="both"/>
      </w:pPr>
      <w:r>
        <w:t xml:space="preserve">(v) </w:t>
      </w:r>
      <w:r w:rsidR="00FB2EE0">
        <w:t xml:space="preserve"> </w:t>
      </w:r>
      <w:r w:rsidR="00951FF5" w:rsidRPr="004B0DC1">
        <w:t>if the transfer is to an office in the Joint House Department—the Secretary of the Joint House Department; or</w:t>
      </w:r>
    </w:p>
    <w:p w14:paraId="028F4A52" w14:textId="77777777" w:rsidR="00D16C6D" w:rsidRPr="004B0DC1" w:rsidRDefault="00EC1645" w:rsidP="00FB2EE0">
      <w:pPr>
        <w:pStyle w:val="BodyText1"/>
        <w:spacing w:before="120" w:line="240" w:lineRule="auto"/>
        <w:ind w:left="567" w:hanging="297"/>
        <w:jc w:val="both"/>
      </w:pPr>
      <w:r>
        <w:t xml:space="preserve">(c) </w:t>
      </w:r>
      <w:r w:rsidR="00951FF5" w:rsidRPr="004B0DC1">
        <w:t>in relation to action that precedes a promotion or transfer to an office of the Parliament and may involve either a promotion or a transfer—the person or persons who, under paragraph (a), would be the responsible authority in relation to such a promotion and the person who, under paragraph (b), would be the responsible authority in relation to such a transfer.</w:t>
      </w:r>
    </w:p>
    <w:p w14:paraId="4E22D00E" w14:textId="77777777" w:rsidR="00D16C6D" w:rsidRPr="004B0DC1" w:rsidRDefault="00951FF5" w:rsidP="00454C72">
      <w:pPr>
        <w:pStyle w:val="BodyText1"/>
        <w:spacing w:before="120" w:line="240" w:lineRule="auto"/>
        <w:ind w:firstLine="270"/>
        <w:jc w:val="both"/>
      </w:pPr>
      <w:r w:rsidRPr="004B0DC1">
        <w:t>“(2) The application of the provisions of this Act referred to in column</w:t>
      </w:r>
      <w:r w:rsidR="00F548EB">
        <w:t xml:space="preserve"> </w:t>
      </w:r>
      <w:r w:rsidR="00FB2EE0">
        <w:t xml:space="preserve">1 </w:t>
      </w:r>
      <w:r w:rsidRPr="004B0DC1">
        <w:t>of Schedule 4 in relation to a promotion or transfer to, or the creation of, an office of the Parliament is subject to the modifications set out in columns</w:t>
      </w:r>
      <w:r w:rsidR="00454C72">
        <w:t xml:space="preserve"> </w:t>
      </w:r>
      <w:r w:rsidR="00FB2EE0">
        <w:t xml:space="preserve">2 </w:t>
      </w:r>
      <w:r w:rsidRPr="004B0DC1">
        <w:t>and 3 of that Schedule.”.</w:t>
      </w:r>
    </w:p>
    <w:p w14:paraId="28947FA2" w14:textId="77777777" w:rsidR="00D16C6D" w:rsidRPr="00FB2EE0" w:rsidRDefault="00FB2EE0" w:rsidP="00457259">
      <w:pPr>
        <w:pStyle w:val="BodyText1"/>
        <w:spacing w:before="120" w:line="240" w:lineRule="auto"/>
        <w:ind w:firstLine="0"/>
        <w:jc w:val="both"/>
        <w:rPr>
          <w:b/>
        </w:rPr>
      </w:pPr>
      <w:r w:rsidRPr="00FB2EE0">
        <w:rPr>
          <w:b/>
        </w:rPr>
        <w:t>16.</w:t>
      </w:r>
      <w:r>
        <w:rPr>
          <w:b/>
        </w:rPr>
        <w:t xml:space="preserve"> </w:t>
      </w:r>
      <w:r w:rsidR="00951FF5" w:rsidRPr="00FB2EE0">
        <w:rPr>
          <w:b/>
        </w:rPr>
        <w:t>Subsections 25(6) to (8):</w:t>
      </w:r>
    </w:p>
    <w:p w14:paraId="63F12C76" w14:textId="77777777" w:rsidR="00D16C6D" w:rsidRPr="004B0DC1" w:rsidRDefault="00951FF5" w:rsidP="00457259">
      <w:pPr>
        <w:pStyle w:val="BodyText1"/>
        <w:spacing w:before="120" w:line="240" w:lineRule="auto"/>
        <w:ind w:firstLine="252"/>
        <w:jc w:val="both"/>
      </w:pPr>
      <w:r w:rsidRPr="004B0DC1">
        <w:t>Omit, substitute:</w:t>
      </w:r>
    </w:p>
    <w:p w14:paraId="36439711" w14:textId="77777777" w:rsidR="00D16C6D" w:rsidRPr="004B0DC1" w:rsidRDefault="00951FF5" w:rsidP="0033706E">
      <w:pPr>
        <w:pStyle w:val="BodyText1"/>
        <w:spacing w:before="120" w:line="240" w:lineRule="auto"/>
        <w:ind w:firstLine="274"/>
        <w:jc w:val="both"/>
      </w:pPr>
      <w:r w:rsidRPr="004B0DC1">
        <w:t xml:space="preserve">“(6) Subject to subsections (8A) and (8B), the Secretary of a Department must, as soon as practicable after 30 June in each year, and in any event not later than 15 October in that year (the </w:t>
      </w:r>
      <w:r w:rsidRPr="00F548EB">
        <w:rPr>
          <w:b/>
        </w:rPr>
        <w:t>‘due date’</w:t>
      </w:r>
      <w:r w:rsidRPr="004B0DC1">
        <w:t>), prepare and give to the Minister administering the Department a report on the operation of the Department during the year that ended on that 30 June.</w:t>
      </w:r>
    </w:p>
    <w:p w14:paraId="5A0725BD" w14:textId="77777777" w:rsidR="00D16C6D" w:rsidRPr="004B0DC1" w:rsidRDefault="00951FF5" w:rsidP="0033706E">
      <w:pPr>
        <w:pStyle w:val="BodyText1"/>
        <w:spacing w:before="120" w:line="240" w:lineRule="auto"/>
        <w:ind w:firstLine="274"/>
        <w:jc w:val="both"/>
      </w:pPr>
      <w:r w:rsidRPr="004B0DC1">
        <w:t>“(7) A report prepared under subsection (6) must be in accordance with requirements from time to time presented to the Parliament by the Prime Minister after approval by the Joint Committee of Public Accounts.</w:t>
      </w:r>
    </w:p>
    <w:p w14:paraId="5F3FB733" w14:textId="77777777" w:rsidR="00D16C6D" w:rsidRPr="004B0DC1" w:rsidRDefault="00951FF5" w:rsidP="0033706E">
      <w:pPr>
        <w:pStyle w:val="BodyText1"/>
        <w:spacing w:before="120" w:line="240" w:lineRule="auto"/>
        <w:ind w:firstLine="274"/>
        <w:jc w:val="both"/>
      </w:pPr>
      <w:r w:rsidRPr="004B0DC1">
        <w:t>“(8) Subject to subsection (8C), the Minister administering a Department must cause a copy of a report given to him or her under subsection (6) to be laid before each House of the Parliament on or before 31 October in the year in which the report is given.</w:t>
      </w:r>
    </w:p>
    <w:p w14:paraId="2A63FCD1" w14:textId="77777777" w:rsidR="00D16C6D" w:rsidRPr="004B0DC1" w:rsidRDefault="00951FF5" w:rsidP="0033706E">
      <w:pPr>
        <w:pStyle w:val="BodyText1"/>
        <w:spacing w:before="120" w:line="240" w:lineRule="auto"/>
        <w:ind w:firstLine="274"/>
        <w:jc w:val="both"/>
      </w:pPr>
      <w:r w:rsidRPr="004B0DC1">
        <w:t>“(8A) If the Secretary of a Department is of the opinion that it will not be reasonably possible to prepare and give to the Minister administering the Department a report referred to in subsection (6) on or before the due date, the Secretary may, before that date, apply to the Minister for an extension of the period within which the report is to be prepared and given.</w:t>
      </w:r>
    </w:p>
    <w:p w14:paraId="58E696DF" w14:textId="77777777" w:rsidR="00D16C6D" w:rsidRPr="004B0DC1" w:rsidRDefault="00951FF5" w:rsidP="00FB2EE0">
      <w:pPr>
        <w:pStyle w:val="BodyText1"/>
        <w:spacing w:before="120" w:line="240" w:lineRule="auto"/>
        <w:ind w:firstLine="252"/>
        <w:jc w:val="both"/>
      </w:pPr>
      <w:r w:rsidRPr="004B0DC1">
        <w:t>“(8B) If the Secretary makes such an application:</w:t>
      </w:r>
    </w:p>
    <w:p w14:paraId="2136C4A7" w14:textId="77777777" w:rsidR="00FB2EE0" w:rsidRDefault="00FB2EE0">
      <w:pPr>
        <w:rPr>
          <w:rStyle w:val="Bodytext61"/>
          <w:rFonts w:eastAsia="Courier New"/>
        </w:rPr>
      </w:pPr>
      <w:r>
        <w:rPr>
          <w:rStyle w:val="Bodytext61"/>
          <w:rFonts w:eastAsia="Courier New"/>
          <w:i w:val="0"/>
          <w:iCs w:val="0"/>
        </w:rPr>
        <w:br w:type="page"/>
      </w:r>
    </w:p>
    <w:p w14:paraId="4D22F3C3" w14:textId="77777777" w:rsidR="00D16C6D" w:rsidRPr="004B0DC1" w:rsidRDefault="00951FF5" w:rsidP="00FB2EE0">
      <w:pPr>
        <w:pStyle w:val="BodyText1"/>
        <w:spacing w:before="120" w:line="240" w:lineRule="auto"/>
        <w:ind w:firstLine="0"/>
        <w:jc w:val="center"/>
      </w:pPr>
      <w:r w:rsidRPr="00FB2EE0">
        <w:rPr>
          <w:b/>
        </w:rPr>
        <w:lastRenderedPageBreak/>
        <w:t>SCHEDULE</w:t>
      </w:r>
      <w:r w:rsidRPr="004B0DC1">
        <w:t>—continued</w:t>
      </w:r>
    </w:p>
    <w:p w14:paraId="50EE696A" w14:textId="77777777" w:rsidR="00D16C6D" w:rsidRPr="004B0DC1" w:rsidRDefault="00FB2EE0" w:rsidP="00FB2EE0">
      <w:pPr>
        <w:pStyle w:val="BodyText1"/>
        <w:spacing w:before="120" w:line="240" w:lineRule="auto"/>
        <w:ind w:left="603" w:hanging="351"/>
        <w:jc w:val="both"/>
      </w:pPr>
      <w:r>
        <w:t xml:space="preserve">(a) </w:t>
      </w:r>
      <w:r w:rsidR="00951FF5" w:rsidRPr="004B0DC1">
        <w:t>the Secretary must give to the Minister a written statement explaining why, in the Secretary’s opinion, it will not be reasonably possible to prepare and give the report on or before the due date; and</w:t>
      </w:r>
    </w:p>
    <w:p w14:paraId="654EDEB9" w14:textId="77777777" w:rsidR="00D16C6D" w:rsidRPr="004B0DC1" w:rsidRDefault="00FB2EE0" w:rsidP="00FB2EE0">
      <w:pPr>
        <w:pStyle w:val="BodyText1"/>
        <w:spacing w:before="120" w:line="240" w:lineRule="auto"/>
        <w:ind w:left="603" w:hanging="351"/>
        <w:jc w:val="both"/>
      </w:pPr>
      <w:r>
        <w:t xml:space="preserve">(b) </w:t>
      </w:r>
      <w:r w:rsidR="00951FF5" w:rsidRPr="004B0DC1">
        <w:t>the Minister may grant any extension that he or she considers reasonable in the circumstances; and</w:t>
      </w:r>
    </w:p>
    <w:p w14:paraId="1DC34988" w14:textId="77777777" w:rsidR="00D16C6D" w:rsidRPr="004B0DC1" w:rsidRDefault="00FB2EE0" w:rsidP="00FB2EE0">
      <w:pPr>
        <w:pStyle w:val="BodyText1"/>
        <w:spacing w:before="120" w:line="240" w:lineRule="auto"/>
        <w:ind w:left="603" w:hanging="351"/>
        <w:jc w:val="both"/>
      </w:pPr>
      <w:r>
        <w:t xml:space="preserve">(c) </w:t>
      </w:r>
      <w:r w:rsidR="00951FF5" w:rsidRPr="004B0DC1">
        <w:t>the Secretary must prepare and give the report to the Minister within the period of extension.</w:t>
      </w:r>
    </w:p>
    <w:p w14:paraId="67E8B694" w14:textId="77777777" w:rsidR="00D16C6D" w:rsidRPr="004B0DC1" w:rsidRDefault="00951FF5" w:rsidP="0033706E">
      <w:pPr>
        <w:pStyle w:val="BodyText1"/>
        <w:spacing w:before="120" w:line="240" w:lineRule="auto"/>
        <w:ind w:firstLine="274"/>
        <w:jc w:val="both"/>
      </w:pPr>
      <w:r w:rsidRPr="004B0DC1">
        <w:t>“(8C) If the Minister is of the opinion that, having regard to the period of extension, it will not be reasonably possible to cause a copy of the report to be laid before each House of the Parliament on or before 31 October, the Minister must, on or before that date, cause to be laid before each House of the Parliament:</w:t>
      </w:r>
    </w:p>
    <w:p w14:paraId="65B1333D" w14:textId="77777777" w:rsidR="00D16C6D" w:rsidRPr="004B0DC1" w:rsidRDefault="00FB2EE0" w:rsidP="0033706E">
      <w:pPr>
        <w:pStyle w:val="BodyText1"/>
        <w:spacing w:before="120" w:line="240" w:lineRule="auto"/>
        <w:ind w:firstLine="274"/>
        <w:jc w:val="both"/>
      </w:pPr>
      <w:r>
        <w:t xml:space="preserve">(a) </w:t>
      </w:r>
      <w:r w:rsidR="00951FF5" w:rsidRPr="004B0DC1">
        <w:t>a copy of the statement given under paragraph (8B)(a) in respect of the application; and</w:t>
      </w:r>
    </w:p>
    <w:p w14:paraId="5A07A571" w14:textId="77777777" w:rsidR="00D16C6D" w:rsidRPr="004B0DC1" w:rsidRDefault="00FB2EE0" w:rsidP="0033706E">
      <w:pPr>
        <w:pStyle w:val="BodyText1"/>
        <w:spacing w:before="120" w:line="240" w:lineRule="auto"/>
        <w:ind w:firstLine="274"/>
        <w:jc w:val="both"/>
      </w:pPr>
      <w:r>
        <w:t xml:space="preserve">(b) </w:t>
      </w:r>
      <w:r w:rsidR="00951FF5" w:rsidRPr="004B0DC1">
        <w:t>a statement setting out:</w:t>
      </w:r>
    </w:p>
    <w:p w14:paraId="7262CAAC" w14:textId="77777777" w:rsidR="00D16C6D" w:rsidRPr="004B0DC1" w:rsidRDefault="00FB2EE0" w:rsidP="00FB2EE0">
      <w:pPr>
        <w:pStyle w:val="BodyText1"/>
        <w:spacing w:before="120" w:line="240" w:lineRule="auto"/>
        <w:ind w:firstLine="828"/>
        <w:jc w:val="both"/>
      </w:pPr>
      <w:r>
        <w:t>(</w:t>
      </w:r>
      <w:proofErr w:type="spellStart"/>
      <w:r>
        <w:t>i</w:t>
      </w:r>
      <w:proofErr w:type="spellEnd"/>
      <w:r>
        <w:t xml:space="preserve">) </w:t>
      </w:r>
      <w:r w:rsidR="00951FF5" w:rsidRPr="004B0DC1">
        <w:t>the period of extension granted; and</w:t>
      </w:r>
    </w:p>
    <w:p w14:paraId="53061488" w14:textId="77777777" w:rsidR="00D16C6D" w:rsidRPr="004B0DC1" w:rsidRDefault="00FB2EE0" w:rsidP="00FB2EE0">
      <w:pPr>
        <w:pStyle w:val="BodyText1"/>
        <w:spacing w:before="120" w:line="240" w:lineRule="auto"/>
        <w:ind w:firstLine="765"/>
        <w:jc w:val="both"/>
      </w:pPr>
      <w:r>
        <w:t xml:space="preserve">(ii) </w:t>
      </w:r>
      <w:r w:rsidR="00951FF5" w:rsidRPr="004B0DC1">
        <w:t>the Minister’s reasons for granting the extension; and</w:t>
      </w:r>
    </w:p>
    <w:p w14:paraId="2B4E7C8D" w14:textId="77777777" w:rsidR="00D16C6D" w:rsidRPr="004B0DC1" w:rsidRDefault="00FB2EE0" w:rsidP="00FB2EE0">
      <w:pPr>
        <w:pStyle w:val="BodyText1"/>
        <w:spacing w:before="120" w:line="240" w:lineRule="auto"/>
        <w:ind w:firstLine="720"/>
        <w:jc w:val="both"/>
      </w:pPr>
      <w:r>
        <w:t xml:space="preserve">(iii) </w:t>
      </w:r>
      <w:r w:rsidR="00951FF5" w:rsidRPr="004B0DC1">
        <w:t>the date on or before which the re</w:t>
      </w:r>
      <w:r>
        <w:t xml:space="preserve">port will be prepared and </w:t>
      </w:r>
      <w:proofErr w:type="spellStart"/>
      <w:r>
        <w:t>given;</w:t>
      </w:r>
      <w:r w:rsidR="00951FF5" w:rsidRPr="004B0DC1">
        <w:t>and</w:t>
      </w:r>
      <w:proofErr w:type="spellEnd"/>
    </w:p>
    <w:p w14:paraId="7D0CEA36" w14:textId="77777777" w:rsidR="00D16C6D" w:rsidRPr="004B0DC1" w:rsidRDefault="00FB2EE0" w:rsidP="00FB2EE0">
      <w:pPr>
        <w:pStyle w:val="BodyText1"/>
        <w:spacing w:before="120" w:line="240" w:lineRule="auto"/>
        <w:ind w:left="1098" w:hanging="378"/>
        <w:jc w:val="both"/>
      </w:pPr>
      <w:r>
        <w:t xml:space="preserve">(iv) </w:t>
      </w:r>
      <w:r w:rsidR="00951FF5" w:rsidRPr="004B0DC1">
        <w:t>the date (which must not be later than 7 days after the date referred to in subparagraph (iii)) on or before which a copy of the report will be laid before that House.</w:t>
      </w:r>
    </w:p>
    <w:p w14:paraId="73821446" w14:textId="77777777" w:rsidR="00D16C6D" w:rsidRPr="004B0DC1" w:rsidRDefault="00951FF5" w:rsidP="0033706E">
      <w:pPr>
        <w:pStyle w:val="BodyText1"/>
        <w:spacing w:before="120" w:line="240" w:lineRule="auto"/>
        <w:ind w:firstLine="274"/>
        <w:jc w:val="both"/>
      </w:pPr>
      <w:r w:rsidRPr="004B0DC1">
        <w:t>“(8D) If the Secretary of a Department fails to give a report to the Minister administering the Department on or before the date by which it is required by the preceding provisions to be given:</w:t>
      </w:r>
    </w:p>
    <w:p w14:paraId="6050A89B" w14:textId="77777777" w:rsidR="00D16C6D" w:rsidRPr="004B0DC1" w:rsidRDefault="00FB2EE0" w:rsidP="0033706E">
      <w:pPr>
        <w:pStyle w:val="BodyText1"/>
        <w:spacing w:before="120" w:line="240" w:lineRule="auto"/>
        <w:ind w:left="576" w:hanging="302"/>
        <w:jc w:val="both"/>
      </w:pPr>
      <w:r>
        <w:t xml:space="preserve">(a) </w:t>
      </w:r>
      <w:r w:rsidR="00951FF5" w:rsidRPr="004B0DC1">
        <w:t>the Secretary must, not later than 14 days after that date, give to the Minister a written statement explaining why the report was not given as required; and</w:t>
      </w:r>
    </w:p>
    <w:p w14:paraId="116120CC" w14:textId="77777777" w:rsidR="00D16C6D" w:rsidRPr="004B0DC1" w:rsidRDefault="00FB2EE0" w:rsidP="0033706E">
      <w:pPr>
        <w:pStyle w:val="BodyText1"/>
        <w:spacing w:before="120" w:line="240" w:lineRule="auto"/>
        <w:ind w:left="576" w:hanging="302"/>
        <w:jc w:val="both"/>
      </w:pPr>
      <w:r>
        <w:t xml:space="preserve">(b) </w:t>
      </w:r>
      <w:r w:rsidR="00951FF5" w:rsidRPr="004B0DC1">
        <w:t>the Minister must cause a copy of the statement to be laid before each House of the Parliament within 3 sitting days of that House after the day on which he or she receives the statement.</w:t>
      </w:r>
    </w:p>
    <w:p w14:paraId="5633E775" w14:textId="77777777" w:rsidR="00D16C6D" w:rsidRPr="004B0DC1" w:rsidRDefault="00951FF5" w:rsidP="0033706E">
      <w:pPr>
        <w:pStyle w:val="BodyText1"/>
        <w:spacing w:before="120" w:line="240" w:lineRule="auto"/>
        <w:ind w:firstLine="274"/>
        <w:jc w:val="both"/>
      </w:pPr>
      <w:r w:rsidRPr="004B0DC1">
        <w:t>“(8E) If:</w:t>
      </w:r>
    </w:p>
    <w:p w14:paraId="204359EF" w14:textId="77777777" w:rsidR="00D16C6D" w:rsidRPr="004B0DC1" w:rsidRDefault="00FB2EE0" w:rsidP="0033706E">
      <w:pPr>
        <w:pStyle w:val="BodyText1"/>
        <w:spacing w:before="120" w:line="240" w:lineRule="auto"/>
        <w:ind w:left="576" w:hanging="302"/>
        <w:jc w:val="both"/>
      </w:pPr>
      <w:r>
        <w:t xml:space="preserve">(a) </w:t>
      </w:r>
      <w:r w:rsidR="00951FF5" w:rsidRPr="004B0DC1">
        <w:t>a Minister is required by this section to cause a copy of a report, or a statement, to be laid before a House of the Parliament on or before a particular day; and</w:t>
      </w:r>
    </w:p>
    <w:p w14:paraId="52DDE4EA" w14:textId="77777777" w:rsidR="00D16C6D" w:rsidRPr="004B0DC1" w:rsidRDefault="00FB2EE0" w:rsidP="0033706E">
      <w:pPr>
        <w:pStyle w:val="BodyText1"/>
        <w:spacing w:before="120" w:line="240" w:lineRule="auto"/>
        <w:ind w:left="576" w:hanging="302"/>
        <w:jc w:val="both"/>
      </w:pPr>
      <w:r>
        <w:t xml:space="preserve">(b) </w:t>
      </w:r>
      <w:r w:rsidR="00951FF5" w:rsidRPr="004B0DC1">
        <w:t>it is not possible to cause the copy of the report, or the statement, to be laid before the House before that day; and</w:t>
      </w:r>
    </w:p>
    <w:p w14:paraId="25A3BC9A" w14:textId="77777777" w:rsidR="00D16C6D" w:rsidRPr="004B0DC1" w:rsidRDefault="00FB2EE0" w:rsidP="0033706E">
      <w:pPr>
        <w:pStyle w:val="BodyText1"/>
        <w:spacing w:before="120" w:line="240" w:lineRule="auto"/>
        <w:ind w:left="576" w:hanging="302"/>
        <w:jc w:val="both"/>
      </w:pPr>
      <w:r>
        <w:t xml:space="preserve">(c) </w:t>
      </w:r>
      <w:r w:rsidR="00951FF5" w:rsidRPr="004B0DC1">
        <w:t>the House is not sitting on that day; and</w:t>
      </w:r>
    </w:p>
    <w:p w14:paraId="15872063" w14:textId="77777777" w:rsidR="00FB2EE0" w:rsidRDefault="00FB2EE0">
      <w:pPr>
        <w:rPr>
          <w:rStyle w:val="Bodytext61"/>
          <w:rFonts w:eastAsia="Courier New"/>
        </w:rPr>
      </w:pPr>
      <w:r>
        <w:rPr>
          <w:rStyle w:val="Bodytext61"/>
          <w:rFonts w:eastAsia="Courier New"/>
          <w:i w:val="0"/>
          <w:iCs w:val="0"/>
        </w:rPr>
        <w:br w:type="page"/>
      </w:r>
    </w:p>
    <w:p w14:paraId="7BF23188" w14:textId="77777777" w:rsidR="00D16C6D" w:rsidRPr="004B0DC1" w:rsidRDefault="00951FF5" w:rsidP="0000186E">
      <w:pPr>
        <w:pStyle w:val="BodyText1"/>
        <w:tabs>
          <w:tab w:val="left" w:pos="4770"/>
        </w:tabs>
        <w:spacing w:before="120" w:line="240" w:lineRule="auto"/>
        <w:ind w:firstLine="0"/>
        <w:jc w:val="center"/>
      </w:pPr>
      <w:r w:rsidRPr="00FB2EE0">
        <w:rPr>
          <w:b/>
        </w:rPr>
        <w:lastRenderedPageBreak/>
        <w:t>SCHEDULE</w:t>
      </w:r>
      <w:r w:rsidRPr="004B0DC1">
        <w:t>—continued</w:t>
      </w:r>
    </w:p>
    <w:p w14:paraId="156317C2" w14:textId="6548B6A4" w:rsidR="0000186E" w:rsidRDefault="00FB2EE0" w:rsidP="0033706E">
      <w:pPr>
        <w:pStyle w:val="BodyText1"/>
        <w:spacing w:before="120" w:line="240" w:lineRule="auto"/>
        <w:ind w:left="576" w:hanging="302"/>
        <w:jc w:val="both"/>
      </w:pPr>
      <w:r>
        <w:t>(d)</w:t>
      </w:r>
      <w:r w:rsidR="00693015">
        <w:t xml:space="preserve"> </w:t>
      </w:r>
      <w:r w:rsidR="00951FF5" w:rsidRPr="004B0DC1">
        <w:t xml:space="preserve">the rules or orders of the House do not allow papers to be presented when the House is not sitting; </w:t>
      </w:r>
    </w:p>
    <w:p w14:paraId="15932FF1" w14:textId="77777777" w:rsidR="00D16C6D" w:rsidRPr="004B0DC1" w:rsidRDefault="00951FF5" w:rsidP="0000186E">
      <w:pPr>
        <w:pStyle w:val="BodyText1"/>
        <w:spacing w:before="120" w:line="240" w:lineRule="auto"/>
        <w:ind w:firstLine="0"/>
        <w:jc w:val="both"/>
      </w:pPr>
      <w:r w:rsidRPr="004B0DC1">
        <w:t>the Minister must cause the copy of the report, or the statement, to be laid before the House within 5 sitting days of the House after that day.”.</w:t>
      </w:r>
    </w:p>
    <w:p w14:paraId="4AA2E872" w14:textId="77777777" w:rsidR="00D16C6D" w:rsidRPr="0000186E" w:rsidRDefault="0000186E" w:rsidP="00457259">
      <w:pPr>
        <w:pStyle w:val="BodyText1"/>
        <w:spacing w:before="120" w:line="240" w:lineRule="auto"/>
        <w:ind w:firstLine="0"/>
        <w:jc w:val="both"/>
        <w:rPr>
          <w:b/>
        </w:rPr>
      </w:pPr>
      <w:r w:rsidRPr="0000186E">
        <w:rPr>
          <w:b/>
        </w:rPr>
        <w:t xml:space="preserve">17. </w:t>
      </w:r>
      <w:r w:rsidR="00951FF5" w:rsidRPr="0000186E">
        <w:rPr>
          <w:b/>
        </w:rPr>
        <w:t>After Schedule 3:</w:t>
      </w:r>
    </w:p>
    <w:p w14:paraId="66BC4A95" w14:textId="77777777" w:rsidR="00D16C6D" w:rsidRPr="004B0DC1" w:rsidRDefault="00951FF5" w:rsidP="0000186E">
      <w:pPr>
        <w:pStyle w:val="BodyText1"/>
        <w:spacing w:before="120" w:line="240" w:lineRule="auto"/>
        <w:ind w:firstLine="288"/>
        <w:jc w:val="both"/>
      </w:pPr>
      <w:r w:rsidRPr="004B0DC1">
        <w:t>Insert:</w:t>
      </w:r>
    </w:p>
    <w:p w14:paraId="608628EB" w14:textId="108918DA" w:rsidR="00D16C6D" w:rsidRPr="004B0DC1" w:rsidRDefault="00951FF5" w:rsidP="0033706E">
      <w:pPr>
        <w:pStyle w:val="Bodytext70"/>
        <w:tabs>
          <w:tab w:val="right" w:pos="9360"/>
        </w:tabs>
        <w:spacing w:before="120" w:after="120" w:line="240" w:lineRule="auto"/>
        <w:ind w:firstLine="3600"/>
        <w:jc w:val="both"/>
        <w:rPr>
          <w:sz w:val="22"/>
        </w:rPr>
      </w:pPr>
      <w:r w:rsidRPr="00693015">
        <w:rPr>
          <w:rStyle w:val="Bodytext711pt"/>
        </w:rPr>
        <w:t>“</w:t>
      </w:r>
      <w:r w:rsidRPr="0000186E">
        <w:rPr>
          <w:rStyle w:val="Bodytext711pt"/>
          <w:b/>
        </w:rPr>
        <w:t>SCHEDULE 4</w:t>
      </w:r>
      <w:r w:rsidRPr="004B0DC1">
        <w:rPr>
          <w:rStyle w:val="Bodytext711pt"/>
        </w:rPr>
        <w:tab/>
      </w:r>
      <w:r w:rsidR="0000186E" w:rsidRPr="00693015">
        <w:rPr>
          <w:rStyle w:val="Bodytext79pt"/>
          <w:sz w:val="20"/>
        </w:rPr>
        <w:t>Subsection</w:t>
      </w:r>
      <w:r w:rsidR="00693015" w:rsidRPr="00693015">
        <w:rPr>
          <w:rStyle w:val="Bodytext79pt"/>
          <w:sz w:val="20"/>
        </w:rPr>
        <w:t xml:space="preserve"> </w:t>
      </w:r>
      <w:r w:rsidRPr="00693015">
        <w:rPr>
          <w:rStyle w:val="Bodytext79pt"/>
          <w:sz w:val="20"/>
        </w:rPr>
        <w:t>9AB(2)</w:t>
      </w:r>
    </w:p>
    <w:p w14:paraId="15DCA3B4" w14:textId="77777777" w:rsidR="00D16C6D" w:rsidRDefault="00951FF5" w:rsidP="0033706E">
      <w:pPr>
        <w:pStyle w:val="BodyText1"/>
        <w:spacing w:before="120" w:after="120" w:line="240" w:lineRule="auto"/>
        <w:ind w:firstLine="0"/>
        <w:jc w:val="center"/>
      </w:pPr>
      <w:r w:rsidRPr="004B0DC1">
        <w:t>MODIFICATIONS OF ACT IN RELATION TO PARLIAMENTARY</w:t>
      </w:r>
      <w:r w:rsidR="0033706E">
        <w:t xml:space="preserve"> </w:t>
      </w:r>
      <w:r w:rsidRPr="004B0DC1">
        <w:t>DEPARTMENTS</w:t>
      </w:r>
    </w:p>
    <w:tbl>
      <w:tblPr>
        <w:tblOverlap w:val="never"/>
        <w:tblW w:w="5000" w:type="pct"/>
        <w:tblCellMar>
          <w:left w:w="10" w:type="dxa"/>
          <w:right w:w="10" w:type="dxa"/>
        </w:tblCellMar>
        <w:tblLook w:val="0000" w:firstRow="0" w:lastRow="0" w:firstColumn="0" w:lastColumn="0" w:noHBand="0" w:noVBand="0"/>
      </w:tblPr>
      <w:tblGrid>
        <w:gridCol w:w="3354"/>
        <w:gridCol w:w="3002"/>
        <w:gridCol w:w="3024"/>
      </w:tblGrid>
      <w:tr w:rsidR="00D16C6D" w:rsidRPr="004B0DC1" w14:paraId="2CC7E572" w14:textId="77777777" w:rsidTr="0000186E">
        <w:trPr>
          <w:trHeight w:val="682"/>
        </w:trPr>
        <w:tc>
          <w:tcPr>
            <w:tcW w:w="1788" w:type="pct"/>
            <w:tcBorders>
              <w:top w:val="single" w:sz="4" w:space="0" w:color="auto"/>
              <w:left w:val="single" w:sz="4" w:space="0" w:color="auto"/>
            </w:tcBorders>
          </w:tcPr>
          <w:p w14:paraId="4C80EC2F" w14:textId="77777777" w:rsidR="00D16C6D" w:rsidRPr="0000186E" w:rsidRDefault="00951FF5" w:rsidP="0000186E">
            <w:pPr>
              <w:pStyle w:val="BodyText1"/>
              <w:spacing w:line="240" w:lineRule="auto"/>
              <w:ind w:firstLine="0"/>
              <w:jc w:val="center"/>
              <w:rPr>
                <w:b/>
              </w:rPr>
            </w:pPr>
            <w:r w:rsidRPr="0000186E">
              <w:rPr>
                <w:b/>
              </w:rPr>
              <w:t>Column 1 Provision modified</w:t>
            </w:r>
          </w:p>
        </w:tc>
        <w:tc>
          <w:tcPr>
            <w:tcW w:w="1600" w:type="pct"/>
            <w:tcBorders>
              <w:top w:val="single" w:sz="4" w:space="0" w:color="auto"/>
              <w:left w:val="single" w:sz="4" w:space="0" w:color="auto"/>
            </w:tcBorders>
          </w:tcPr>
          <w:p w14:paraId="08F19EF8" w14:textId="77777777" w:rsidR="00D16C6D" w:rsidRPr="0000186E" w:rsidRDefault="00951FF5" w:rsidP="0000186E">
            <w:pPr>
              <w:pStyle w:val="BodyText1"/>
              <w:spacing w:line="240" w:lineRule="auto"/>
              <w:ind w:firstLine="0"/>
              <w:jc w:val="center"/>
              <w:rPr>
                <w:b/>
              </w:rPr>
            </w:pPr>
            <w:r w:rsidRPr="0000186E">
              <w:rPr>
                <w:b/>
              </w:rPr>
              <w:t>Column 2 Omit</w:t>
            </w:r>
          </w:p>
        </w:tc>
        <w:tc>
          <w:tcPr>
            <w:tcW w:w="1612" w:type="pct"/>
            <w:tcBorders>
              <w:top w:val="single" w:sz="4" w:space="0" w:color="auto"/>
              <w:left w:val="single" w:sz="4" w:space="0" w:color="auto"/>
              <w:right w:val="single" w:sz="4" w:space="0" w:color="auto"/>
            </w:tcBorders>
          </w:tcPr>
          <w:p w14:paraId="386C460B" w14:textId="77777777" w:rsidR="00D16C6D" w:rsidRPr="0000186E" w:rsidRDefault="00951FF5" w:rsidP="0000186E">
            <w:pPr>
              <w:pStyle w:val="BodyText1"/>
              <w:spacing w:line="240" w:lineRule="auto"/>
              <w:ind w:firstLine="0"/>
              <w:jc w:val="center"/>
              <w:rPr>
                <w:b/>
              </w:rPr>
            </w:pPr>
            <w:r w:rsidRPr="0000186E">
              <w:rPr>
                <w:b/>
              </w:rPr>
              <w:t>Column 3 Substitute</w:t>
            </w:r>
          </w:p>
        </w:tc>
      </w:tr>
      <w:tr w:rsidR="00D16C6D" w:rsidRPr="004B0DC1" w14:paraId="6FA05B14" w14:textId="77777777" w:rsidTr="0000186E">
        <w:trPr>
          <w:trHeight w:val="1210"/>
        </w:trPr>
        <w:tc>
          <w:tcPr>
            <w:tcW w:w="1788" w:type="pct"/>
            <w:tcBorders>
              <w:top w:val="single" w:sz="4" w:space="0" w:color="auto"/>
              <w:left w:val="single" w:sz="4" w:space="0" w:color="auto"/>
            </w:tcBorders>
          </w:tcPr>
          <w:p w14:paraId="0BBA0AE7" w14:textId="77777777" w:rsidR="00D16C6D" w:rsidRPr="004B0DC1" w:rsidRDefault="00951FF5" w:rsidP="001A2FBC">
            <w:pPr>
              <w:pStyle w:val="BodyText1"/>
              <w:spacing w:line="240" w:lineRule="auto"/>
              <w:ind w:right="144" w:firstLine="0"/>
              <w:jc w:val="both"/>
            </w:pPr>
            <w:r w:rsidRPr="004B0DC1">
              <w:t>Subsection 33A</w:t>
            </w:r>
            <w:r w:rsidR="0000186E">
              <w:t>AA(1) (definition of “non-</w:t>
            </w:r>
            <w:proofErr w:type="spellStart"/>
            <w:r w:rsidR="0000186E">
              <w:t>appell</w:t>
            </w:r>
            <w:r w:rsidRPr="004B0DC1">
              <w:t>able</w:t>
            </w:r>
            <w:proofErr w:type="spellEnd"/>
            <w:r w:rsidRPr="004B0DC1">
              <w:t xml:space="preserve"> promotion”)</w:t>
            </w:r>
          </w:p>
        </w:tc>
        <w:tc>
          <w:tcPr>
            <w:tcW w:w="1600" w:type="pct"/>
            <w:tcBorders>
              <w:top w:val="single" w:sz="4" w:space="0" w:color="auto"/>
              <w:left w:val="single" w:sz="4" w:space="0" w:color="auto"/>
            </w:tcBorders>
          </w:tcPr>
          <w:p w14:paraId="7B40F424" w14:textId="77777777" w:rsidR="00D16C6D" w:rsidRPr="004B0DC1" w:rsidRDefault="00951FF5" w:rsidP="001A2FBC">
            <w:pPr>
              <w:pStyle w:val="BodyText1"/>
              <w:spacing w:line="240" w:lineRule="auto"/>
              <w:ind w:right="144" w:firstLine="0"/>
              <w:jc w:val="both"/>
            </w:pPr>
            <w:r w:rsidRPr="004B0DC1">
              <w:t>50</w:t>
            </w:r>
          </w:p>
        </w:tc>
        <w:tc>
          <w:tcPr>
            <w:tcW w:w="1612" w:type="pct"/>
            <w:tcBorders>
              <w:top w:val="single" w:sz="4" w:space="0" w:color="auto"/>
              <w:left w:val="single" w:sz="4" w:space="0" w:color="auto"/>
              <w:right w:val="single" w:sz="4" w:space="0" w:color="auto"/>
            </w:tcBorders>
          </w:tcPr>
          <w:p w14:paraId="05E2FA13" w14:textId="77777777" w:rsidR="00D16C6D" w:rsidRPr="004B0DC1" w:rsidRDefault="00951FF5" w:rsidP="001A2FBC">
            <w:pPr>
              <w:pStyle w:val="BodyText1"/>
              <w:spacing w:line="240" w:lineRule="auto"/>
              <w:ind w:right="144" w:firstLine="0"/>
              <w:jc w:val="both"/>
            </w:pPr>
            <w:r w:rsidRPr="004B0DC1">
              <w:t>9</w:t>
            </w:r>
          </w:p>
        </w:tc>
      </w:tr>
      <w:tr w:rsidR="00D16C6D" w:rsidRPr="004B0DC1" w14:paraId="15C5124F" w14:textId="77777777" w:rsidTr="0000186E">
        <w:trPr>
          <w:trHeight w:val="912"/>
        </w:trPr>
        <w:tc>
          <w:tcPr>
            <w:tcW w:w="1788" w:type="pct"/>
            <w:tcBorders>
              <w:top w:val="single" w:sz="4" w:space="0" w:color="auto"/>
              <w:left w:val="single" w:sz="4" w:space="0" w:color="auto"/>
            </w:tcBorders>
          </w:tcPr>
          <w:p w14:paraId="75D30699" w14:textId="77777777" w:rsidR="00D16C6D" w:rsidRPr="004B0DC1" w:rsidRDefault="00951FF5" w:rsidP="001A2FBC">
            <w:pPr>
              <w:pStyle w:val="BodyText1"/>
              <w:spacing w:line="240" w:lineRule="auto"/>
              <w:ind w:right="144" w:firstLine="0"/>
              <w:jc w:val="both"/>
            </w:pPr>
            <w:r w:rsidRPr="004B0DC1">
              <w:t>Subsection 33AAA(1) (definition of “prescribed day”)</w:t>
            </w:r>
          </w:p>
        </w:tc>
        <w:tc>
          <w:tcPr>
            <w:tcW w:w="1600" w:type="pct"/>
            <w:tcBorders>
              <w:top w:val="single" w:sz="4" w:space="0" w:color="auto"/>
              <w:left w:val="single" w:sz="4" w:space="0" w:color="auto"/>
            </w:tcBorders>
          </w:tcPr>
          <w:p w14:paraId="3BB110FF" w14:textId="77777777" w:rsidR="00D16C6D" w:rsidRPr="004B0DC1" w:rsidRDefault="00951FF5" w:rsidP="001A2FBC">
            <w:pPr>
              <w:pStyle w:val="BodyText1"/>
              <w:spacing w:line="240" w:lineRule="auto"/>
              <w:ind w:right="144" w:firstLine="0"/>
              <w:jc w:val="both"/>
            </w:pPr>
            <w:r w:rsidRPr="004B0DC1">
              <w:t>49B,</w:t>
            </w:r>
          </w:p>
        </w:tc>
        <w:tc>
          <w:tcPr>
            <w:tcW w:w="1612" w:type="pct"/>
            <w:tcBorders>
              <w:top w:val="single" w:sz="4" w:space="0" w:color="auto"/>
              <w:left w:val="single" w:sz="4" w:space="0" w:color="auto"/>
              <w:right w:val="single" w:sz="4" w:space="0" w:color="auto"/>
            </w:tcBorders>
          </w:tcPr>
          <w:p w14:paraId="12E5D264" w14:textId="77777777" w:rsidR="00D16C6D" w:rsidRPr="004B0DC1" w:rsidRDefault="00951FF5" w:rsidP="001A2FBC">
            <w:pPr>
              <w:pStyle w:val="BodyText1"/>
              <w:spacing w:line="240" w:lineRule="auto"/>
              <w:ind w:right="144" w:firstLine="0"/>
              <w:jc w:val="both"/>
            </w:pPr>
            <w:r w:rsidRPr="004B0DC1">
              <w:t>9,49B,</w:t>
            </w:r>
          </w:p>
        </w:tc>
      </w:tr>
      <w:tr w:rsidR="00D16C6D" w:rsidRPr="004B0DC1" w14:paraId="0ED93B8B" w14:textId="77777777" w:rsidTr="0000186E">
        <w:trPr>
          <w:trHeight w:val="643"/>
        </w:trPr>
        <w:tc>
          <w:tcPr>
            <w:tcW w:w="1788" w:type="pct"/>
            <w:tcBorders>
              <w:top w:val="single" w:sz="4" w:space="0" w:color="auto"/>
              <w:left w:val="single" w:sz="4" w:space="0" w:color="auto"/>
            </w:tcBorders>
          </w:tcPr>
          <w:p w14:paraId="445C1B38" w14:textId="77777777" w:rsidR="00D16C6D" w:rsidRPr="004B0DC1" w:rsidRDefault="00951FF5" w:rsidP="001A2FBC">
            <w:pPr>
              <w:pStyle w:val="BodyText1"/>
              <w:spacing w:line="240" w:lineRule="auto"/>
              <w:ind w:right="144" w:firstLine="0"/>
              <w:jc w:val="both"/>
            </w:pPr>
            <w:r w:rsidRPr="004B0DC1">
              <w:t>Subsections 50DAA(4), (5), (6) and (7)</w:t>
            </w:r>
          </w:p>
        </w:tc>
        <w:tc>
          <w:tcPr>
            <w:tcW w:w="1600" w:type="pct"/>
            <w:tcBorders>
              <w:top w:val="single" w:sz="4" w:space="0" w:color="auto"/>
              <w:left w:val="single" w:sz="4" w:space="0" w:color="auto"/>
            </w:tcBorders>
          </w:tcPr>
          <w:p w14:paraId="1C8D07DE" w14:textId="77777777" w:rsidR="00D16C6D" w:rsidRPr="004B0DC1" w:rsidRDefault="00951FF5" w:rsidP="001A2FBC">
            <w:pPr>
              <w:pStyle w:val="BodyText1"/>
              <w:spacing w:line="240" w:lineRule="auto"/>
              <w:ind w:right="144" w:firstLine="0"/>
              <w:jc w:val="both"/>
            </w:pPr>
            <w:r w:rsidRPr="004B0DC1">
              <w:t>Secretary (wherever occurring)</w:t>
            </w:r>
          </w:p>
        </w:tc>
        <w:tc>
          <w:tcPr>
            <w:tcW w:w="1612" w:type="pct"/>
            <w:tcBorders>
              <w:top w:val="single" w:sz="4" w:space="0" w:color="auto"/>
              <w:left w:val="single" w:sz="4" w:space="0" w:color="auto"/>
              <w:right w:val="single" w:sz="4" w:space="0" w:color="auto"/>
            </w:tcBorders>
          </w:tcPr>
          <w:p w14:paraId="69737EED" w14:textId="77777777" w:rsidR="00D16C6D" w:rsidRPr="004B0DC1" w:rsidRDefault="00951FF5" w:rsidP="001A2FBC">
            <w:pPr>
              <w:pStyle w:val="BodyText1"/>
              <w:spacing w:line="240" w:lineRule="auto"/>
              <w:ind w:right="144" w:firstLine="0"/>
              <w:jc w:val="both"/>
            </w:pPr>
            <w:r w:rsidRPr="004B0DC1">
              <w:t>responsible authority</w:t>
            </w:r>
          </w:p>
        </w:tc>
      </w:tr>
      <w:tr w:rsidR="00D16C6D" w:rsidRPr="004B0DC1" w14:paraId="3AF936F2" w14:textId="77777777" w:rsidTr="0000186E">
        <w:trPr>
          <w:trHeight w:val="1474"/>
        </w:trPr>
        <w:tc>
          <w:tcPr>
            <w:tcW w:w="1788" w:type="pct"/>
            <w:tcBorders>
              <w:top w:val="single" w:sz="4" w:space="0" w:color="auto"/>
              <w:left w:val="single" w:sz="4" w:space="0" w:color="auto"/>
            </w:tcBorders>
          </w:tcPr>
          <w:p w14:paraId="3ECDF71F" w14:textId="77777777" w:rsidR="00D16C6D" w:rsidRPr="004B0DC1" w:rsidRDefault="00951FF5" w:rsidP="001A2FBC">
            <w:pPr>
              <w:pStyle w:val="BodyText1"/>
              <w:spacing w:line="240" w:lineRule="auto"/>
              <w:ind w:right="144" w:firstLine="0"/>
              <w:jc w:val="both"/>
            </w:pPr>
            <w:r w:rsidRPr="004B0DC1">
              <w:t>Paragraph 50DAA(7)(b)</w:t>
            </w:r>
          </w:p>
        </w:tc>
        <w:tc>
          <w:tcPr>
            <w:tcW w:w="1600" w:type="pct"/>
            <w:tcBorders>
              <w:top w:val="single" w:sz="4" w:space="0" w:color="auto"/>
              <w:left w:val="single" w:sz="4" w:space="0" w:color="auto"/>
            </w:tcBorders>
          </w:tcPr>
          <w:p w14:paraId="7E8E3FDE" w14:textId="77777777" w:rsidR="00D16C6D" w:rsidRPr="004B0DC1" w:rsidRDefault="00951FF5" w:rsidP="001A2FBC">
            <w:pPr>
              <w:pStyle w:val="BodyText1"/>
              <w:spacing w:line="240" w:lineRule="auto"/>
              <w:ind w:right="144" w:firstLine="0"/>
              <w:jc w:val="both"/>
            </w:pPr>
            <w:r w:rsidRPr="004B0DC1">
              <w:t>the Secretary’s Department</w:t>
            </w:r>
          </w:p>
        </w:tc>
        <w:tc>
          <w:tcPr>
            <w:tcW w:w="1612" w:type="pct"/>
            <w:tcBorders>
              <w:top w:val="single" w:sz="4" w:space="0" w:color="auto"/>
              <w:left w:val="single" w:sz="4" w:space="0" w:color="auto"/>
              <w:right w:val="single" w:sz="4" w:space="0" w:color="auto"/>
            </w:tcBorders>
          </w:tcPr>
          <w:p w14:paraId="32351F29" w14:textId="77777777" w:rsidR="00D16C6D" w:rsidRPr="004B0DC1" w:rsidRDefault="00951FF5" w:rsidP="001A2FBC">
            <w:pPr>
              <w:pStyle w:val="BodyText1"/>
              <w:spacing w:line="240" w:lineRule="auto"/>
              <w:ind w:right="144" w:firstLine="0"/>
              <w:jc w:val="both"/>
            </w:pPr>
            <w:r w:rsidRPr="004B0DC1">
              <w:t>a Department in relation to which he or she is, or they are, the responsible authority</w:t>
            </w:r>
          </w:p>
        </w:tc>
      </w:tr>
      <w:tr w:rsidR="00D16C6D" w:rsidRPr="004B0DC1" w14:paraId="0A4C780D" w14:textId="77777777" w:rsidTr="0000186E">
        <w:trPr>
          <w:trHeight w:val="917"/>
        </w:trPr>
        <w:tc>
          <w:tcPr>
            <w:tcW w:w="1788" w:type="pct"/>
            <w:tcBorders>
              <w:top w:val="single" w:sz="4" w:space="0" w:color="auto"/>
              <w:left w:val="single" w:sz="4" w:space="0" w:color="auto"/>
            </w:tcBorders>
          </w:tcPr>
          <w:p w14:paraId="05BDAD98" w14:textId="77777777" w:rsidR="00D16C6D" w:rsidRPr="004B0DC1" w:rsidRDefault="00951FF5" w:rsidP="001A2FBC">
            <w:pPr>
              <w:pStyle w:val="BodyText1"/>
              <w:spacing w:line="240" w:lineRule="auto"/>
              <w:ind w:right="144" w:firstLine="0"/>
              <w:jc w:val="both"/>
            </w:pPr>
            <w:r w:rsidRPr="004B0DC1">
              <w:t>Subsection 50DA(1)</w:t>
            </w:r>
          </w:p>
        </w:tc>
        <w:tc>
          <w:tcPr>
            <w:tcW w:w="1600" w:type="pct"/>
            <w:tcBorders>
              <w:top w:val="single" w:sz="4" w:space="0" w:color="auto"/>
              <w:left w:val="single" w:sz="4" w:space="0" w:color="auto"/>
            </w:tcBorders>
          </w:tcPr>
          <w:p w14:paraId="58B9653A" w14:textId="77777777" w:rsidR="00D16C6D" w:rsidRPr="004B0DC1" w:rsidRDefault="00951FF5" w:rsidP="001A2FBC">
            <w:pPr>
              <w:pStyle w:val="BodyText1"/>
              <w:spacing w:line="240" w:lineRule="auto"/>
              <w:ind w:right="144" w:firstLine="0"/>
              <w:jc w:val="both"/>
            </w:pPr>
            <w:r w:rsidRPr="004B0DC1">
              <w:t>the Secretary of</w:t>
            </w:r>
          </w:p>
        </w:tc>
        <w:tc>
          <w:tcPr>
            <w:tcW w:w="1612" w:type="pct"/>
            <w:tcBorders>
              <w:top w:val="single" w:sz="4" w:space="0" w:color="auto"/>
              <w:left w:val="single" w:sz="4" w:space="0" w:color="auto"/>
              <w:right w:val="single" w:sz="4" w:space="0" w:color="auto"/>
            </w:tcBorders>
          </w:tcPr>
          <w:p w14:paraId="5B6D4713" w14:textId="77777777" w:rsidR="00D16C6D" w:rsidRPr="004B0DC1" w:rsidRDefault="00951FF5" w:rsidP="001A2FBC">
            <w:pPr>
              <w:pStyle w:val="BodyText1"/>
              <w:spacing w:line="240" w:lineRule="auto"/>
              <w:ind w:right="144" w:firstLine="0"/>
              <w:jc w:val="both"/>
            </w:pPr>
            <w:r w:rsidRPr="004B0DC1">
              <w:t>the responsible authority in relation to</w:t>
            </w:r>
          </w:p>
        </w:tc>
      </w:tr>
      <w:tr w:rsidR="00D16C6D" w:rsidRPr="004B0DC1" w14:paraId="3E5E78C6" w14:textId="77777777" w:rsidTr="0000186E">
        <w:trPr>
          <w:trHeight w:val="643"/>
        </w:trPr>
        <w:tc>
          <w:tcPr>
            <w:tcW w:w="1788" w:type="pct"/>
            <w:tcBorders>
              <w:top w:val="single" w:sz="4" w:space="0" w:color="auto"/>
              <w:left w:val="single" w:sz="4" w:space="0" w:color="auto"/>
            </w:tcBorders>
          </w:tcPr>
          <w:p w14:paraId="32A63D86" w14:textId="77777777" w:rsidR="00D16C6D" w:rsidRPr="004B0DC1" w:rsidRDefault="00951FF5" w:rsidP="001A2FBC">
            <w:pPr>
              <w:pStyle w:val="BodyText1"/>
              <w:spacing w:line="240" w:lineRule="auto"/>
              <w:ind w:right="144" w:firstLine="0"/>
              <w:jc w:val="both"/>
            </w:pPr>
            <w:r w:rsidRPr="004B0DC1">
              <w:t>Subsection 50DA(1)</w:t>
            </w:r>
          </w:p>
        </w:tc>
        <w:tc>
          <w:tcPr>
            <w:tcW w:w="1600" w:type="pct"/>
            <w:tcBorders>
              <w:top w:val="single" w:sz="4" w:space="0" w:color="auto"/>
              <w:left w:val="single" w:sz="4" w:space="0" w:color="auto"/>
            </w:tcBorders>
          </w:tcPr>
          <w:p w14:paraId="2E931D5D" w14:textId="77777777" w:rsidR="00D16C6D" w:rsidRPr="004B0DC1" w:rsidRDefault="00951FF5" w:rsidP="001A2FBC">
            <w:pPr>
              <w:pStyle w:val="BodyText1"/>
              <w:spacing w:line="240" w:lineRule="auto"/>
              <w:ind w:right="144" w:firstLine="0"/>
              <w:jc w:val="both"/>
            </w:pPr>
            <w:r w:rsidRPr="004B0DC1">
              <w:t>section 50</w:t>
            </w:r>
          </w:p>
        </w:tc>
        <w:tc>
          <w:tcPr>
            <w:tcW w:w="1612" w:type="pct"/>
            <w:tcBorders>
              <w:top w:val="single" w:sz="4" w:space="0" w:color="auto"/>
              <w:left w:val="single" w:sz="4" w:space="0" w:color="auto"/>
              <w:right w:val="single" w:sz="4" w:space="0" w:color="auto"/>
            </w:tcBorders>
          </w:tcPr>
          <w:p w14:paraId="5CDA50E6" w14:textId="77777777" w:rsidR="00D16C6D" w:rsidRPr="004B0DC1" w:rsidRDefault="00951FF5" w:rsidP="001A2FBC">
            <w:pPr>
              <w:pStyle w:val="BodyText1"/>
              <w:spacing w:line="240" w:lineRule="auto"/>
              <w:ind w:right="144" w:firstLine="0"/>
              <w:jc w:val="both"/>
            </w:pPr>
            <w:r w:rsidRPr="004B0DC1">
              <w:t>section 50 or 9, as the case may be,</w:t>
            </w:r>
          </w:p>
        </w:tc>
      </w:tr>
      <w:tr w:rsidR="00D16C6D" w:rsidRPr="004B0DC1" w14:paraId="6FB7F047" w14:textId="77777777" w:rsidTr="0000186E">
        <w:trPr>
          <w:trHeight w:val="648"/>
        </w:trPr>
        <w:tc>
          <w:tcPr>
            <w:tcW w:w="1788" w:type="pct"/>
            <w:tcBorders>
              <w:top w:val="single" w:sz="4" w:space="0" w:color="auto"/>
              <w:left w:val="single" w:sz="4" w:space="0" w:color="auto"/>
            </w:tcBorders>
          </w:tcPr>
          <w:p w14:paraId="494C0903" w14:textId="77777777" w:rsidR="00D16C6D" w:rsidRPr="004B0DC1" w:rsidRDefault="00951FF5" w:rsidP="001A2FBC">
            <w:pPr>
              <w:pStyle w:val="BodyText1"/>
              <w:spacing w:line="240" w:lineRule="auto"/>
              <w:ind w:right="144" w:firstLine="0"/>
              <w:jc w:val="both"/>
            </w:pPr>
            <w:r w:rsidRPr="004B0DC1">
              <w:t>Subsections 50DA(3) and (4)</w:t>
            </w:r>
          </w:p>
        </w:tc>
        <w:tc>
          <w:tcPr>
            <w:tcW w:w="1600" w:type="pct"/>
            <w:tcBorders>
              <w:top w:val="single" w:sz="4" w:space="0" w:color="auto"/>
              <w:left w:val="single" w:sz="4" w:space="0" w:color="auto"/>
            </w:tcBorders>
          </w:tcPr>
          <w:p w14:paraId="0502A411" w14:textId="77777777" w:rsidR="00D16C6D" w:rsidRPr="004B0DC1" w:rsidRDefault="00951FF5" w:rsidP="001A2FBC">
            <w:pPr>
              <w:pStyle w:val="BodyText1"/>
              <w:spacing w:line="240" w:lineRule="auto"/>
              <w:ind w:right="144" w:firstLine="0"/>
              <w:jc w:val="both"/>
            </w:pPr>
            <w:r w:rsidRPr="004B0DC1">
              <w:t>Secretary (wherever occurring)</w:t>
            </w:r>
          </w:p>
        </w:tc>
        <w:tc>
          <w:tcPr>
            <w:tcW w:w="1612" w:type="pct"/>
            <w:tcBorders>
              <w:top w:val="single" w:sz="4" w:space="0" w:color="auto"/>
              <w:left w:val="single" w:sz="4" w:space="0" w:color="auto"/>
              <w:right w:val="single" w:sz="4" w:space="0" w:color="auto"/>
            </w:tcBorders>
          </w:tcPr>
          <w:p w14:paraId="515CC9D6" w14:textId="77777777" w:rsidR="00D16C6D" w:rsidRPr="004B0DC1" w:rsidRDefault="00951FF5" w:rsidP="001A2FBC">
            <w:pPr>
              <w:pStyle w:val="BodyText1"/>
              <w:spacing w:line="240" w:lineRule="auto"/>
              <w:ind w:right="144" w:firstLine="0"/>
              <w:jc w:val="both"/>
            </w:pPr>
            <w:r w:rsidRPr="004B0DC1">
              <w:t>responsible authority</w:t>
            </w:r>
          </w:p>
        </w:tc>
      </w:tr>
      <w:tr w:rsidR="00D16C6D" w:rsidRPr="004B0DC1" w14:paraId="6E780184" w14:textId="77777777" w:rsidTr="0000186E">
        <w:trPr>
          <w:trHeight w:val="643"/>
        </w:trPr>
        <w:tc>
          <w:tcPr>
            <w:tcW w:w="1788" w:type="pct"/>
            <w:tcBorders>
              <w:top w:val="single" w:sz="4" w:space="0" w:color="auto"/>
              <w:left w:val="single" w:sz="4" w:space="0" w:color="auto"/>
              <w:bottom w:val="single" w:sz="4" w:space="0" w:color="auto"/>
            </w:tcBorders>
          </w:tcPr>
          <w:p w14:paraId="7E89D651" w14:textId="77777777" w:rsidR="00D16C6D" w:rsidRPr="004B0DC1" w:rsidRDefault="00951FF5" w:rsidP="001A2FBC">
            <w:pPr>
              <w:pStyle w:val="BodyText1"/>
              <w:spacing w:line="240" w:lineRule="auto"/>
              <w:ind w:right="144" w:firstLine="0"/>
              <w:jc w:val="both"/>
            </w:pPr>
            <w:r w:rsidRPr="004B0DC1">
              <w:t>Paragraph 50DA(5)(b)</w:t>
            </w:r>
          </w:p>
        </w:tc>
        <w:tc>
          <w:tcPr>
            <w:tcW w:w="1600" w:type="pct"/>
            <w:tcBorders>
              <w:top w:val="single" w:sz="4" w:space="0" w:color="auto"/>
              <w:left w:val="single" w:sz="4" w:space="0" w:color="auto"/>
              <w:bottom w:val="single" w:sz="4" w:space="0" w:color="auto"/>
            </w:tcBorders>
          </w:tcPr>
          <w:p w14:paraId="08EFCB74" w14:textId="77777777" w:rsidR="00D16C6D" w:rsidRPr="004B0DC1" w:rsidRDefault="00951FF5" w:rsidP="001A2FBC">
            <w:pPr>
              <w:pStyle w:val="BodyText1"/>
              <w:spacing w:line="240" w:lineRule="auto"/>
              <w:ind w:right="144" w:firstLine="0"/>
              <w:jc w:val="both"/>
            </w:pPr>
            <w:r w:rsidRPr="004B0DC1">
              <w:t>Secretary of</w:t>
            </w:r>
          </w:p>
        </w:tc>
        <w:tc>
          <w:tcPr>
            <w:tcW w:w="1612" w:type="pct"/>
            <w:tcBorders>
              <w:top w:val="single" w:sz="4" w:space="0" w:color="auto"/>
              <w:left w:val="single" w:sz="4" w:space="0" w:color="auto"/>
              <w:bottom w:val="single" w:sz="4" w:space="0" w:color="auto"/>
              <w:right w:val="single" w:sz="4" w:space="0" w:color="auto"/>
            </w:tcBorders>
          </w:tcPr>
          <w:p w14:paraId="725CD583" w14:textId="77777777" w:rsidR="00D16C6D" w:rsidRPr="004B0DC1" w:rsidRDefault="00951FF5" w:rsidP="001A2FBC">
            <w:pPr>
              <w:pStyle w:val="BodyText1"/>
              <w:spacing w:line="240" w:lineRule="auto"/>
              <w:ind w:right="144" w:firstLine="0"/>
              <w:jc w:val="both"/>
            </w:pPr>
            <w:r w:rsidRPr="004B0DC1">
              <w:t>responsible authority in relation to</w:t>
            </w:r>
          </w:p>
        </w:tc>
      </w:tr>
    </w:tbl>
    <w:p w14:paraId="0CDF19C5" w14:textId="77777777" w:rsidR="0000186E" w:rsidRDefault="0000186E">
      <w:pPr>
        <w:rPr>
          <w:rStyle w:val="Bodytext61"/>
          <w:rFonts w:eastAsia="Courier New"/>
        </w:rPr>
      </w:pPr>
      <w:r>
        <w:rPr>
          <w:rStyle w:val="Bodytext61"/>
          <w:rFonts w:eastAsia="Courier New"/>
          <w:i w:val="0"/>
          <w:iCs w:val="0"/>
        </w:rPr>
        <w:br w:type="page"/>
      </w:r>
    </w:p>
    <w:p w14:paraId="65EC54EF" w14:textId="77777777" w:rsidR="00D16C6D" w:rsidRDefault="00951FF5" w:rsidP="00D608FB">
      <w:pPr>
        <w:pStyle w:val="Tablecaption0"/>
        <w:spacing w:before="120" w:after="120" w:line="240" w:lineRule="auto"/>
        <w:jc w:val="center"/>
      </w:pPr>
      <w:r w:rsidRPr="0000186E">
        <w:rPr>
          <w:b/>
        </w:rPr>
        <w:lastRenderedPageBreak/>
        <w:t>SCHEDULE</w:t>
      </w:r>
      <w:r w:rsidRPr="004B0DC1">
        <w:t>—continued</w:t>
      </w:r>
    </w:p>
    <w:tbl>
      <w:tblPr>
        <w:tblOverlap w:val="never"/>
        <w:tblW w:w="5000" w:type="pct"/>
        <w:tblCellMar>
          <w:left w:w="10" w:type="dxa"/>
          <w:right w:w="10" w:type="dxa"/>
        </w:tblCellMar>
        <w:tblLook w:val="0000" w:firstRow="0" w:lastRow="0" w:firstColumn="0" w:lastColumn="0" w:noHBand="0" w:noVBand="0"/>
      </w:tblPr>
      <w:tblGrid>
        <w:gridCol w:w="3378"/>
        <w:gridCol w:w="3017"/>
        <w:gridCol w:w="2985"/>
      </w:tblGrid>
      <w:tr w:rsidR="00D16C6D" w:rsidRPr="004B0DC1" w14:paraId="1A53D8A1" w14:textId="77777777" w:rsidTr="0000186E">
        <w:trPr>
          <w:trHeight w:val="686"/>
        </w:trPr>
        <w:tc>
          <w:tcPr>
            <w:tcW w:w="1801" w:type="pct"/>
            <w:tcBorders>
              <w:top w:val="single" w:sz="4" w:space="0" w:color="auto"/>
              <w:left w:val="single" w:sz="4" w:space="0" w:color="auto"/>
            </w:tcBorders>
          </w:tcPr>
          <w:p w14:paraId="368341C5" w14:textId="77777777" w:rsidR="00D16C6D" w:rsidRPr="0000186E" w:rsidRDefault="00951FF5" w:rsidP="0000186E">
            <w:pPr>
              <w:pStyle w:val="BodyText1"/>
              <w:spacing w:line="240" w:lineRule="auto"/>
              <w:ind w:firstLine="0"/>
              <w:jc w:val="center"/>
              <w:rPr>
                <w:b/>
              </w:rPr>
            </w:pPr>
            <w:r w:rsidRPr="0000186E">
              <w:rPr>
                <w:b/>
              </w:rPr>
              <w:t>Column 1 Provision modified</w:t>
            </w:r>
          </w:p>
        </w:tc>
        <w:tc>
          <w:tcPr>
            <w:tcW w:w="1608" w:type="pct"/>
            <w:tcBorders>
              <w:top w:val="single" w:sz="4" w:space="0" w:color="auto"/>
              <w:left w:val="single" w:sz="4" w:space="0" w:color="auto"/>
            </w:tcBorders>
          </w:tcPr>
          <w:p w14:paraId="647F0073" w14:textId="77777777" w:rsidR="00D16C6D" w:rsidRPr="0000186E" w:rsidRDefault="00951FF5" w:rsidP="0000186E">
            <w:pPr>
              <w:pStyle w:val="BodyText1"/>
              <w:spacing w:line="240" w:lineRule="auto"/>
              <w:ind w:firstLine="0"/>
              <w:jc w:val="center"/>
              <w:rPr>
                <w:b/>
              </w:rPr>
            </w:pPr>
            <w:r w:rsidRPr="0000186E">
              <w:rPr>
                <w:b/>
              </w:rPr>
              <w:t>Column 2 Omit</w:t>
            </w:r>
          </w:p>
        </w:tc>
        <w:tc>
          <w:tcPr>
            <w:tcW w:w="1591" w:type="pct"/>
            <w:tcBorders>
              <w:top w:val="single" w:sz="4" w:space="0" w:color="auto"/>
              <w:left w:val="single" w:sz="4" w:space="0" w:color="auto"/>
              <w:right w:val="single" w:sz="4" w:space="0" w:color="auto"/>
            </w:tcBorders>
          </w:tcPr>
          <w:p w14:paraId="77412C77" w14:textId="77777777" w:rsidR="00D16C6D" w:rsidRPr="0000186E" w:rsidRDefault="00951FF5" w:rsidP="0000186E">
            <w:pPr>
              <w:pStyle w:val="BodyText1"/>
              <w:spacing w:line="240" w:lineRule="auto"/>
              <w:ind w:firstLine="0"/>
              <w:jc w:val="center"/>
              <w:rPr>
                <w:b/>
              </w:rPr>
            </w:pPr>
            <w:r w:rsidRPr="0000186E">
              <w:rPr>
                <w:b/>
              </w:rPr>
              <w:t>Column 3 Substitute</w:t>
            </w:r>
          </w:p>
        </w:tc>
      </w:tr>
      <w:tr w:rsidR="00D16C6D" w:rsidRPr="004B0DC1" w14:paraId="250306F2" w14:textId="77777777" w:rsidTr="0000186E">
        <w:trPr>
          <w:trHeight w:val="653"/>
        </w:trPr>
        <w:tc>
          <w:tcPr>
            <w:tcW w:w="1801" w:type="pct"/>
            <w:tcBorders>
              <w:top w:val="single" w:sz="4" w:space="0" w:color="auto"/>
              <w:left w:val="single" w:sz="4" w:space="0" w:color="auto"/>
            </w:tcBorders>
          </w:tcPr>
          <w:p w14:paraId="1DAA54A8" w14:textId="77777777" w:rsidR="00D16C6D" w:rsidRPr="004B0DC1" w:rsidRDefault="00951FF5" w:rsidP="001A2FBC">
            <w:pPr>
              <w:pStyle w:val="BodyText1"/>
              <w:spacing w:line="240" w:lineRule="auto"/>
              <w:ind w:right="288" w:firstLine="0"/>
              <w:jc w:val="both"/>
            </w:pPr>
            <w:r w:rsidRPr="004B0DC1">
              <w:t>Subsection 50DA(6)</w:t>
            </w:r>
          </w:p>
        </w:tc>
        <w:tc>
          <w:tcPr>
            <w:tcW w:w="1608" w:type="pct"/>
            <w:tcBorders>
              <w:top w:val="single" w:sz="4" w:space="0" w:color="auto"/>
              <w:left w:val="single" w:sz="4" w:space="0" w:color="auto"/>
            </w:tcBorders>
          </w:tcPr>
          <w:p w14:paraId="2A7E8567" w14:textId="77777777" w:rsidR="00D16C6D" w:rsidRPr="004B0DC1" w:rsidRDefault="00951FF5" w:rsidP="001A2FBC">
            <w:pPr>
              <w:pStyle w:val="BodyText1"/>
              <w:spacing w:line="240" w:lineRule="auto"/>
              <w:ind w:right="288" w:firstLine="0"/>
              <w:jc w:val="both"/>
            </w:pPr>
            <w:r w:rsidRPr="004B0DC1">
              <w:t>Secretary (wherever occurring)</w:t>
            </w:r>
          </w:p>
        </w:tc>
        <w:tc>
          <w:tcPr>
            <w:tcW w:w="1591" w:type="pct"/>
            <w:tcBorders>
              <w:top w:val="single" w:sz="4" w:space="0" w:color="auto"/>
              <w:left w:val="single" w:sz="4" w:space="0" w:color="auto"/>
              <w:right w:val="single" w:sz="4" w:space="0" w:color="auto"/>
            </w:tcBorders>
          </w:tcPr>
          <w:p w14:paraId="52D08820" w14:textId="77777777" w:rsidR="00D16C6D" w:rsidRPr="004B0DC1" w:rsidRDefault="00951FF5" w:rsidP="001A2FBC">
            <w:pPr>
              <w:pStyle w:val="BodyText1"/>
              <w:spacing w:line="240" w:lineRule="auto"/>
              <w:ind w:right="288" w:firstLine="0"/>
              <w:jc w:val="both"/>
            </w:pPr>
            <w:r w:rsidRPr="004B0DC1">
              <w:t>responsible authority</w:t>
            </w:r>
          </w:p>
        </w:tc>
      </w:tr>
      <w:tr w:rsidR="00D16C6D" w:rsidRPr="004B0DC1" w14:paraId="63F40B1F" w14:textId="77777777" w:rsidTr="0000186E">
        <w:trPr>
          <w:trHeight w:val="653"/>
        </w:trPr>
        <w:tc>
          <w:tcPr>
            <w:tcW w:w="1801" w:type="pct"/>
            <w:tcBorders>
              <w:top w:val="single" w:sz="4" w:space="0" w:color="auto"/>
              <w:left w:val="single" w:sz="4" w:space="0" w:color="auto"/>
            </w:tcBorders>
          </w:tcPr>
          <w:p w14:paraId="002E4B28" w14:textId="77777777" w:rsidR="00D16C6D" w:rsidRPr="004B0DC1" w:rsidRDefault="00951FF5" w:rsidP="001A2FBC">
            <w:pPr>
              <w:pStyle w:val="BodyText1"/>
              <w:spacing w:line="240" w:lineRule="auto"/>
              <w:ind w:right="288" w:firstLine="0"/>
              <w:jc w:val="both"/>
            </w:pPr>
            <w:r w:rsidRPr="004B0DC1">
              <w:t>Subsection 50DA(6)</w:t>
            </w:r>
          </w:p>
        </w:tc>
        <w:tc>
          <w:tcPr>
            <w:tcW w:w="1608" w:type="pct"/>
            <w:tcBorders>
              <w:top w:val="single" w:sz="4" w:space="0" w:color="auto"/>
              <w:left w:val="single" w:sz="4" w:space="0" w:color="auto"/>
            </w:tcBorders>
          </w:tcPr>
          <w:p w14:paraId="0B05FDD3" w14:textId="77777777" w:rsidR="00D16C6D" w:rsidRPr="004B0DC1" w:rsidRDefault="00951FF5" w:rsidP="001A2FBC">
            <w:pPr>
              <w:pStyle w:val="BodyText1"/>
              <w:spacing w:line="240" w:lineRule="auto"/>
              <w:ind w:right="288" w:firstLine="0"/>
              <w:jc w:val="both"/>
            </w:pPr>
            <w:r w:rsidRPr="004B0DC1">
              <w:t>section 50</w:t>
            </w:r>
          </w:p>
        </w:tc>
        <w:tc>
          <w:tcPr>
            <w:tcW w:w="1591" w:type="pct"/>
            <w:tcBorders>
              <w:top w:val="single" w:sz="4" w:space="0" w:color="auto"/>
              <w:left w:val="single" w:sz="4" w:space="0" w:color="auto"/>
              <w:right w:val="single" w:sz="4" w:space="0" w:color="auto"/>
            </w:tcBorders>
          </w:tcPr>
          <w:p w14:paraId="7FE73548" w14:textId="77777777" w:rsidR="00D16C6D" w:rsidRPr="004B0DC1" w:rsidRDefault="00951FF5" w:rsidP="001A2FBC">
            <w:pPr>
              <w:pStyle w:val="BodyText1"/>
              <w:spacing w:line="240" w:lineRule="auto"/>
              <w:ind w:right="288" w:firstLine="0"/>
              <w:jc w:val="both"/>
            </w:pPr>
            <w:r w:rsidRPr="004B0DC1">
              <w:t>section 50 or 9, as the case may be</w:t>
            </w:r>
          </w:p>
        </w:tc>
      </w:tr>
      <w:tr w:rsidR="00D16C6D" w:rsidRPr="004B0DC1" w14:paraId="4548FA1C" w14:textId="77777777" w:rsidTr="0000186E">
        <w:trPr>
          <w:trHeight w:val="653"/>
        </w:trPr>
        <w:tc>
          <w:tcPr>
            <w:tcW w:w="1801" w:type="pct"/>
            <w:tcBorders>
              <w:top w:val="single" w:sz="4" w:space="0" w:color="auto"/>
              <w:left w:val="single" w:sz="4" w:space="0" w:color="auto"/>
            </w:tcBorders>
          </w:tcPr>
          <w:p w14:paraId="245B9E9F" w14:textId="77777777" w:rsidR="00D16C6D" w:rsidRPr="004B0DC1" w:rsidRDefault="00951FF5" w:rsidP="001A2FBC">
            <w:pPr>
              <w:pStyle w:val="BodyText1"/>
              <w:spacing w:line="240" w:lineRule="auto"/>
              <w:ind w:right="288" w:firstLine="0"/>
              <w:jc w:val="both"/>
            </w:pPr>
            <w:r w:rsidRPr="004B0DC1">
              <w:t>Paragraph 50DA(7)(b)</w:t>
            </w:r>
          </w:p>
        </w:tc>
        <w:tc>
          <w:tcPr>
            <w:tcW w:w="1608" w:type="pct"/>
            <w:tcBorders>
              <w:top w:val="single" w:sz="4" w:space="0" w:color="auto"/>
              <w:left w:val="single" w:sz="4" w:space="0" w:color="auto"/>
            </w:tcBorders>
          </w:tcPr>
          <w:p w14:paraId="69E104FD" w14:textId="77777777" w:rsidR="00D16C6D" w:rsidRPr="004B0DC1" w:rsidRDefault="00951FF5" w:rsidP="001A2FBC">
            <w:pPr>
              <w:pStyle w:val="BodyText1"/>
              <w:spacing w:line="240" w:lineRule="auto"/>
              <w:ind w:right="288" w:firstLine="0"/>
              <w:jc w:val="both"/>
            </w:pPr>
            <w:r w:rsidRPr="004B0DC1">
              <w:t>appeal under section 50B or</w:t>
            </w:r>
          </w:p>
        </w:tc>
        <w:tc>
          <w:tcPr>
            <w:tcW w:w="1591" w:type="pct"/>
            <w:tcBorders>
              <w:top w:val="single" w:sz="4" w:space="0" w:color="auto"/>
              <w:left w:val="single" w:sz="4" w:space="0" w:color="auto"/>
              <w:right w:val="single" w:sz="4" w:space="0" w:color="auto"/>
            </w:tcBorders>
          </w:tcPr>
          <w:p w14:paraId="788945D5" w14:textId="77777777" w:rsidR="00D16C6D" w:rsidRPr="004B0DC1" w:rsidRDefault="00D16C6D" w:rsidP="001A2FBC">
            <w:pPr>
              <w:ind w:right="288"/>
              <w:jc w:val="both"/>
              <w:rPr>
                <w:rFonts w:ascii="Times New Roman" w:hAnsi="Times New Roman"/>
                <w:sz w:val="22"/>
                <w:szCs w:val="10"/>
              </w:rPr>
            </w:pPr>
          </w:p>
        </w:tc>
      </w:tr>
      <w:tr w:rsidR="00D16C6D" w:rsidRPr="004B0DC1" w14:paraId="0F875493" w14:textId="77777777" w:rsidTr="0000186E">
        <w:trPr>
          <w:trHeight w:val="648"/>
        </w:trPr>
        <w:tc>
          <w:tcPr>
            <w:tcW w:w="1801" w:type="pct"/>
            <w:tcBorders>
              <w:top w:val="single" w:sz="4" w:space="0" w:color="auto"/>
              <w:left w:val="single" w:sz="4" w:space="0" w:color="auto"/>
            </w:tcBorders>
          </w:tcPr>
          <w:p w14:paraId="1BAFD639" w14:textId="77777777" w:rsidR="00D16C6D" w:rsidRPr="004B0DC1" w:rsidRDefault="00951FF5" w:rsidP="001A2FBC">
            <w:pPr>
              <w:pStyle w:val="BodyText1"/>
              <w:spacing w:line="240" w:lineRule="auto"/>
              <w:ind w:right="288" w:firstLine="0"/>
              <w:jc w:val="both"/>
            </w:pPr>
            <w:r w:rsidRPr="004B0DC1">
              <w:t>Subsections 50DA(9), (10) and (11)</w:t>
            </w:r>
          </w:p>
        </w:tc>
        <w:tc>
          <w:tcPr>
            <w:tcW w:w="1608" w:type="pct"/>
            <w:tcBorders>
              <w:top w:val="single" w:sz="4" w:space="0" w:color="auto"/>
              <w:left w:val="single" w:sz="4" w:space="0" w:color="auto"/>
            </w:tcBorders>
          </w:tcPr>
          <w:p w14:paraId="43B9F836" w14:textId="77777777" w:rsidR="00D16C6D" w:rsidRPr="004B0DC1" w:rsidRDefault="00951FF5" w:rsidP="001A2FBC">
            <w:pPr>
              <w:pStyle w:val="BodyText1"/>
              <w:spacing w:line="240" w:lineRule="auto"/>
              <w:ind w:right="288" w:firstLine="0"/>
              <w:jc w:val="both"/>
            </w:pPr>
            <w:r w:rsidRPr="004B0DC1">
              <w:t>Secretary (wherever occurring)</w:t>
            </w:r>
          </w:p>
        </w:tc>
        <w:tc>
          <w:tcPr>
            <w:tcW w:w="1591" w:type="pct"/>
            <w:tcBorders>
              <w:top w:val="single" w:sz="4" w:space="0" w:color="auto"/>
              <w:left w:val="single" w:sz="4" w:space="0" w:color="auto"/>
              <w:right w:val="single" w:sz="4" w:space="0" w:color="auto"/>
            </w:tcBorders>
          </w:tcPr>
          <w:p w14:paraId="50740F9A" w14:textId="77777777" w:rsidR="00D16C6D" w:rsidRPr="004B0DC1" w:rsidRDefault="00951FF5" w:rsidP="001A2FBC">
            <w:pPr>
              <w:pStyle w:val="BodyText1"/>
              <w:spacing w:line="240" w:lineRule="auto"/>
              <w:ind w:right="288" w:firstLine="0"/>
              <w:jc w:val="both"/>
            </w:pPr>
            <w:r w:rsidRPr="004B0DC1">
              <w:t>responsible authority</w:t>
            </w:r>
          </w:p>
        </w:tc>
      </w:tr>
      <w:tr w:rsidR="00D16C6D" w:rsidRPr="004B0DC1" w14:paraId="630210A6" w14:textId="77777777" w:rsidTr="0000186E">
        <w:trPr>
          <w:trHeight w:val="922"/>
        </w:trPr>
        <w:tc>
          <w:tcPr>
            <w:tcW w:w="1801" w:type="pct"/>
            <w:tcBorders>
              <w:top w:val="single" w:sz="4" w:space="0" w:color="auto"/>
              <w:left w:val="single" w:sz="4" w:space="0" w:color="auto"/>
            </w:tcBorders>
          </w:tcPr>
          <w:p w14:paraId="55C445C5" w14:textId="77777777" w:rsidR="00D16C6D" w:rsidRPr="004B0DC1" w:rsidRDefault="00951FF5" w:rsidP="001A2FBC">
            <w:pPr>
              <w:pStyle w:val="BodyText1"/>
              <w:spacing w:line="240" w:lineRule="auto"/>
              <w:ind w:right="288" w:firstLine="0"/>
              <w:jc w:val="both"/>
            </w:pPr>
            <w:r w:rsidRPr="004B0DC1">
              <w:t>Subsection 50DB(1)</w:t>
            </w:r>
          </w:p>
        </w:tc>
        <w:tc>
          <w:tcPr>
            <w:tcW w:w="1608" w:type="pct"/>
            <w:tcBorders>
              <w:top w:val="single" w:sz="4" w:space="0" w:color="auto"/>
              <w:left w:val="single" w:sz="4" w:space="0" w:color="auto"/>
            </w:tcBorders>
          </w:tcPr>
          <w:p w14:paraId="65B58383" w14:textId="77777777" w:rsidR="00D16C6D" w:rsidRPr="004B0DC1" w:rsidRDefault="00951FF5" w:rsidP="001A2FBC">
            <w:pPr>
              <w:pStyle w:val="BodyText1"/>
              <w:spacing w:line="240" w:lineRule="auto"/>
              <w:ind w:right="288" w:firstLine="0"/>
              <w:jc w:val="both"/>
            </w:pPr>
            <w:r w:rsidRPr="004B0DC1">
              <w:t>the Secretary of</w:t>
            </w:r>
          </w:p>
        </w:tc>
        <w:tc>
          <w:tcPr>
            <w:tcW w:w="1591" w:type="pct"/>
            <w:tcBorders>
              <w:top w:val="single" w:sz="4" w:space="0" w:color="auto"/>
              <w:left w:val="single" w:sz="4" w:space="0" w:color="auto"/>
              <w:right w:val="single" w:sz="4" w:space="0" w:color="auto"/>
            </w:tcBorders>
          </w:tcPr>
          <w:p w14:paraId="7F831679" w14:textId="77777777" w:rsidR="00D16C6D" w:rsidRPr="004B0DC1" w:rsidRDefault="00951FF5" w:rsidP="001A2FBC">
            <w:pPr>
              <w:pStyle w:val="BodyText1"/>
              <w:spacing w:line="240" w:lineRule="auto"/>
              <w:ind w:right="288" w:firstLine="0"/>
              <w:jc w:val="both"/>
            </w:pPr>
            <w:r w:rsidRPr="004B0DC1">
              <w:t>the responsible authority in relation to</w:t>
            </w:r>
          </w:p>
        </w:tc>
      </w:tr>
      <w:tr w:rsidR="00D16C6D" w:rsidRPr="004B0DC1" w14:paraId="6592E9C9" w14:textId="77777777" w:rsidTr="0000186E">
        <w:trPr>
          <w:trHeight w:val="922"/>
        </w:trPr>
        <w:tc>
          <w:tcPr>
            <w:tcW w:w="1801" w:type="pct"/>
            <w:tcBorders>
              <w:top w:val="single" w:sz="4" w:space="0" w:color="auto"/>
              <w:left w:val="single" w:sz="4" w:space="0" w:color="auto"/>
            </w:tcBorders>
          </w:tcPr>
          <w:p w14:paraId="61459156" w14:textId="77777777" w:rsidR="00D16C6D" w:rsidRPr="004B0DC1" w:rsidRDefault="00951FF5" w:rsidP="001A2FBC">
            <w:pPr>
              <w:pStyle w:val="BodyText1"/>
              <w:spacing w:line="240" w:lineRule="auto"/>
              <w:ind w:right="288" w:firstLine="0"/>
              <w:jc w:val="both"/>
            </w:pPr>
            <w:r w:rsidRPr="004B0DC1">
              <w:t>Subsection 50DB(1)</w:t>
            </w:r>
          </w:p>
        </w:tc>
        <w:tc>
          <w:tcPr>
            <w:tcW w:w="1608" w:type="pct"/>
            <w:tcBorders>
              <w:top w:val="single" w:sz="4" w:space="0" w:color="auto"/>
              <w:left w:val="single" w:sz="4" w:space="0" w:color="auto"/>
            </w:tcBorders>
          </w:tcPr>
          <w:p w14:paraId="44E572B3" w14:textId="77777777" w:rsidR="00D16C6D" w:rsidRPr="004B0DC1" w:rsidRDefault="00951FF5" w:rsidP="001A2FBC">
            <w:pPr>
              <w:pStyle w:val="BodyText1"/>
              <w:spacing w:line="240" w:lineRule="auto"/>
              <w:ind w:right="288" w:firstLine="0"/>
              <w:jc w:val="both"/>
            </w:pPr>
            <w:r w:rsidRPr="004B0DC1">
              <w:t>section 50 or 50DA</w:t>
            </w:r>
          </w:p>
        </w:tc>
        <w:tc>
          <w:tcPr>
            <w:tcW w:w="1591" w:type="pct"/>
            <w:tcBorders>
              <w:top w:val="single" w:sz="4" w:space="0" w:color="auto"/>
              <w:left w:val="single" w:sz="4" w:space="0" w:color="auto"/>
              <w:right w:val="single" w:sz="4" w:space="0" w:color="auto"/>
            </w:tcBorders>
          </w:tcPr>
          <w:p w14:paraId="316E0A6E" w14:textId="77777777" w:rsidR="00D16C6D" w:rsidRPr="004B0DC1" w:rsidRDefault="00951FF5" w:rsidP="001A2FBC">
            <w:pPr>
              <w:pStyle w:val="BodyText1"/>
              <w:spacing w:line="240" w:lineRule="auto"/>
              <w:ind w:right="288" w:firstLine="0"/>
              <w:jc w:val="both"/>
            </w:pPr>
            <w:r w:rsidRPr="004B0DC1">
              <w:t>section 50 or section 9, or section 50DA, as the case may be,</w:t>
            </w:r>
          </w:p>
        </w:tc>
      </w:tr>
      <w:tr w:rsidR="00D16C6D" w:rsidRPr="004B0DC1" w14:paraId="6FA6C622" w14:textId="77777777" w:rsidTr="0000186E">
        <w:trPr>
          <w:trHeight w:val="2606"/>
        </w:trPr>
        <w:tc>
          <w:tcPr>
            <w:tcW w:w="1801" w:type="pct"/>
            <w:tcBorders>
              <w:top w:val="single" w:sz="4" w:space="0" w:color="auto"/>
              <w:left w:val="single" w:sz="4" w:space="0" w:color="auto"/>
            </w:tcBorders>
          </w:tcPr>
          <w:p w14:paraId="501FBD54" w14:textId="77777777" w:rsidR="00D16C6D" w:rsidRPr="004B0DC1" w:rsidRDefault="00951FF5" w:rsidP="001A2FBC">
            <w:pPr>
              <w:pStyle w:val="BodyText1"/>
              <w:spacing w:line="240" w:lineRule="auto"/>
              <w:ind w:right="288" w:firstLine="0"/>
              <w:jc w:val="both"/>
            </w:pPr>
            <w:r w:rsidRPr="004B0DC1">
              <w:t>Subsection 50DB(2)</w:t>
            </w:r>
          </w:p>
        </w:tc>
        <w:tc>
          <w:tcPr>
            <w:tcW w:w="1608" w:type="pct"/>
            <w:tcBorders>
              <w:top w:val="single" w:sz="4" w:space="0" w:color="auto"/>
              <w:left w:val="single" w:sz="4" w:space="0" w:color="auto"/>
            </w:tcBorders>
          </w:tcPr>
          <w:p w14:paraId="6CAF1C46" w14:textId="77777777" w:rsidR="00D16C6D" w:rsidRPr="004B0DC1" w:rsidRDefault="00951FF5" w:rsidP="001A2FBC">
            <w:pPr>
              <w:pStyle w:val="BodyText1"/>
              <w:spacing w:line="240" w:lineRule="auto"/>
              <w:ind w:right="288" w:firstLine="0"/>
              <w:jc w:val="both"/>
            </w:pPr>
            <w:r w:rsidRPr="004B0DC1">
              <w:t>the Board</w:t>
            </w:r>
          </w:p>
        </w:tc>
        <w:tc>
          <w:tcPr>
            <w:tcW w:w="1591" w:type="pct"/>
            <w:tcBorders>
              <w:top w:val="single" w:sz="4" w:space="0" w:color="auto"/>
              <w:left w:val="single" w:sz="4" w:space="0" w:color="auto"/>
              <w:right w:val="single" w:sz="4" w:space="0" w:color="auto"/>
            </w:tcBorders>
          </w:tcPr>
          <w:p w14:paraId="14DCA4B1" w14:textId="77777777" w:rsidR="00D16C6D" w:rsidRPr="004B0DC1" w:rsidRDefault="00951FF5" w:rsidP="001A2FBC">
            <w:pPr>
              <w:pStyle w:val="BodyText1"/>
              <w:spacing w:line="240" w:lineRule="auto"/>
              <w:ind w:right="288" w:firstLine="0"/>
              <w:jc w:val="both"/>
            </w:pPr>
            <w:r w:rsidRPr="004B0DC1">
              <w:t>the President of the Senate, the Speaker of the House of Representatives, or both the President of the Senate and the Speaker of the House of Representatives, as the case may be,</w:t>
            </w:r>
          </w:p>
        </w:tc>
      </w:tr>
      <w:tr w:rsidR="00D16C6D" w:rsidRPr="004B0DC1" w14:paraId="049A6F66" w14:textId="77777777" w:rsidTr="0000186E">
        <w:trPr>
          <w:trHeight w:val="648"/>
        </w:trPr>
        <w:tc>
          <w:tcPr>
            <w:tcW w:w="1801" w:type="pct"/>
            <w:tcBorders>
              <w:top w:val="single" w:sz="4" w:space="0" w:color="auto"/>
              <w:left w:val="single" w:sz="4" w:space="0" w:color="auto"/>
            </w:tcBorders>
          </w:tcPr>
          <w:p w14:paraId="6C0BEA27" w14:textId="77777777" w:rsidR="00D16C6D" w:rsidRPr="004B0DC1" w:rsidRDefault="00951FF5" w:rsidP="001A2FBC">
            <w:pPr>
              <w:pStyle w:val="BodyText1"/>
              <w:spacing w:line="240" w:lineRule="auto"/>
              <w:ind w:right="288" w:firstLine="0"/>
              <w:jc w:val="both"/>
            </w:pPr>
            <w:r w:rsidRPr="004B0DC1">
              <w:t>Subsection 50DB(3)</w:t>
            </w:r>
          </w:p>
        </w:tc>
        <w:tc>
          <w:tcPr>
            <w:tcW w:w="1608" w:type="pct"/>
            <w:tcBorders>
              <w:top w:val="single" w:sz="4" w:space="0" w:color="auto"/>
              <w:left w:val="single" w:sz="4" w:space="0" w:color="auto"/>
            </w:tcBorders>
          </w:tcPr>
          <w:p w14:paraId="2022D846" w14:textId="77777777" w:rsidR="00D16C6D" w:rsidRPr="004B0DC1" w:rsidRDefault="00951FF5" w:rsidP="001A2FBC">
            <w:pPr>
              <w:pStyle w:val="BodyText1"/>
              <w:spacing w:line="240" w:lineRule="auto"/>
              <w:ind w:right="288" w:firstLine="0"/>
              <w:jc w:val="both"/>
            </w:pPr>
            <w:r w:rsidRPr="004B0DC1">
              <w:t>Secretary (wherever occurring)</w:t>
            </w:r>
          </w:p>
        </w:tc>
        <w:tc>
          <w:tcPr>
            <w:tcW w:w="1591" w:type="pct"/>
            <w:tcBorders>
              <w:top w:val="single" w:sz="4" w:space="0" w:color="auto"/>
              <w:left w:val="single" w:sz="4" w:space="0" w:color="auto"/>
              <w:right w:val="single" w:sz="4" w:space="0" w:color="auto"/>
            </w:tcBorders>
          </w:tcPr>
          <w:p w14:paraId="73CFC3E0" w14:textId="77777777" w:rsidR="00D16C6D" w:rsidRPr="004B0DC1" w:rsidRDefault="00951FF5" w:rsidP="001A2FBC">
            <w:pPr>
              <w:pStyle w:val="BodyText1"/>
              <w:spacing w:line="240" w:lineRule="auto"/>
              <w:ind w:right="288" w:firstLine="0"/>
              <w:jc w:val="both"/>
            </w:pPr>
            <w:r w:rsidRPr="004B0DC1">
              <w:t>responsible authority</w:t>
            </w:r>
          </w:p>
        </w:tc>
      </w:tr>
      <w:tr w:rsidR="00D16C6D" w:rsidRPr="004B0DC1" w14:paraId="20BC6A83" w14:textId="77777777" w:rsidTr="0000186E">
        <w:trPr>
          <w:trHeight w:val="648"/>
        </w:trPr>
        <w:tc>
          <w:tcPr>
            <w:tcW w:w="1801" w:type="pct"/>
            <w:tcBorders>
              <w:top w:val="single" w:sz="4" w:space="0" w:color="auto"/>
              <w:left w:val="single" w:sz="4" w:space="0" w:color="auto"/>
            </w:tcBorders>
          </w:tcPr>
          <w:p w14:paraId="33B05BD2" w14:textId="77777777" w:rsidR="00D16C6D" w:rsidRPr="004B0DC1" w:rsidRDefault="00951FF5" w:rsidP="001A2FBC">
            <w:pPr>
              <w:pStyle w:val="BodyText1"/>
              <w:spacing w:line="240" w:lineRule="auto"/>
              <w:ind w:right="288" w:firstLine="0"/>
              <w:jc w:val="both"/>
            </w:pPr>
            <w:r w:rsidRPr="004B0DC1">
              <w:t>Paragraphs 50DB(3)(a) and (b)</w:t>
            </w:r>
          </w:p>
        </w:tc>
        <w:tc>
          <w:tcPr>
            <w:tcW w:w="1608" w:type="pct"/>
            <w:tcBorders>
              <w:top w:val="single" w:sz="4" w:space="0" w:color="auto"/>
              <w:left w:val="single" w:sz="4" w:space="0" w:color="auto"/>
            </w:tcBorders>
          </w:tcPr>
          <w:p w14:paraId="0FBF50DF" w14:textId="77777777" w:rsidR="00D16C6D" w:rsidRPr="004B0DC1" w:rsidRDefault="00951FF5" w:rsidP="001A2FBC">
            <w:pPr>
              <w:pStyle w:val="BodyText1"/>
              <w:spacing w:line="240" w:lineRule="auto"/>
              <w:ind w:right="288" w:firstLine="0"/>
              <w:jc w:val="both"/>
            </w:pPr>
            <w:r w:rsidRPr="004B0DC1">
              <w:t>Secretary’s</w:t>
            </w:r>
          </w:p>
        </w:tc>
        <w:tc>
          <w:tcPr>
            <w:tcW w:w="1591" w:type="pct"/>
            <w:tcBorders>
              <w:top w:val="single" w:sz="4" w:space="0" w:color="auto"/>
              <w:left w:val="single" w:sz="4" w:space="0" w:color="auto"/>
              <w:right w:val="single" w:sz="4" w:space="0" w:color="auto"/>
            </w:tcBorders>
          </w:tcPr>
          <w:p w14:paraId="398E3CB9" w14:textId="77777777" w:rsidR="00D16C6D" w:rsidRPr="004B0DC1" w:rsidRDefault="001A2FBC" w:rsidP="001A2FBC">
            <w:pPr>
              <w:pStyle w:val="BodyText1"/>
              <w:spacing w:line="240" w:lineRule="auto"/>
              <w:ind w:right="288" w:firstLine="0"/>
              <w:jc w:val="both"/>
            </w:pPr>
            <w:r w:rsidRPr="004B0DC1">
              <w:t>R</w:t>
            </w:r>
            <w:r w:rsidR="00951FF5" w:rsidRPr="004B0DC1">
              <w:t>esponsible</w:t>
            </w:r>
            <w:r>
              <w:t xml:space="preserve"> </w:t>
            </w:r>
            <w:r w:rsidR="00951FF5" w:rsidRPr="004B0DC1">
              <w:t>authority’s</w:t>
            </w:r>
          </w:p>
        </w:tc>
      </w:tr>
      <w:tr w:rsidR="00D16C6D" w:rsidRPr="004B0DC1" w14:paraId="220232B2" w14:textId="77777777" w:rsidTr="0000186E">
        <w:trPr>
          <w:trHeight w:val="648"/>
        </w:trPr>
        <w:tc>
          <w:tcPr>
            <w:tcW w:w="1801" w:type="pct"/>
            <w:tcBorders>
              <w:top w:val="single" w:sz="4" w:space="0" w:color="auto"/>
              <w:left w:val="single" w:sz="4" w:space="0" w:color="auto"/>
            </w:tcBorders>
          </w:tcPr>
          <w:p w14:paraId="774EED3E" w14:textId="77777777" w:rsidR="00D16C6D" w:rsidRPr="004B0DC1" w:rsidRDefault="00951FF5" w:rsidP="001A2FBC">
            <w:pPr>
              <w:pStyle w:val="BodyText1"/>
              <w:spacing w:line="240" w:lineRule="auto"/>
              <w:ind w:right="288" w:firstLine="0"/>
              <w:jc w:val="both"/>
            </w:pPr>
            <w:r w:rsidRPr="004B0DC1">
              <w:t>Paragraph 50DB(4)(b)</w:t>
            </w:r>
          </w:p>
        </w:tc>
        <w:tc>
          <w:tcPr>
            <w:tcW w:w="1608" w:type="pct"/>
            <w:tcBorders>
              <w:top w:val="single" w:sz="4" w:space="0" w:color="auto"/>
              <w:left w:val="single" w:sz="4" w:space="0" w:color="auto"/>
            </w:tcBorders>
          </w:tcPr>
          <w:p w14:paraId="29F05292" w14:textId="77777777" w:rsidR="00D16C6D" w:rsidRPr="004B0DC1" w:rsidRDefault="00951FF5" w:rsidP="001A2FBC">
            <w:pPr>
              <w:pStyle w:val="BodyText1"/>
              <w:spacing w:line="240" w:lineRule="auto"/>
              <w:ind w:right="288" w:firstLine="0"/>
              <w:jc w:val="both"/>
            </w:pPr>
            <w:r w:rsidRPr="004B0DC1">
              <w:t>Secretary of</w:t>
            </w:r>
          </w:p>
        </w:tc>
        <w:tc>
          <w:tcPr>
            <w:tcW w:w="1591" w:type="pct"/>
            <w:tcBorders>
              <w:top w:val="single" w:sz="4" w:space="0" w:color="auto"/>
              <w:left w:val="single" w:sz="4" w:space="0" w:color="auto"/>
              <w:right w:val="single" w:sz="4" w:space="0" w:color="auto"/>
            </w:tcBorders>
          </w:tcPr>
          <w:p w14:paraId="039C6603" w14:textId="77777777" w:rsidR="00D16C6D" w:rsidRPr="004B0DC1" w:rsidRDefault="00951FF5" w:rsidP="001A2FBC">
            <w:pPr>
              <w:pStyle w:val="BodyText1"/>
              <w:spacing w:line="240" w:lineRule="auto"/>
              <w:ind w:right="288" w:firstLine="0"/>
              <w:jc w:val="both"/>
            </w:pPr>
            <w:r w:rsidRPr="004B0DC1">
              <w:t>responsible authority in relation to</w:t>
            </w:r>
          </w:p>
        </w:tc>
      </w:tr>
      <w:tr w:rsidR="00D16C6D" w:rsidRPr="004B0DC1" w14:paraId="143287EE" w14:textId="77777777" w:rsidTr="0000186E">
        <w:trPr>
          <w:trHeight w:val="653"/>
        </w:trPr>
        <w:tc>
          <w:tcPr>
            <w:tcW w:w="1801" w:type="pct"/>
            <w:tcBorders>
              <w:top w:val="single" w:sz="4" w:space="0" w:color="auto"/>
              <w:left w:val="single" w:sz="4" w:space="0" w:color="auto"/>
            </w:tcBorders>
          </w:tcPr>
          <w:p w14:paraId="495F9395" w14:textId="77777777" w:rsidR="00D16C6D" w:rsidRPr="004B0DC1" w:rsidRDefault="00951FF5" w:rsidP="001A2FBC">
            <w:pPr>
              <w:pStyle w:val="BodyText1"/>
              <w:spacing w:line="240" w:lineRule="auto"/>
              <w:ind w:right="288" w:firstLine="0"/>
              <w:jc w:val="both"/>
            </w:pPr>
            <w:r w:rsidRPr="004B0DC1">
              <w:t>Subsection 50DB(5)</w:t>
            </w:r>
          </w:p>
        </w:tc>
        <w:tc>
          <w:tcPr>
            <w:tcW w:w="1608" w:type="pct"/>
            <w:tcBorders>
              <w:top w:val="single" w:sz="4" w:space="0" w:color="auto"/>
              <w:left w:val="single" w:sz="4" w:space="0" w:color="auto"/>
            </w:tcBorders>
          </w:tcPr>
          <w:p w14:paraId="72AD8874" w14:textId="77777777" w:rsidR="00D16C6D" w:rsidRPr="004B0DC1" w:rsidRDefault="00951FF5" w:rsidP="001A2FBC">
            <w:pPr>
              <w:pStyle w:val="BodyText1"/>
              <w:spacing w:line="240" w:lineRule="auto"/>
              <w:ind w:right="288" w:firstLine="0"/>
              <w:jc w:val="both"/>
            </w:pPr>
            <w:r w:rsidRPr="004B0DC1">
              <w:t>appeal under section 50B or</w:t>
            </w:r>
          </w:p>
        </w:tc>
        <w:tc>
          <w:tcPr>
            <w:tcW w:w="1591" w:type="pct"/>
            <w:tcBorders>
              <w:top w:val="single" w:sz="4" w:space="0" w:color="auto"/>
              <w:left w:val="single" w:sz="4" w:space="0" w:color="auto"/>
              <w:right w:val="single" w:sz="4" w:space="0" w:color="auto"/>
            </w:tcBorders>
          </w:tcPr>
          <w:p w14:paraId="0658B55E" w14:textId="77777777" w:rsidR="00D16C6D" w:rsidRPr="004B0DC1" w:rsidRDefault="00D16C6D" w:rsidP="001A2FBC">
            <w:pPr>
              <w:ind w:right="288"/>
              <w:jc w:val="both"/>
              <w:rPr>
                <w:rFonts w:ascii="Times New Roman" w:hAnsi="Times New Roman"/>
                <w:sz w:val="22"/>
                <w:szCs w:val="10"/>
              </w:rPr>
            </w:pPr>
          </w:p>
        </w:tc>
      </w:tr>
      <w:tr w:rsidR="00D16C6D" w:rsidRPr="004B0DC1" w14:paraId="28C271E9" w14:textId="77777777" w:rsidTr="0000186E">
        <w:trPr>
          <w:trHeight w:val="614"/>
        </w:trPr>
        <w:tc>
          <w:tcPr>
            <w:tcW w:w="1801" w:type="pct"/>
            <w:tcBorders>
              <w:top w:val="single" w:sz="4" w:space="0" w:color="auto"/>
              <w:left w:val="single" w:sz="4" w:space="0" w:color="auto"/>
              <w:bottom w:val="single" w:sz="4" w:space="0" w:color="auto"/>
            </w:tcBorders>
          </w:tcPr>
          <w:p w14:paraId="71957273" w14:textId="77777777" w:rsidR="00D16C6D" w:rsidRPr="004B0DC1" w:rsidRDefault="00951FF5" w:rsidP="001A2FBC">
            <w:pPr>
              <w:pStyle w:val="BodyText1"/>
              <w:spacing w:line="240" w:lineRule="auto"/>
              <w:ind w:right="288" w:firstLine="0"/>
              <w:jc w:val="both"/>
            </w:pPr>
            <w:r w:rsidRPr="004B0DC1">
              <w:t>Subsection 50DB(6)</w:t>
            </w:r>
          </w:p>
        </w:tc>
        <w:tc>
          <w:tcPr>
            <w:tcW w:w="1608" w:type="pct"/>
            <w:tcBorders>
              <w:top w:val="single" w:sz="4" w:space="0" w:color="auto"/>
              <w:left w:val="single" w:sz="4" w:space="0" w:color="auto"/>
              <w:bottom w:val="single" w:sz="4" w:space="0" w:color="auto"/>
            </w:tcBorders>
          </w:tcPr>
          <w:p w14:paraId="0D54A070" w14:textId="77777777" w:rsidR="00D16C6D" w:rsidRPr="004B0DC1" w:rsidRDefault="00951FF5" w:rsidP="001A2FBC">
            <w:pPr>
              <w:pStyle w:val="BodyText1"/>
              <w:spacing w:line="240" w:lineRule="auto"/>
              <w:ind w:right="288" w:firstLine="0"/>
              <w:jc w:val="both"/>
            </w:pPr>
            <w:r w:rsidRPr="004B0DC1">
              <w:t>Secretary (wherever occurring)</w:t>
            </w:r>
          </w:p>
        </w:tc>
        <w:tc>
          <w:tcPr>
            <w:tcW w:w="1591" w:type="pct"/>
            <w:tcBorders>
              <w:top w:val="single" w:sz="4" w:space="0" w:color="auto"/>
              <w:left w:val="single" w:sz="4" w:space="0" w:color="auto"/>
              <w:bottom w:val="single" w:sz="4" w:space="0" w:color="auto"/>
              <w:right w:val="single" w:sz="4" w:space="0" w:color="auto"/>
            </w:tcBorders>
          </w:tcPr>
          <w:p w14:paraId="029BA981" w14:textId="77777777" w:rsidR="00D16C6D" w:rsidRPr="004B0DC1" w:rsidRDefault="00951FF5" w:rsidP="001A2FBC">
            <w:pPr>
              <w:pStyle w:val="BodyText1"/>
              <w:spacing w:line="240" w:lineRule="auto"/>
              <w:ind w:right="288" w:firstLine="0"/>
              <w:jc w:val="both"/>
            </w:pPr>
            <w:r w:rsidRPr="004B0DC1">
              <w:t>responsible authority</w:t>
            </w:r>
          </w:p>
        </w:tc>
      </w:tr>
    </w:tbl>
    <w:p w14:paraId="4698CC64" w14:textId="77777777" w:rsidR="0000186E" w:rsidRDefault="0000186E" w:rsidP="001A2FBC">
      <w:pPr>
        <w:ind w:right="288"/>
        <w:rPr>
          <w:rStyle w:val="Bodytext61"/>
          <w:rFonts w:eastAsia="Courier New"/>
        </w:rPr>
      </w:pPr>
      <w:r>
        <w:rPr>
          <w:rStyle w:val="Bodytext61"/>
          <w:rFonts w:eastAsia="Courier New"/>
          <w:i w:val="0"/>
          <w:iCs w:val="0"/>
        </w:rPr>
        <w:br w:type="page"/>
      </w:r>
    </w:p>
    <w:p w14:paraId="6EE5F383" w14:textId="77777777" w:rsidR="00D16C6D" w:rsidRDefault="00951FF5" w:rsidP="00D608FB">
      <w:pPr>
        <w:pStyle w:val="Tablecaption0"/>
        <w:spacing w:before="120" w:after="120" w:line="240" w:lineRule="auto"/>
        <w:jc w:val="center"/>
      </w:pPr>
      <w:r w:rsidRPr="0000186E">
        <w:rPr>
          <w:b/>
        </w:rPr>
        <w:lastRenderedPageBreak/>
        <w:t>SCHEDULE</w:t>
      </w:r>
      <w:r w:rsidRPr="004B0DC1">
        <w:t>—continued</w:t>
      </w:r>
    </w:p>
    <w:tbl>
      <w:tblPr>
        <w:tblOverlap w:val="never"/>
        <w:tblW w:w="5000" w:type="pct"/>
        <w:tblCellMar>
          <w:left w:w="10" w:type="dxa"/>
          <w:right w:w="10" w:type="dxa"/>
        </w:tblCellMar>
        <w:tblLook w:val="0000" w:firstRow="0" w:lastRow="0" w:firstColumn="0" w:lastColumn="0" w:noHBand="0" w:noVBand="0"/>
      </w:tblPr>
      <w:tblGrid>
        <w:gridCol w:w="3377"/>
        <w:gridCol w:w="3056"/>
        <w:gridCol w:w="2947"/>
      </w:tblGrid>
      <w:tr w:rsidR="00D16C6D" w:rsidRPr="004B0DC1" w14:paraId="08AD7599" w14:textId="77777777" w:rsidTr="0000186E">
        <w:trPr>
          <w:trHeight w:val="653"/>
        </w:trPr>
        <w:tc>
          <w:tcPr>
            <w:tcW w:w="1800" w:type="pct"/>
            <w:tcBorders>
              <w:top w:val="single" w:sz="4" w:space="0" w:color="auto"/>
              <w:left w:val="single" w:sz="4" w:space="0" w:color="auto"/>
            </w:tcBorders>
          </w:tcPr>
          <w:p w14:paraId="06BBEAF8" w14:textId="77777777" w:rsidR="00D16C6D" w:rsidRPr="0000186E" w:rsidRDefault="00951FF5" w:rsidP="0000186E">
            <w:pPr>
              <w:pStyle w:val="BodyText1"/>
              <w:spacing w:line="240" w:lineRule="auto"/>
              <w:ind w:firstLine="0"/>
              <w:jc w:val="center"/>
              <w:rPr>
                <w:b/>
              </w:rPr>
            </w:pPr>
            <w:r w:rsidRPr="0000186E">
              <w:rPr>
                <w:b/>
              </w:rPr>
              <w:t>Column 1 Provision modified</w:t>
            </w:r>
          </w:p>
        </w:tc>
        <w:tc>
          <w:tcPr>
            <w:tcW w:w="1629" w:type="pct"/>
            <w:tcBorders>
              <w:top w:val="single" w:sz="4" w:space="0" w:color="auto"/>
              <w:left w:val="single" w:sz="4" w:space="0" w:color="auto"/>
            </w:tcBorders>
          </w:tcPr>
          <w:p w14:paraId="7231E1AA" w14:textId="77777777" w:rsidR="00D16C6D" w:rsidRPr="0000186E" w:rsidRDefault="00951FF5" w:rsidP="0000186E">
            <w:pPr>
              <w:pStyle w:val="BodyText1"/>
              <w:spacing w:line="240" w:lineRule="auto"/>
              <w:ind w:firstLine="0"/>
              <w:jc w:val="center"/>
              <w:rPr>
                <w:b/>
              </w:rPr>
            </w:pPr>
            <w:r w:rsidRPr="0000186E">
              <w:rPr>
                <w:b/>
              </w:rPr>
              <w:t>Column 2 Omit</w:t>
            </w:r>
          </w:p>
        </w:tc>
        <w:tc>
          <w:tcPr>
            <w:tcW w:w="1571" w:type="pct"/>
            <w:tcBorders>
              <w:top w:val="single" w:sz="4" w:space="0" w:color="auto"/>
              <w:left w:val="single" w:sz="4" w:space="0" w:color="auto"/>
              <w:right w:val="single" w:sz="4" w:space="0" w:color="auto"/>
            </w:tcBorders>
          </w:tcPr>
          <w:p w14:paraId="7EAB3216" w14:textId="77777777" w:rsidR="00D16C6D" w:rsidRPr="0000186E" w:rsidRDefault="00951FF5" w:rsidP="0000186E">
            <w:pPr>
              <w:pStyle w:val="BodyText1"/>
              <w:spacing w:line="240" w:lineRule="auto"/>
              <w:ind w:firstLine="0"/>
              <w:jc w:val="center"/>
              <w:rPr>
                <w:b/>
              </w:rPr>
            </w:pPr>
            <w:r w:rsidRPr="0000186E">
              <w:rPr>
                <w:b/>
              </w:rPr>
              <w:t>Column 3 Substitute</w:t>
            </w:r>
          </w:p>
        </w:tc>
      </w:tr>
      <w:tr w:rsidR="00D16C6D" w:rsidRPr="004B0DC1" w14:paraId="5E058C62" w14:textId="77777777" w:rsidTr="0000186E">
        <w:trPr>
          <w:trHeight w:val="2102"/>
        </w:trPr>
        <w:tc>
          <w:tcPr>
            <w:tcW w:w="1800" w:type="pct"/>
            <w:tcBorders>
              <w:top w:val="single" w:sz="4" w:space="0" w:color="auto"/>
              <w:left w:val="single" w:sz="4" w:space="0" w:color="auto"/>
            </w:tcBorders>
          </w:tcPr>
          <w:p w14:paraId="01852EF3" w14:textId="77777777" w:rsidR="00D16C6D" w:rsidRPr="004B0DC1" w:rsidRDefault="00951FF5" w:rsidP="001A2FBC">
            <w:pPr>
              <w:pStyle w:val="BodyText1"/>
              <w:spacing w:line="240" w:lineRule="auto"/>
              <w:ind w:right="288" w:firstLine="0"/>
              <w:jc w:val="both"/>
            </w:pPr>
            <w:r w:rsidRPr="004B0DC1">
              <w:t>Subsection 50DB(6)</w:t>
            </w:r>
          </w:p>
        </w:tc>
        <w:tc>
          <w:tcPr>
            <w:tcW w:w="1629" w:type="pct"/>
            <w:tcBorders>
              <w:top w:val="single" w:sz="4" w:space="0" w:color="auto"/>
              <w:left w:val="single" w:sz="4" w:space="0" w:color="auto"/>
            </w:tcBorders>
          </w:tcPr>
          <w:p w14:paraId="6D66D4E0" w14:textId="77777777" w:rsidR="00D16C6D" w:rsidRPr="004B0DC1" w:rsidRDefault="00951FF5" w:rsidP="001A2FBC">
            <w:pPr>
              <w:pStyle w:val="BodyText1"/>
              <w:spacing w:line="240" w:lineRule="auto"/>
              <w:ind w:right="288" w:firstLine="0"/>
              <w:jc w:val="both"/>
            </w:pPr>
            <w:r w:rsidRPr="004B0DC1">
              <w:t>section 50, and a promotion so made is subject to appeal under section 50B or review under section 50DAA, as the case requires</w:t>
            </w:r>
          </w:p>
        </w:tc>
        <w:tc>
          <w:tcPr>
            <w:tcW w:w="1571" w:type="pct"/>
            <w:tcBorders>
              <w:top w:val="single" w:sz="4" w:space="0" w:color="auto"/>
              <w:left w:val="single" w:sz="4" w:space="0" w:color="auto"/>
              <w:right w:val="single" w:sz="4" w:space="0" w:color="auto"/>
            </w:tcBorders>
          </w:tcPr>
          <w:p w14:paraId="1D0182D9" w14:textId="77777777" w:rsidR="00D16C6D" w:rsidRPr="004B0DC1" w:rsidRDefault="00951FF5" w:rsidP="001A2FBC">
            <w:pPr>
              <w:pStyle w:val="BodyText1"/>
              <w:spacing w:line="240" w:lineRule="auto"/>
              <w:ind w:right="288" w:firstLine="0"/>
              <w:jc w:val="both"/>
            </w:pPr>
            <w:r w:rsidRPr="004B0DC1">
              <w:t>section 9 or 50, as the case may be, and a promotion so made is subject to review under section 50DAA</w:t>
            </w:r>
          </w:p>
        </w:tc>
      </w:tr>
      <w:tr w:rsidR="00D16C6D" w:rsidRPr="004B0DC1" w14:paraId="6FC92E9A" w14:textId="77777777" w:rsidTr="0000186E">
        <w:trPr>
          <w:trHeight w:val="1512"/>
        </w:trPr>
        <w:tc>
          <w:tcPr>
            <w:tcW w:w="1800" w:type="pct"/>
            <w:tcBorders>
              <w:top w:val="single" w:sz="4" w:space="0" w:color="auto"/>
              <w:left w:val="single" w:sz="4" w:space="0" w:color="auto"/>
            </w:tcBorders>
          </w:tcPr>
          <w:p w14:paraId="15E7655E" w14:textId="77777777" w:rsidR="00D16C6D" w:rsidRPr="004B0DC1" w:rsidRDefault="00951FF5" w:rsidP="001A2FBC">
            <w:pPr>
              <w:pStyle w:val="BodyText1"/>
              <w:spacing w:line="240" w:lineRule="auto"/>
              <w:ind w:right="288" w:firstLine="0"/>
              <w:jc w:val="both"/>
            </w:pPr>
            <w:r w:rsidRPr="004B0DC1">
              <w:t>Subsection 50DB(7)</w:t>
            </w:r>
          </w:p>
        </w:tc>
        <w:tc>
          <w:tcPr>
            <w:tcW w:w="1629" w:type="pct"/>
            <w:tcBorders>
              <w:top w:val="single" w:sz="4" w:space="0" w:color="auto"/>
              <w:left w:val="single" w:sz="4" w:space="0" w:color="auto"/>
            </w:tcBorders>
          </w:tcPr>
          <w:p w14:paraId="692891DA" w14:textId="77777777" w:rsidR="00D16C6D" w:rsidRPr="004B0DC1" w:rsidRDefault="00951FF5" w:rsidP="001A2FBC">
            <w:pPr>
              <w:pStyle w:val="BodyText1"/>
              <w:spacing w:line="240" w:lineRule="auto"/>
              <w:ind w:right="288" w:firstLine="0"/>
              <w:jc w:val="both"/>
            </w:pPr>
            <w:r w:rsidRPr="004B0DC1">
              <w:t>whether or not the promotion is subject to appeal under section 50B or review under section 50DAA</w:t>
            </w:r>
          </w:p>
        </w:tc>
        <w:tc>
          <w:tcPr>
            <w:tcW w:w="1571" w:type="pct"/>
            <w:tcBorders>
              <w:top w:val="single" w:sz="4" w:space="0" w:color="auto"/>
              <w:left w:val="single" w:sz="4" w:space="0" w:color="auto"/>
              <w:right w:val="single" w:sz="4" w:space="0" w:color="auto"/>
            </w:tcBorders>
          </w:tcPr>
          <w:p w14:paraId="547035B4" w14:textId="77777777" w:rsidR="00D16C6D" w:rsidRPr="004B0DC1" w:rsidRDefault="00951FF5" w:rsidP="001A2FBC">
            <w:pPr>
              <w:pStyle w:val="BodyText1"/>
              <w:spacing w:line="240" w:lineRule="auto"/>
              <w:ind w:right="288" w:firstLine="0"/>
              <w:jc w:val="both"/>
            </w:pPr>
            <w:r w:rsidRPr="004B0DC1">
              <w:t>that the promotion is subject to review under section 50DAA</w:t>
            </w:r>
          </w:p>
        </w:tc>
      </w:tr>
      <w:tr w:rsidR="00D16C6D" w:rsidRPr="004B0DC1" w14:paraId="713685AE" w14:textId="77777777" w:rsidTr="0000186E">
        <w:trPr>
          <w:trHeight w:val="384"/>
        </w:trPr>
        <w:tc>
          <w:tcPr>
            <w:tcW w:w="1800" w:type="pct"/>
            <w:tcBorders>
              <w:top w:val="single" w:sz="4" w:space="0" w:color="auto"/>
              <w:left w:val="single" w:sz="4" w:space="0" w:color="auto"/>
            </w:tcBorders>
          </w:tcPr>
          <w:p w14:paraId="140DBF96" w14:textId="77777777" w:rsidR="00D16C6D" w:rsidRPr="004B0DC1" w:rsidRDefault="00951FF5" w:rsidP="001A2FBC">
            <w:pPr>
              <w:pStyle w:val="BodyText1"/>
              <w:spacing w:line="240" w:lineRule="auto"/>
              <w:ind w:right="288" w:firstLine="0"/>
              <w:jc w:val="both"/>
            </w:pPr>
            <w:r w:rsidRPr="004B0DC1">
              <w:t>Paragraph 50DB(10)(a)</w:t>
            </w:r>
          </w:p>
        </w:tc>
        <w:tc>
          <w:tcPr>
            <w:tcW w:w="1629" w:type="pct"/>
            <w:tcBorders>
              <w:top w:val="single" w:sz="4" w:space="0" w:color="auto"/>
              <w:left w:val="single" w:sz="4" w:space="0" w:color="auto"/>
            </w:tcBorders>
          </w:tcPr>
          <w:p w14:paraId="6E7B97DC" w14:textId="77777777" w:rsidR="00D16C6D" w:rsidRPr="004B0DC1" w:rsidRDefault="00951FF5" w:rsidP="001A2FBC">
            <w:pPr>
              <w:pStyle w:val="BodyText1"/>
              <w:spacing w:line="240" w:lineRule="auto"/>
              <w:ind w:right="288" w:firstLine="0"/>
              <w:jc w:val="both"/>
            </w:pPr>
            <w:r w:rsidRPr="004B0DC1">
              <w:t>Secretary</w:t>
            </w:r>
          </w:p>
        </w:tc>
        <w:tc>
          <w:tcPr>
            <w:tcW w:w="1571" w:type="pct"/>
            <w:tcBorders>
              <w:top w:val="single" w:sz="4" w:space="0" w:color="auto"/>
              <w:left w:val="single" w:sz="4" w:space="0" w:color="auto"/>
              <w:right w:val="single" w:sz="4" w:space="0" w:color="auto"/>
            </w:tcBorders>
          </w:tcPr>
          <w:p w14:paraId="167DBFDF" w14:textId="77777777" w:rsidR="00D16C6D" w:rsidRPr="004B0DC1" w:rsidRDefault="00951FF5" w:rsidP="001A2FBC">
            <w:pPr>
              <w:pStyle w:val="BodyText1"/>
              <w:spacing w:line="240" w:lineRule="auto"/>
              <w:ind w:right="288" w:firstLine="0"/>
              <w:jc w:val="both"/>
            </w:pPr>
            <w:r w:rsidRPr="004B0DC1">
              <w:t>responsible authority</w:t>
            </w:r>
          </w:p>
        </w:tc>
      </w:tr>
      <w:tr w:rsidR="00D16C6D" w:rsidRPr="004B0DC1" w14:paraId="71C94131" w14:textId="77777777" w:rsidTr="0000186E">
        <w:trPr>
          <w:trHeight w:val="672"/>
        </w:trPr>
        <w:tc>
          <w:tcPr>
            <w:tcW w:w="1800" w:type="pct"/>
            <w:tcBorders>
              <w:top w:val="single" w:sz="4" w:space="0" w:color="auto"/>
              <w:left w:val="single" w:sz="4" w:space="0" w:color="auto"/>
            </w:tcBorders>
          </w:tcPr>
          <w:p w14:paraId="53B362D7" w14:textId="77777777" w:rsidR="00D16C6D" w:rsidRPr="004B0DC1" w:rsidRDefault="00951FF5" w:rsidP="001A2FBC">
            <w:pPr>
              <w:pStyle w:val="BodyText1"/>
              <w:spacing w:line="240" w:lineRule="auto"/>
              <w:ind w:right="288" w:firstLine="0"/>
              <w:jc w:val="both"/>
            </w:pPr>
            <w:r w:rsidRPr="004B0DC1">
              <w:t>Subsections 50DB(11) and (12)</w:t>
            </w:r>
          </w:p>
        </w:tc>
        <w:tc>
          <w:tcPr>
            <w:tcW w:w="1629" w:type="pct"/>
            <w:tcBorders>
              <w:top w:val="single" w:sz="4" w:space="0" w:color="auto"/>
              <w:left w:val="single" w:sz="4" w:space="0" w:color="auto"/>
            </w:tcBorders>
          </w:tcPr>
          <w:p w14:paraId="23E3AB0C" w14:textId="77777777" w:rsidR="00D16C6D" w:rsidRPr="004B0DC1" w:rsidRDefault="00951FF5" w:rsidP="001A2FBC">
            <w:pPr>
              <w:pStyle w:val="BodyText1"/>
              <w:spacing w:line="240" w:lineRule="auto"/>
              <w:ind w:right="288" w:firstLine="0"/>
              <w:jc w:val="both"/>
            </w:pPr>
            <w:r w:rsidRPr="004B0DC1">
              <w:t>Secretary (wherever occurring)</w:t>
            </w:r>
          </w:p>
        </w:tc>
        <w:tc>
          <w:tcPr>
            <w:tcW w:w="1571" w:type="pct"/>
            <w:tcBorders>
              <w:top w:val="single" w:sz="4" w:space="0" w:color="auto"/>
              <w:left w:val="single" w:sz="4" w:space="0" w:color="auto"/>
              <w:right w:val="single" w:sz="4" w:space="0" w:color="auto"/>
            </w:tcBorders>
          </w:tcPr>
          <w:p w14:paraId="7025B623" w14:textId="77777777" w:rsidR="00D16C6D" w:rsidRPr="004B0DC1" w:rsidRDefault="00951FF5" w:rsidP="001A2FBC">
            <w:pPr>
              <w:pStyle w:val="BodyText1"/>
              <w:spacing w:line="240" w:lineRule="auto"/>
              <w:ind w:right="288" w:firstLine="0"/>
              <w:jc w:val="both"/>
            </w:pPr>
            <w:r w:rsidRPr="004B0DC1">
              <w:t>responsible authority</w:t>
            </w:r>
          </w:p>
        </w:tc>
      </w:tr>
      <w:tr w:rsidR="00D16C6D" w:rsidRPr="004B0DC1" w14:paraId="02172B1F" w14:textId="77777777" w:rsidTr="0000186E">
        <w:trPr>
          <w:trHeight w:val="384"/>
        </w:trPr>
        <w:tc>
          <w:tcPr>
            <w:tcW w:w="1800" w:type="pct"/>
            <w:tcBorders>
              <w:top w:val="single" w:sz="4" w:space="0" w:color="auto"/>
              <w:left w:val="single" w:sz="4" w:space="0" w:color="auto"/>
            </w:tcBorders>
          </w:tcPr>
          <w:p w14:paraId="50D6E4F8" w14:textId="77777777" w:rsidR="00D16C6D" w:rsidRPr="004B0DC1" w:rsidRDefault="00951FF5" w:rsidP="001A2FBC">
            <w:pPr>
              <w:pStyle w:val="BodyText1"/>
              <w:spacing w:line="240" w:lineRule="auto"/>
              <w:ind w:right="288" w:firstLine="0"/>
              <w:jc w:val="both"/>
            </w:pPr>
            <w:r w:rsidRPr="004B0DC1">
              <w:t>Subsection 50DC(1)</w:t>
            </w:r>
          </w:p>
        </w:tc>
        <w:tc>
          <w:tcPr>
            <w:tcW w:w="1629" w:type="pct"/>
            <w:tcBorders>
              <w:top w:val="single" w:sz="4" w:space="0" w:color="auto"/>
              <w:left w:val="single" w:sz="4" w:space="0" w:color="auto"/>
            </w:tcBorders>
          </w:tcPr>
          <w:p w14:paraId="5F1AD4C9" w14:textId="77777777" w:rsidR="00D16C6D" w:rsidRPr="004B0DC1" w:rsidRDefault="00951FF5" w:rsidP="001A2FBC">
            <w:pPr>
              <w:pStyle w:val="BodyText1"/>
              <w:spacing w:line="240" w:lineRule="auto"/>
              <w:ind w:right="288" w:firstLine="0"/>
              <w:jc w:val="both"/>
            </w:pPr>
            <w:r w:rsidRPr="004B0DC1">
              <w:t>Secretary</w:t>
            </w:r>
          </w:p>
        </w:tc>
        <w:tc>
          <w:tcPr>
            <w:tcW w:w="1571" w:type="pct"/>
            <w:tcBorders>
              <w:top w:val="single" w:sz="4" w:space="0" w:color="auto"/>
              <w:left w:val="single" w:sz="4" w:space="0" w:color="auto"/>
              <w:right w:val="single" w:sz="4" w:space="0" w:color="auto"/>
            </w:tcBorders>
          </w:tcPr>
          <w:p w14:paraId="236202EE" w14:textId="77777777" w:rsidR="00D16C6D" w:rsidRPr="004B0DC1" w:rsidRDefault="00951FF5" w:rsidP="001A2FBC">
            <w:pPr>
              <w:pStyle w:val="BodyText1"/>
              <w:spacing w:line="240" w:lineRule="auto"/>
              <w:ind w:right="288" w:firstLine="0"/>
              <w:jc w:val="both"/>
            </w:pPr>
            <w:r w:rsidRPr="004B0DC1">
              <w:t>responsible authority</w:t>
            </w:r>
          </w:p>
        </w:tc>
      </w:tr>
      <w:tr w:rsidR="00D16C6D" w:rsidRPr="004B0DC1" w14:paraId="3A1A4065" w14:textId="77777777" w:rsidTr="0000186E">
        <w:trPr>
          <w:trHeight w:val="379"/>
        </w:trPr>
        <w:tc>
          <w:tcPr>
            <w:tcW w:w="1800" w:type="pct"/>
            <w:tcBorders>
              <w:top w:val="single" w:sz="4" w:space="0" w:color="auto"/>
              <w:left w:val="single" w:sz="4" w:space="0" w:color="auto"/>
            </w:tcBorders>
          </w:tcPr>
          <w:p w14:paraId="4DDE02C0" w14:textId="77777777" w:rsidR="00D16C6D" w:rsidRPr="004B0DC1" w:rsidRDefault="00951FF5" w:rsidP="001A2FBC">
            <w:pPr>
              <w:pStyle w:val="BodyText1"/>
              <w:spacing w:line="240" w:lineRule="auto"/>
              <w:ind w:right="288" w:firstLine="0"/>
              <w:jc w:val="both"/>
            </w:pPr>
            <w:r w:rsidRPr="004B0DC1">
              <w:t>Subsection 50E(2)</w:t>
            </w:r>
          </w:p>
        </w:tc>
        <w:tc>
          <w:tcPr>
            <w:tcW w:w="1629" w:type="pct"/>
            <w:tcBorders>
              <w:top w:val="single" w:sz="4" w:space="0" w:color="auto"/>
              <w:left w:val="single" w:sz="4" w:space="0" w:color="auto"/>
            </w:tcBorders>
          </w:tcPr>
          <w:p w14:paraId="591C6C52" w14:textId="77777777" w:rsidR="00D16C6D" w:rsidRPr="004B0DC1" w:rsidRDefault="00951FF5" w:rsidP="001A2FBC">
            <w:pPr>
              <w:pStyle w:val="BodyText1"/>
              <w:spacing w:line="240" w:lineRule="auto"/>
              <w:ind w:right="288" w:firstLine="0"/>
              <w:jc w:val="both"/>
            </w:pPr>
            <w:r w:rsidRPr="004B0DC1">
              <w:t>50</w:t>
            </w:r>
          </w:p>
        </w:tc>
        <w:tc>
          <w:tcPr>
            <w:tcW w:w="1571" w:type="pct"/>
            <w:tcBorders>
              <w:top w:val="single" w:sz="4" w:space="0" w:color="auto"/>
              <w:left w:val="single" w:sz="4" w:space="0" w:color="auto"/>
              <w:right w:val="single" w:sz="4" w:space="0" w:color="auto"/>
            </w:tcBorders>
          </w:tcPr>
          <w:p w14:paraId="32747E33" w14:textId="77777777" w:rsidR="00D16C6D" w:rsidRPr="004B0DC1" w:rsidRDefault="00951FF5" w:rsidP="001A2FBC">
            <w:pPr>
              <w:pStyle w:val="BodyText1"/>
              <w:spacing w:line="240" w:lineRule="auto"/>
              <w:ind w:right="288" w:firstLine="0"/>
              <w:jc w:val="both"/>
            </w:pPr>
            <w:r w:rsidRPr="004B0DC1">
              <w:t>9</w:t>
            </w:r>
          </w:p>
        </w:tc>
      </w:tr>
      <w:tr w:rsidR="00D16C6D" w:rsidRPr="004B0DC1" w14:paraId="4CBB5AE2" w14:textId="77777777" w:rsidTr="0004612B">
        <w:trPr>
          <w:trHeight w:val="2933"/>
        </w:trPr>
        <w:tc>
          <w:tcPr>
            <w:tcW w:w="1800" w:type="pct"/>
            <w:tcBorders>
              <w:top w:val="single" w:sz="4" w:space="0" w:color="auto"/>
              <w:left w:val="single" w:sz="4" w:space="0" w:color="auto"/>
              <w:bottom w:val="single" w:sz="4" w:space="0" w:color="auto"/>
            </w:tcBorders>
          </w:tcPr>
          <w:p w14:paraId="1C2542AD" w14:textId="77777777" w:rsidR="00D16C6D" w:rsidRPr="004B0DC1" w:rsidRDefault="00951FF5" w:rsidP="001A2FBC">
            <w:pPr>
              <w:pStyle w:val="BodyText1"/>
              <w:spacing w:line="240" w:lineRule="auto"/>
              <w:ind w:right="288" w:firstLine="0"/>
              <w:jc w:val="both"/>
            </w:pPr>
            <w:r w:rsidRPr="004B0DC1">
              <w:t>Subsection 50E(3)</w:t>
            </w:r>
          </w:p>
        </w:tc>
        <w:tc>
          <w:tcPr>
            <w:tcW w:w="1629" w:type="pct"/>
            <w:tcBorders>
              <w:top w:val="single" w:sz="4" w:space="0" w:color="auto"/>
              <w:left w:val="single" w:sz="4" w:space="0" w:color="auto"/>
              <w:bottom w:val="single" w:sz="4" w:space="0" w:color="auto"/>
            </w:tcBorders>
          </w:tcPr>
          <w:p w14:paraId="5C7BB479" w14:textId="77777777" w:rsidR="00D16C6D" w:rsidRPr="004B0DC1" w:rsidRDefault="00951FF5" w:rsidP="00112257">
            <w:pPr>
              <w:pStyle w:val="BodyText1"/>
              <w:spacing w:line="240" w:lineRule="auto"/>
              <w:ind w:right="288" w:firstLine="241"/>
            </w:pPr>
            <w:r w:rsidRPr="004B0DC1">
              <w:t>(3) Where, upon the determination of an appeal against the promotion under section 50 of an officer to an office, another officer is promoted to that office by force of subsection 50D(5), salary at the rate applicable to that office is payable to that other officer on and from the prescribed day in respect of the first-mentioned promotion.</w:t>
            </w:r>
          </w:p>
        </w:tc>
        <w:tc>
          <w:tcPr>
            <w:tcW w:w="1571" w:type="pct"/>
            <w:tcBorders>
              <w:top w:val="single" w:sz="4" w:space="0" w:color="auto"/>
              <w:left w:val="single" w:sz="4" w:space="0" w:color="auto"/>
              <w:bottom w:val="single" w:sz="4" w:space="0" w:color="auto"/>
              <w:right w:val="single" w:sz="4" w:space="0" w:color="auto"/>
            </w:tcBorders>
          </w:tcPr>
          <w:p w14:paraId="10C766B1" w14:textId="77777777" w:rsidR="00D16C6D" w:rsidRPr="004B0DC1" w:rsidRDefault="00D16C6D" w:rsidP="001A2FBC">
            <w:pPr>
              <w:ind w:right="288"/>
              <w:jc w:val="both"/>
              <w:rPr>
                <w:rFonts w:ascii="Times New Roman" w:hAnsi="Times New Roman"/>
                <w:sz w:val="22"/>
                <w:szCs w:val="10"/>
              </w:rPr>
            </w:pPr>
          </w:p>
        </w:tc>
      </w:tr>
    </w:tbl>
    <w:p w14:paraId="4A9A6DFD" w14:textId="77777777" w:rsidR="0000186E" w:rsidRDefault="0000186E">
      <w:pPr>
        <w:rPr>
          <w:rStyle w:val="Bodytext61"/>
          <w:rFonts w:eastAsia="Courier New"/>
        </w:rPr>
      </w:pPr>
      <w:r>
        <w:rPr>
          <w:rStyle w:val="Bodytext61"/>
          <w:rFonts w:eastAsia="Courier New"/>
          <w:i w:val="0"/>
          <w:iCs w:val="0"/>
        </w:rPr>
        <w:br w:type="page"/>
      </w:r>
    </w:p>
    <w:p w14:paraId="217A4D3E" w14:textId="77777777" w:rsidR="00D16C6D" w:rsidRDefault="00951FF5" w:rsidP="00D608FB">
      <w:pPr>
        <w:pStyle w:val="Tablecaption0"/>
        <w:spacing w:before="120" w:after="120" w:line="240" w:lineRule="auto"/>
        <w:jc w:val="center"/>
        <w:rPr>
          <w:b/>
        </w:rPr>
      </w:pPr>
      <w:r w:rsidRPr="0000186E">
        <w:rPr>
          <w:b/>
        </w:rPr>
        <w:lastRenderedPageBreak/>
        <w:t>SCHEDULE—</w:t>
      </w:r>
      <w:r w:rsidRPr="001A2FBC">
        <w:t>continued</w:t>
      </w:r>
    </w:p>
    <w:tbl>
      <w:tblPr>
        <w:tblOverlap w:val="never"/>
        <w:tblW w:w="5000" w:type="pct"/>
        <w:tblCellMar>
          <w:left w:w="10" w:type="dxa"/>
          <w:right w:w="10" w:type="dxa"/>
        </w:tblCellMar>
        <w:tblLook w:val="0000" w:firstRow="0" w:lastRow="0" w:firstColumn="0" w:lastColumn="0" w:noHBand="0" w:noVBand="0"/>
      </w:tblPr>
      <w:tblGrid>
        <w:gridCol w:w="3370"/>
        <w:gridCol w:w="3005"/>
        <w:gridCol w:w="3005"/>
      </w:tblGrid>
      <w:tr w:rsidR="00D16C6D" w:rsidRPr="004B0DC1" w14:paraId="4C82E1CE" w14:textId="77777777" w:rsidTr="0000186E">
        <w:trPr>
          <w:trHeight w:val="672"/>
        </w:trPr>
        <w:tc>
          <w:tcPr>
            <w:tcW w:w="1796" w:type="pct"/>
            <w:tcBorders>
              <w:top w:val="single" w:sz="4" w:space="0" w:color="auto"/>
              <w:left w:val="single" w:sz="4" w:space="0" w:color="auto"/>
            </w:tcBorders>
          </w:tcPr>
          <w:p w14:paraId="6BF1FE31" w14:textId="77777777" w:rsidR="00D16C6D" w:rsidRPr="0000186E" w:rsidRDefault="00951FF5" w:rsidP="0000186E">
            <w:pPr>
              <w:pStyle w:val="BodyText1"/>
              <w:spacing w:line="240" w:lineRule="auto"/>
              <w:ind w:firstLine="0"/>
              <w:jc w:val="center"/>
              <w:rPr>
                <w:b/>
              </w:rPr>
            </w:pPr>
            <w:r w:rsidRPr="0000186E">
              <w:rPr>
                <w:b/>
              </w:rPr>
              <w:t>Column 1 Provision modified</w:t>
            </w:r>
          </w:p>
        </w:tc>
        <w:tc>
          <w:tcPr>
            <w:tcW w:w="1602" w:type="pct"/>
            <w:tcBorders>
              <w:top w:val="single" w:sz="4" w:space="0" w:color="auto"/>
              <w:left w:val="single" w:sz="4" w:space="0" w:color="auto"/>
            </w:tcBorders>
          </w:tcPr>
          <w:p w14:paraId="3DB18042" w14:textId="77777777" w:rsidR="00D16C6D" w:rsidRPr="0000186E" w:rsidRDefault="00951FF5" w:rsidP="0000186E">
            <w:pPr>
              <w:pStyle w:val="BodyText1"/>
              <w:spacing w:line="240" w:lineRule="auto"/>
              <w:ind w:firstLine="0"/>
              <w:jc w:val="center"/>
              <w:rPr>
                <w:b/>
              </w:rPr>
            </w:pPr>
            <w:r w:rsidRPr="0000186E">
              <w:rPr>
                <w:b/>
              </w:rPr>
              <w:t>Column 2 Omit</w:t>
            </w:r>
          </w:p>
        </w:tc>
        <w:tc>
          <w:tcPr>
            <w:tcW w:w="1602" w:type="pct"/>
            <w:tcBorders>
              <w:top w:val="single" w:sz="4" w:space="0" w:color="auto"/>
              <w:left w:val="single" w:sz="4" w:space="0" w:color="auto"/>
              <w:right w:val="single" w:sz="4" w:space="0" w:color="auto"/>
            </w:tcBorders>
          </w:tcPr>
          <w:p w14:paraId="5D923187" w14:textId="77777777" w:rsidR="00D16C6D" w:rsidRPr="0000186E" w:rsidRDefault="00951FF5" w:rsidP="0000186E">
            <w:pPr>
              <w:pStyle w:val="BodyText1"/>
              <w:spacing w:line="240" w:lineRule="auto"/>
              <w:ind w:firstLine="0"/>
              <w:jc w:val="center"/>
              <w:rPr>
                <w:b/>
              </w:rPr>
            </w:pPr>
            <w:r w:rsidRPr="0000186E">
              <w:rPr>
                <w:b/>
              </w:rPr>
              <w:t>Column 3 Substitute</w:t>
            </w:r>
          </w:p>
        </w:tc>
      </w:tr>
      <w:tr w:rsidR="00D16C6D" w:rsidRPr="004B0DC1" w14:paraId="16AFCED7" w14:textId="77777777" w:rsidTr="0000186E">
        <w:trPr>
          <w:trHeight w:val="926"/>
        </w:trPr>
        <w:tc>
          <w:tcPr>
            <w:tcW w:w="1796" w:type="pct"/>
            <w:tcBorders>
              <w:top w:val="single" w:sz="4" w:space="0" w:color="auto"/>
              <w:left w:val="single" w:sz="4" w:space="0" w:color="auto"/>
            </w:tcBorders>
          </w:tcPr>
          <w:p w14:paraId="541D8CE7" w14:textId="77777777" w:rsidR="00D16C6D" w:rsidRPr="004B0DC1" w:rsidRDefault="00951FF5" w:rsidP="001A2FBC">
            <w:pPr>
              <w:pStyle w:val="BodyText1"/>
              <w:spacing w:line="240" w:lineRule="auto"/>
              <w:ind w:right="288" w:firstLine="0"/>
              <w:jc w:val="both"/>
            </w:pPr>
            <w:r w:rsidRPr="004B0DC1">
              <w:t>Subsection 50G(1)</w:t>
            </w:r>
          </w:p>
        </w:tc>
        <w:tc>
          <w:tcPr>
            <w:tcW w:w="1602" w:type="pct"/>
            <w:tcBorders>
              <w:top w:val="single" w:sz="4" w:space="0" w:color="auto"/>
              <w:left w:val="single" w:sz="4" w:space="0" w:color="auto"/>
            </w:tcBorders>
          </w:tcPr>
          <w:p w14:paraId="0CB3576F" w14:textId="77777777" w:rsidR="00D16C6D" w:rsidRPr="004B0DC1" w:rsidRDefault="00951FF5" w:rsidP="001A2FBC">
            <w:pPr>
              <w:pStyle w:val="BodyText1"/>
              <w:spacing w:line="240" w:lineRule="auto"/>
              <w:ind w:right="288" w:firstLine="0"/>
              <w:jc w:val="both"/>
            </w:pPr>
            <w:r w:rsidRPr="004B0DC1">
              <w:t>Board, or the Secretary of the Department,</w:t>
            </w:r>
          </w:p>
        </w:tc>
        <w:tc>
          <w:tcPr>
            <w:tcW w:w="1602" w:type="pct"/>
            <w:tcBorders>
              <w:top w:val="single" w:sz="4" w:space="0" w:color="auto"/>
              <w:left w:val="single" w:sz="4" w:space="0" w:color="auto"/>
              <w:right w:val="single" w:sz="4" w:space="0" w:color="auto"/>
            </w:tcBorders>
          </w:tcPr>
          <w:p w14:paraId="572DE4CF" w14:textId="77777777" w:rsidR="00D16C6D" w:rsidRPr="004B0DC1" w:rsidRDefault="00951FF5" w:rsidP="001A2FBC">
            <w:pPr>
              <w:pStyle w:val="BodyText1"/>
              <w:spacing w:line="240" w:lineRule="auto"/>
              <w:ind w:right="288" w:firstLine="0"/>
              <w:jc w:val="both"/>
            </w:pPr>
            <w:r w:rsidRPr="004B0DC1">
              <w:t>responsible authority</w:t>
            </w:r>
          </w:p>
        </w:tc>
      </w:tr>
      <w:tr w:rsidR="00D16C6D" w:rsidRPr="004B0DC1" w14:paraId="48269DD6" w14:textId="77777777" w:rsidTr="0000186E">
        <w:trPr>
          <w:trHeight w:val="355"/>
        </w:trPr>
        <w:tc>
          <w:tcPr>
            <w:tcW w:w="1796" w:type="pct"/>
            <w:tcBorders>
              <w:top w:val="single" w:sz="4" w:space="0" w:color="auto"/>
              <w:left w:val="single" w:sz="4" w:space="0" w:color="auto"/>
            </w:tcBorders>
          </w:tcPr>
          <w:p w14:paraId="719EC852" w14:textId="77777777" w:rsidR="00D16C6D" w:rsidRPr="004B0DC1" w:rsidRDefault="00951FF5" w:rsidP="001A2FBC">
            <w:pPr>
              <w:pStyle w:val="BodyText1"/>
              <w:spacing w:line="240" w:lineRule="auto"/>
              <w:ind w:right="288" w:firstLine="0"/>
              <w:jc w:val="both"/>
            </w:pPr>
            <w:r w:rsidRPr="004B0DC1">
              <w:t>Subsection 50G(2)</w:t>
            </w:r>
          </w:p>
        </w:tc>
        <w:tc>
          <w:tcPr>
            <w:tcW w:w="1602" w:type="pct"/>
            <w:tcBorders>
              <w:top w:val="single" w:sz="4" w:space="0" w:color="auto"/>
              <w:left w:val="single" w:sz="4" w:space="0" w:color="auto"/>
            </w:tcBorders>
          </w:tcPr>
          <w:p w14:paraId="7377F729" w14:textId="77777777" w:rsidR="00D16C6D" w:rsidRPr="004B0DC1" w:rsidRDefault="00951FF5" w:rsidP="001A2FBC">
            <w:pPr>
              <w:pStyle w:val="BodyText1"/>
              <w:spacing w:line="240" w:lineRule="auto"/>
              <w:ind w:right="288" w:firstLine="0"/>
              <w:jc w:val="both"/>
            </w:pPr>
            <w:r w:rsidRPr="004B0DC1">
              <w:t>50</w:t>
            </w:r>
          </w:p>
        </w:tc>
        <w:tc>
          <w:tcPr>
            <w:tcW w:w="1602" w:type="pct"/>
            <w:tcBorders>
              <w:top w:val="single" w:sz="4" w:space="0" w:color="auto"/>
              <w:left w:val="single" w:sz="4" w:space="0" w:color="auto"/>
              <w:right w:val="single" w:sz="4" w:space="0" w:color="auto"/>
            </w:tcBorders>
          </w:tcPr>
          <w:p w14:paraId="5C51C605" w14:textId="77777777" w:rsidR="00D16C6D" w:rsidRPr="004B0DC1" w:rsidRDefault="00951FF5" w:rsidP="001A2FBC">
            <w:pPr>
              <w:pStyle w:val="BodyText1"/>
              <w:spacing w:line="240" w:lineRule="auto"/>
              <w:ind w:right="288" w:firstLine="0"/>
              <w:jc w:val="both"/>
            </w:pPr>
            <w:r w:rsidRPr="004B0DC1">
              <w:t>9</w:t>
            </w:r>
          </w:p>
        </w:tc>
      </w:tr>
      <w:tr w:rsidR="00D16C6D" w:rsidRPr="004B0DC1" w14:paraId="3B56AC14" w14:textId="77777777" w:rsidTr="00707233">
        <w:trPr>
          <w:trHeight w:val="1772"/>
        </w:trPr>
        <w:tc>
          <w:tcPr>
            <w:tcW w:w="1796" w:type="pct"/>
            <w:tcBorders>
              <w:top w:val="single" w:sz="4" w:space="0" w:color="auto"/>
              <w:left w:val="single" w:sz="4" w:space="0" w:color="auto"/>
              <w:bottom w:val="single" w:sz="4" w:space="0" w:color="auto"/>
            </w:tcBorders>
          </w:tcPr>
          <w:p w14:paraId="0C81E36D" w14:textId="77777777" w:rsidR="00D16C6D" w:rsidRPr="004B0DC1" w:rsidRDefault="00951FF5" w:rsidP="001A2FBC">
            <w:pPr>
              <w:pStyle w:val="BodyText1"/>
              <w:spacing w:line="240" w:lineRule="auto"/>
              <w:ind w:right="288" w:firstLine="0"/>
              <w:jc w:val="both"/>
            </w:pPr>
            <w:r w:rsidRPr="004B0DC1">
              <w:t>Subsection 50G(3)</w:t>
            </w:r>
          </w:p>
        </w:tc>
        <w:tc>
          <w:tcPr>
            <w:tcW w:w="1602" w:type="pct"/>
            <w:tcBorders>
              <w:top w:val="single" w:sz="4" w:space="0" w:color="auto"/>
              <w:left w:val="single" w:sz="4" w:space="0" w:color="auto"/>
              <w:bottom w:val="single" w:sz="4" w:space="0" w:color="auto"/>
            </w:tcBorders>
          </w:tcPr>
          <w:p w14:paraId="6DFE876A" w14:textId="77777777" w:rsidR="00D16C6D" w:rsidRPr="004B0DC1" w:rsidRDefault="00951FF5" w:rsidP="001A2FBC">
            <w:pPr>
              <w:pStyle w:val="BodyText1"/>
              <w:spacing w:line="240" w:lineRule="auto"/>
              <w:ind w:right="288" w:firstLine="253"/>
              <w:jc w:val="both"/>
            </w:pPr>
            <w:r w:rsidRPr="004B0DC1">
              <w:t>(3) Where a promotion is cancelled by or under this section, any appeal under section 50B against the promotion shall be deemed to lapse on the date of the cancellation.</w:t>
            </w:r>
          </w:p>
        </w:tc>
        <w:tc>
          <w:tcPr>
            <w:tcW w:w="1602" w:type="pct"/>
            <w:tcBorders>
              <w:top w:val="single" w:sz="4" w:space="0" w:color="auto"/>
              <w:left w:val="single" w:sz="4" w:space="0" w:color="auto"/>
              <w:bottom w:val="single" w:sz="4" w:space="0" w:color="auto"/>
              <w:right w:val="single" w:sz="4" w:space="0" w:color="auto"/>
            </w:tcBorders>
          </w:tcPr>
          <w:p w14:paraId="589DDDE6" w14:textId="77777777" w:rsidR="00D16C6D" w:rsidRPr="004B0DC1" w:rsidRDefault="00D16C6D" w:rsidP="001A2FBC">
            <w:pPr>
              <w:ind w:right="288"/>
              <w:jc w:val="both"/>
              <w:rPr>
                <w:rFonts w:ascii="Times New Roman" w:hAnsi="Times New Roman"/>
                <w:sz w:val="22"/>
                <w:szCs w:val="10"/>
              </w:rPr>
            </w:pPr>
          </w:p>
        </w:tc>
      </w:tr>
    </w:tbl>
    <w:p w14:paraId="071447D9" w14:textId="77777777" w:rsidR="00D16C6D" w:rsidRPr="00DD7C09" w:rsidRDefault="00DD7C09" w:rsidP="00457259">
      <w:pPr>
        <w:pStyle w:val="BodyText1"/>
        <w:spacing w:before="120" w:line="240" w:lineRule="auto"/>
        <w:ind w:firstLine="0"/>
        <w:jc w:val="both"/>
        <w:rPr>
          <w:b/>
        </w:rPr>
      </w:pPr>
      <w:bookmarkStart w:id="6" w:name="bookmark5"/>
      <w:r w:rsidRPr="00DD7C09">
        <w:rPr>
          <w:b/>
        </w:rPr>
        <w:t xml:space="preserve">18. </w:t>
      </w:r>
      <w:r w:rsidR="00951FF5" w:rsidRPr="00DD7C09">
        <w:rPr>
          <w:b/>
        </w:rPr>
        <w:t>Application</w:t>
      </w:r>
      <w:bookmarkEnd w:id="6"/>
    </w:p>
    <w:p w14:paraId="3014F55F" w14:textId="77777777" w:rsidR="00D16C6D" w:rsidRPr="004B0DC1" w:rsidRDefault="00DD7C09" w:rsidP="00DD7C09">
      <w:pPr>
        <w:pStyle w:val="BodyText1"/>
        <w:spacing w:before="120" w:line="240" w:lineRule="auto"/>
        <w:ind w:firstLine="270"/>
        <w:jc w:val="both"/>
      </w:pPr>
      <w:r w:rsidRPr="00DD7C09">
        <w:rPr>
          <w:b/>
        </w:rPr>
        <w:t>(1)</w:t>
      </w:r>
      <w:r>
        <w:t xml:space="preserve"> </w:t>
      </w:r>
      <w:r w:rsidR="00951FF5" w:rsidRPr="004B0DC1">
        <w:t xml:space="preserve">A delegation given under subsection 9(7H) of the </w:t>
      </w:r>
      <w:r w:rsidR="00951FF5" w:rsidRPr="004B0DC1">
        <w:rPr>
          <w:rStyle w:val="BodytextItalic"/>
        </w:rPr>
        <w:t>Public Service Act 1922</w:t>
      </w:r>
      <w:r w:rsidR="00951FF5" w:rsidRPr="004B0DC1">
        <w:t xml:space="preserve"> and in force immediately before the commencement of this Act continues in force as if it had been given under subsection 9(7H) of that Act as amended by this Schedule.</w:t>
      </w:r>
    </w:p>
    <w:p w14:paraId="2F16176D" w14:textId="77777777" w:rsidR="00DD7C09" w:rsidRDefault="00DD7C09" w:rsidP="005000CE">
      <w:pPr>
        <w:pStyle w:val="BodyText1"/>
        <w:spacing w:before="120" w:line="240" w:lineRule="auto"/>
        <w:ind w:firstLine="270"/>
        <w:jc w:val="both"/>
      </w:pPr>
      <w:r w:rsidRPr="00DD7C09">
        <w:rPr>
          <w:b/>
        </w:rPr>
        <w:t>(2)</w:t>
      </w:r>
      <w:r>
        <w:t xml:space="preserve"> </w:t>
      </w:r>
      <w:r w:rsidR="00951FF5" w:rsidRPr="004B0DC1">
        <w:t xml:space="preserve">The amendment made by item 16 applies in relation to annual reports in respect of the year beginning on 1 July 1995 and all later years and, despite that amendment, subsections 25(6) to (8) of the </w:t>
      </w:r>
      <w:r w:rsidR="00951FF5" w:rsidRPr="004B0DC1">
        <w:rPr>
          <w:rStyle w:val="BodytextItalic"/>
        </w:rPr>
        <w:t>Public Service Act 1922</w:t>
      </w:r>
      <w:r w:rsidR="00951FF5" w:rsidRPr="004B0DC1">
        <w:t xml:space="preserve"> as in force immediately before the commencement of this Act continue to apply in relation to annual repo</w:t>
      </w:r>
      <w:r w:rsidR="00D15E40">
        <w:t>rts in respect of earlier years.</w:t>
      </w:r>
    </w:p>
    <w:p w14:paraId="7D8D893C" w14:textId="77777777" w:rsidR="005000CE" w:rsidRPr="004B0DC1" w:rsidRDefault="005000CE" w:rsidP="005000CE">
      <w:pPr>
        <w:pStyle w:val="BodyText1"/>
        <w:pBdr>
          <w:bottom w:val="single" w:sz="4" w:space="1" w:color="auto"/>
        </w:pBdr>
        <w:spacing w:before="120" w:line="240" w:lineRule="auto"/>
        <w:ind w:firstLine="0"/>
        <w:jc w:val="both"/>
      </w:pPr>
    </w:p>
    <w:p w14:paraId="39D6BE6E" w14:textId="77777777" w:rsidR="00D16C6D" w:rsidRPr="00693015" w:rsidRDefault="00951FF5" w:rsidP="00DD7C09">
      <w:pPr>
        <w:pStyle w:val="Bodytext80"/>
        <w:spacing w:before="120" w:line="240" w:lineRule="auto"/>
        <w:rPr>
          <w:sz w:val="20"/>
        </w:rPr>
      </w:pPr>
      <w:r w:rsidRPr="00693015">
        <w:rPr>
          <w:rStyle w:val="Bodytext81"/>
          <w:bCs/>
          <w:iCs/>
          <w:sz w:val="20"/>
        </w:rPr>
        <w:t>[</w:t>
      </w:r>
      <w:r w:rsidRPr="00693015">
        <w:rPr>
          <w:rStyle w:val="Bodytext81"/>
          <w:bCs/>
          <w:i/>
          <w:iCs/>
          <w:sz w:val="20"/>
        </w:rPr>
        <w:t>Minister’s second reading speech made in</w:t>
      </w:r>
      <w:r w:rsidRPr="00693015">
        <w:rPr>
          <w:rStyle w:val="Bodytext845pt"/>
          <w:sz w:val="20"/>
        </w:rPr>
        <w:t>—</w:t>
      </w:r>
    </w:p>
    <w:p w14:paraId="7E5450B5" w14:textId="77777777" w:rsidR="00D608FB" w:rsidRPr="00693015" w:rsidRDefault="00951FF5" w:rsidP="00D608FB">
      <w:pPr>
        <w:pStyle w:val="Bodytext80"/>
        <w:spacing w:line="240" w:lineRule="auto"/>
        <w:ind w:left="900" w:firstLine="27"/>
        <w:rPr>
          <w:rStyle w:val="Bodytext81"/>
          <w:bCs/>
          <w:i/>
          <w:iCs/>
          <w:sz w:val="20"/>
        </w:rPr>
      </w:pPr>
      <w:r w:rsidRPr="00693015">
        <w:rPr>
          <w:rStyle w:val="Bodytext81"/>
          <w:bCs/>
          <w:i/>
          <w:iCs/>
          <w:sz w:val="20"/>
        </w:rPr>
        <w:t>Senate on 29 March 1995</w:t>
      </w:r>
    </w:p>
    <w:p w14:paraId="03A92C4A" w14:textId="77777777" w:rsidR="00D16C6D" w:rsidRPr="00693015" w:rsidRDefault="00951FF5" w:rsidP="00D608FB">
      <w:pPr>
        <w:pStyle w:val="Bodytext80"/>
        <w:spacing w:line="240" w:lineRule="auto"/>
        <w:ind w:left="900" w:firstLine="27"/>
        <w:rPr>
          <w:i w:val="0"/>
          <w:sz w:val="20"/>
        </w:rPr>
      </w:pPr>
      <w:r w:rsidRPr="00693015">
        <w:rPr>
          <w:rStyle w:val="Bodytext81"/>
          <w:rFonts w:eastAsia="Courier New"/>
          <w:i/>
          <w:sz w:val="20"/>
        </w:rPr>
        <w:t>House of Representatives on 22 November 1995</w:t>
      </w:r>
      <w:r w:rsidRPr="00693015">
        <w:rPr>
          <w:rStyle w:val="Bodytext81"/>
          <w:rFonts w:eastAsia="Courier New"/>
          <w:sz w:val="20"/>
        </w:rPr>
        <w:t>]</w:t>
      </w:r>
    </w:p>
    <w:sectPr w:rsidR="00D16C6D" w:rsidRPr="00693015" w:rsidSect="00720C7D">
      <w:type w:val="continuous"/>
      <w:pgSz w:w="12240" w:h="15840" w:code="1"/>
      <w:pgMar w:top="1440" w:right="1440" w:bottom="1440" w:left="1440" w:header="63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2FA88E" w15:done="0"/>
  <w15:commentEx w15:paraId="2BC2B858" w15:done="0"/>
  <w15:commentEx w15:paraId="5678056E" w15:done="0"/>
  <w15:commentEx w15:paraId="1589E8C0" w15:done="0"/>
  <w15:commentEx w15:paraId="61A3036F" w15:done="0"/>
  <w15:commentEx w15:paraId="37BE60EE" w15:done="0"/>
  <w15:commentEx w15:paraId="3A78B44A" w15:done="0"/>
  <w15:commentEx w15:paraId="2AF1941C" w15:done="0"/>
  <w15:commentEx w15:paraId="53CD74E7" w15:done="0"/>
  <w15:commentEx w15:paraId="5CDA38EF" w15:done="0"/>
  <w15:commentEx w15:paraId="1789E54C" w15:done="0"/>
  <w15:commentEx w15:paraId="3F93A0CF" w15:done="0"/>
  <w15:commentEx w15:paraId="230E189B" w15:done="0"/>
  <w15:commentEx w15:paraId="3A678E40" w15:done="0"/>
  <w15:commentEx w15:paraId="751C9883" w15:done="0"/>
  <w15:commentEx w15:paraId="59C9AE95" w15:done="0"/>
  <w15:commentEx w15:paraId="5C8A98DD" w15:done="0"/>
  <w15:commentEx w15:paraId="3CA63A2C" w15:done="0"/>
  <w15:commentEx w15:paraId="1A53C326" w15:done="0"/>
  <w15:commentEx w15:paraId="7CB2DFAA" w15:done="0"/>
  <w15:commentEx w15:paraId="69E27574" w15:done="0"/>
  <w15:commentEx w15:paraId="2DCE73A7" w15:done="0"/>
  <w15:commentEx w15:paraId="3C4819A9" w15:done="0"/>
  <w15:commentEx w15:paraId="772469E4" w15:done="0"/>
  <w15:commentEx w15:paraId="03264A08" w15:done="0"/>
  <w15:commentEx w15:paraId="20D9A9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2FA88E" w16cid:durableId="2135A161"/>
  <w16cid:commentId w16cid:paraId="2BC2B858" w16cid:durableId="2135A16E"/>
  <w16cid:commentId w16cid:paraId="5678056E" w16cid:durableId="2135A17A"/>
  <w16cid:commentId w16cid:paraId="1589E8C0" w16cid:durableId="2135A18D"/>
  <w16cid:commentId w16cid:paraId="61A3036F" w16cid:durableId="2135A19A"/>
  <w16cid:commentId w16cid:paraId="37BE60EE" w16cid:durableId="2135A1A4"/>
  <w16cid:commentId w16cid:paraId="3A78B44A" w16cid:durableId="2135A1AB"/>
  <w16cid:commentId w16cid:paraId="2AF1941C" w16cid:durableId="2135A1B0"/>
  <w16cid:commentId w16cid:paraId="53CD74E7" w16cid:durableId="2135A1B7"/>
  <w16cid:commentId w16cid:paraId="5CDA38EF" w16cid:durableId="2135A1BE"/>
  <w16cid:commentId w16cid:paraId="1789E54C" w16cid:durableId="2135A1C4"/>
  <w16cid:commentId w16cid:paraId="3F93A0CF" w16cid:durableId="2135A1CD"/>
  <w16cid:commentId w16cid:paraId="230E189B" w16cid:durableId="2135A1D5"/>
  <w16cid:commentId w16cid:paraId="3A678E40" w16cid:durableId="2135A1EA"/>
  <w16cid:commentId w16cid:paraId="751C9883" w16cid:durableId="2135A20B"/>
  <w16cid:commentId w16cid:paraId="59C9AE95" w16cid:durableId="2135A219"/>
  <w16cid:commentId w16cid:paraId="5C8A98DD" w16cid:durableId="2135A240"/>
  <w16cid:commentId w16cid:paraId="3CA63A2C" w16cid:durableId="2135A24B"/>
  <w16cid:commentId w16cid:paraId="1A53C326" w16cid:durableId="2135A265"/>
  <w16cid:commentId w16cid:paraId="7CB2DFAA" w16cid:durableId="2135A270"/>
  <w16cid:commentId w16cid:paraId="69E27574" w16cid:durableId="2135A294"/>
  <w16cid:commentId w16cid:paraId="2DCE73A7" w16cid:durableId="2135A2AE"/>
  <w16cid:commentId w16cid:paraId="3C4819A9" w16cid:durableId="2135A29F"/>
  <w16cid:commentId w16cid:paraId="772469E4" w16cid:durableId="2135A2A3"/>
  <w16cid:commentId w16cid:paraId="03264A08" w16cid:durableId="2135A2F5"/>
  <w16cid:commentId w16cid:paraId="20D9A9FE" w16cid:durableId="2135A2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2C980" w14:textId="77777777" w:rsidR="005059FB" w:rsidRDefault="005059FB">
      <w:r>
        <w:separator/>
      </w:r>
    </w:p>
  </w:endnote>
  <w:endnote w:type="continuationSeparator" w:id="0">
    <w:p w14:paraId="04043E3D" w14:textId="77777777" w:rsidR="005059FB" w:rsidRDefault="0050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E115D" w14:textId="77777777" w:rsidR="005059FB" w:rsidRDefault="005059FB"/>
  </w:footnote>
  <w:footnote w:type="continuationSeparator" w:id="0">
    <w:p w14:paraId="5EB341A6" w14:textId="77777777" w:rsidR="005059FB" w:rsidRDefault="005059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772DD" w14:textId="20170FA3" w:rsidR="00003B79" w:rsidRPr="00003B79" w:rsidRDefault="00003B79" w:rsidP="00693015">
    <w:pPr>
      <w:widowControl/>
      <w:autoSpaceDE w:val="0"/>
      <w:autoSpaceDN w:val="0"/>
      <w:adjustRightInd w:val="0"/>
      <w:jc w:val="center"/>
      <w:rPr>
        <w:rFonts w:ascii="Times New Roman" w:hAnsi="Times New Roman" w:cs="Times New Roman"/>
        <w:sz w:val="22"/>
      </w:rPr>
    </w:pPr>
    <w:r w:rsidRPr="00003B79">
      <w:rPr>
        <w:rFonts w:ascii="Times New Roman" w:hAnsi="Times New Roman" w:cs="Times New Roman"/>
        <w:i/>
        <w:iCs/>
        <w:color w:val="auto"/>
        <w:sz w:val="22"/>
      </w:rPr>
      <w:t>Prime Minister and Cabinet (Miscellaneous</w:t>
    </w:r>
    <w:r w:rsidR="00784D0F">
      <w:rPr>
        <w:rFonts w:ascii="Times New Roman" w:hAnsi="Times New Roman" w:cs="Times New Roman"/>
        <w:i/>
        <w:iCs/>
        <w:color w:val="auto"/>
        <w:sz w:val="22"/>
      </w:rPr>
      <w:t xml:space="preserve"> Provisions)     </w:t>
    </w:r>
    <w:r w:rsidRPr="00003B79">
      <w:rPr>
        <w:rFonts w:ascii="Times New Roman" w:hAnsi="Times New Roman" w:cs="Times New Roman"/>
        <w:i/>
        <w:iCs/>
        <w:color w:val="auto"/>
        <w:sz w:val="22"/>
      </w:rPr>
      <w:t>No. 138, 1995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3DC"/>
    <w:multiLevelType w:val="multilevel"/>
    <w:tmpl w:val="BD82C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94BD5"/>
    <w:multiLevelType w:val="multilevel"/>
    <w:tmpl w:val="E278BD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75253"/>
    <w:multiLevelType w:val="multilevel"/>
    <w:tmpl w:val="152EDE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F16086"/>
    <w:multiLevelType w:val="multilevel"/>
    <w:tmpl w:val="6D468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A3995"/>
    <w:multiLevelType w:val="multilevel"/>
    <w:tmpl w:val="9006DBD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002B6"/>
    <w:multiLevelType w:val="multilevel"/>
    <w:tmpl w:val="7EF0529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F62B9"/>
    <w:multiLevelType w:val="multilevel"/>
    <w:tmpl w:val="5ABE9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046B8"/>
    <w:multiLevelType w:val="hybridMultilevel"/>
    <w:tmpl w:val="E0B4135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125F1D"/>
    <w:multiLevelType w:val="multilevel"/>
    <w:tmpl w:val="2FE4AC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DF4C08"/>
    <w:multiLevelType w:val="multilevel"/>
    <w:tmpl w:val="4042B3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E355AE"/>
    <w:multiLevelType w:val="multilevel"/>
    <w:tmpl w:val="6E54F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24494A"/>
    <w:multiLevelType w:val="multilevel"/>
    <w:tmpl w:val="BECAC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B44DF2"/>
    <w:multiLevelType w:val="multilevel"/>
    <w:tmpl w:val="2286BD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2946D9"/>
    <w:multiLevelType w:val="hybridMultilevel"/>
    <w:tmpl w:val="D2A24F5E"/>
    <w:lvl w:ilvl="0" w:tplc="8236F7EC">
      <w:start w:val="1"/>
      <w:numFmt w:val="decimal"/>
      <w:lvlText w:val="%1."/>
      <w:lvlJc w:val="left"/>
      <w:pPr>
        <w:ind w:left="634" w:hanging="360"/>
      </w:pPr>
      <w:rPr>
        <w:rFonts w:hint="default"/>
        <w:i w:val="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nsid w:val="445C37A3"/>
    <w:multiLevelType w:val="multilevel"/>
    <w:tmpl w:val="3F5E5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F661CA"/>
    <w:multiLevelType w:val="multilevel"/>
    <w:tmpl w:val="A0740B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4E6A91"/>
    <w:multiLevelType w:val="multilevel"/>
    <w:tmpl w:val="FA5099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2A2840"/>
    <w:multiLevelType w:val="multilevel"/>
    <w:tmpl w:val="C69CE7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B77D0C"/>
    <w:multiLevelType w:val="hybridMultilevel"/>
    <w:tmpl w:val="2A8A40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394443"/>
    <w:multiLevelType w:val="hybridMultilevel"/>
    <w:tmpl w:val="1362D6FC"/>
    <w:lvl w:ilvl="0" w:tplc="CC789ACC">
      <w:start w:val="1"/>
      <w:numFmt w:val="decimal"/>
      <w:lvlText w:val="%1."/>
      <w:lvlJc w:val="left"/>
      <w:pPr>
        <w:ind w:left="657" w:hanging="360"/>
      </w:pPr>
      <w:rPr>
        <w:rFonts w:hint="default"/>
        <w:i w:val="0"/>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20">
    <w:nsid w:val="6EBA1F59"/>
    <w:multiLevelType w:val="multilevel"/>
    <w:tmpl w:val="916420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0F6245"/>
    <w:multiLevelType w:val="multilevel"/>
    <w:tmpl w:val="75EEB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9D4142"/>
    <w:multiLevelType w:val="hybridMultilevel"/>
    <w:tmpl w:val="FA6EF0FE"/>
    <w:lvl w:ilvl="0" w:tplc="5280864E">
      <w:start w:val="1"/>
      <w:numFmt w:val="decimal"/>
      <w:lvlText w:val="%1."/>
      <w:lvlJc w:val="left"/>
      <w:pPr>
        <w:ind w:left="1017" w:hanging="360"/>
      </w:pPr>
      <w:rPr>
        <w:rFonts w:hint="default"/>
        <w:i w:val="0"/>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23">
    <w:nsid w:val="780A6BC0"/>
    <w:multiLevelType w:val="multilevel"/>
    <w:tmpl w:val="C85610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6"/>
  </w:num>
  <w:num w:numId="4">
    <w:abstractNumId w:val="15"/>
  </w:num>
  <w:num w:numId="5">
    <w:abstractNumId w:val="12"/>
  </w:num>
  <w:num w:numId="6">
    <w:abstractNumId w:val="2"/>
  </w:num>
  <w:num w:numId="7">
    <w:abstractNumId w:val="1"/>
  </w:num>
  <w:num w:numId="8">
    <w:abstractNumId w:val="16"/>
  </w:num>
  <w:num w:numId="9">
    <w:abstractNumId w:val="23"/>
  </w:num>
  <w:num w:numId="10">
    <w:abstractNumId w:val="14"/>
  </w:num>
  <w:num w:numId="11">
    <w:abstractNumId w:val="5"/>
  </w:num>
  <w:num w:numId="12">
    <w:abstractNumId w:val="9"/>
  </w:num>
  <w:num w:numId="13">
    <w:abstractNumId w:val="3"/>
  </w:num>
  <w:num w:numId="14">
    <w:abstractNumId w:val="8"/>
  </w:num>
  <w:num w:numId="15">
    <w:abstractNumId w:val="10"/>
  </w:num>
  <w:num w:numId="16">
    <w:abstractNumId w:val="4"/>
  </w:num>
  <w:num w:numId="17">
    <w:abstractNumId w:val="20"/>
  </w:num>
  <w:num w:numId="18">
    <w:abstractNumId w:val="17"/>
  </w:num>
  <w:num w:numId="19">
    <w:abstractNumId w:val="0"/>
  </w:num>
  <w:num w:numId="20">
    <w:abstractNumId w:val="13"/>
  </w:num>
  <w:num w:numId="21">
    <w:abstractNumId w:val="7"/>
  </w:num>
  <w:num w:numId="22">
    <w:abstractNumId w:val="19"/>
  </w:num>
  <w:num w:numId="23">
    <w:abstractNumId w:val="22"/>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2"/>
  </w:compat>
  <w:rsids>
    <w:rsidRoot w:val="00D16C6D"/>
    <w:rsid w:val="0000186E"/>
    <w:rsid w:val="00003B79"/>
    <w:rsid w:val="0004612B"/>
    <w:rsid w:val="000D5C49"/>
    <w:rsid w:val="000E7D99"/>
    <w:rsid w:val="00112257"/>
    <w:rsid w:val="001A2FBC"/>
    <w:rsid w:val="00251148"/>
    <w:rsid w:val="0033706E"/>
    <w:rsid w:val="00353459"/>
    <w:rsid w:val="00366245"/>
    <w:rsid w:val="003B5709"/>
    <w:rsid w:val="00454C72"/>
    <w:rsid w:val="00457259"/>
    <w:rsid w:val="004B0DC1"/>
    <w:rsid w:val="005000CE"/>
    <w:rsid w:val="005059FB"/>
    <w:rsid w:val="005765F3"/>
    <w:rsid w:val="005B3D60"/>
    <w:rsid w:val="00693015"/>
    <w:rsid w:val="0070580E"/>
    <w:rsid w:val="00707233"/>
    <w:rsid w:val="00720C7D"/>
    <w:rsid w:val="00784D0F"/>
    <w:rsid w:val="00794BD1"/>
    <w:rsid w:val="0088598D"/>
    <w:rsid w:val="008F7CD7"/>
    <w:rsid w:val="00951FF5"/>
    <w:rsid w:val="00A24CE5"/>
    <w:rsid w:val="00B17F96"/>
    <w:rsid w:val="00B24BB1"/>
    <w:rsid w:val="00B6457A"/>
    <w:rsid w:val="00B728DF"/>
    <w:rsid w:val="00C07DB5"/>
    <w:rsid w:val="00C24017"/>
    <w:rsid w:val="00CB78DC"/>
    <w:rsid w:val="00D15E40"/>
    <w:rsid w:val="00D16C6D"/>
    <w:rsid w:val="00D608FB"/>
    <w:rsid w:val="00DD7C09"/>
    <w:rsid w:val="00EC1645"/>
    <w:rsid w:val="00F548EB"/>
    <w:rsid w:val="00F808FD"/>
    <w:rsid w:val="00FB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5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sz w:val="40"/>
      <w:szCs w:val="40"/>
      <w:u w:val="none"/>
    </w:rPr>
  </w:style>
  <w:style w:type="character" w:customStyle="1" w:styleId="Heading22">
    <w:name w:val="Heading #2 (2)_"/>
    <w:basedOn w:val="DefaultParagraphFont"/>
    <w:link w:val="Heading220"/>
    <w:rPr>
      <w:rFonts w:ascii="Times New Roman" w:eastAsia="Times New Roman" w:hAnsi="Times New Roman" w:cs="Times New Roman"/>
      <w:b/>
      <w:bCs/>
      <w:i w:val="0"/>
      <w:iCs w:val="0"/>
      <w:smallCaps w:val="0"/>
      <w:strike w:val="0"/>
      <w:sz w:val="23"/>
      <w:szCs w:val="23"/>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3"/>
      <w:szCs w:val="23"/>
      <w:u w:val="none"/>
    </w:rPr>
  </w:style>
  <w:style w:type="character" w:customStyle="1" w:styleId="Bodytext79pt">
    <w:name w:val="Body text (7) + 9 pt"/>
    <w:aliases w:val="Not Bold"/>
    <w:basedOn w:val="Bodytext7"/>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7"/>
      <w:szCs w:val="27"/>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iCs/>
      <w:smallCaps w:val="0"/>
      <w:strike w:val="0"/>
      <w:sz w:val="22"/>
      <w:szCs w:val="22"/>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2"/>
      <w:szCs w:val="22"/>
      <w:u w:val="none"/>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711pt">
    <w:name w:val="Body text (7) + 11 pt"/>
    <w:aliases w:val="Not Bold"/>
    <w:basedOn w:val="Bodytext7"/>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val="0"/>
      <w:iCs w:val="0"/>
      <w:smallCaps w:val="0"/>
      <w:strike w:val="0"/>
      <w:sz w:val="23"/>
      <w:szCs w:val="23"/>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2"/>
      <w:szCs w:val="22"/>
      <w:u w:val="none"/>
    </w:rPr>
  </w:style>
  <w:style w:type="character" w:customStyle="1" w:styleId="Bodytext8">
    <w:name w:val="Body text (8)_"/>
    <w:basedOn w:val="DefaultParagraphFont"/>
    <w:link w:val="Bodytext80"/>
    <w:rPr>
      <w:rFonts w:ascii="Times New Roman" w:eastAsia="Times New Roman" w:hAnsi="Times New Roman" w:cs="Times New Roman"/>
      <w:b/>
      <w:bCs/>
      <w:i/>
      <w:iCs/>
      <w:smallCaps w:val="0"/>
      <w:strike w:val="0"/>
      <w:sz w:val="17"/>
      <w:szCs w:val="17"/>
      <w:u w:val="none"/>
    </w:rPr>
  </w:style>
  <w:style w:type="character" w:customStyle="1" w:styleId="Bodytext81">
    <w:name w:val="Body text (8)"/>
    <w:basedOn w:val="Bodytext8"/>
    <w:rPr>
      <w:rFonts w:ascii="Times New Roman" w:eastAsia="Times New Roman" w:hAnsi="Times New Roman" w:cs="Times New Roman"/>
      <w:b/>
      <w:bCs/>
      <w:i/>
      <w:iCs/>
      <w:smallCaps w:val="0"/>
      <w:strike w:val="0"/>
      <w:color w:val="000000"/>
      <w:spacing w:val="0"/>
      <w:w w:val="100"/>
      <w:position w:val="0"/>
      <w:sz w:val="17"/>
      <w:szCs w:val="17"/>
      <w:u w:val="none"/>
      <w:lang w:val="en-US"/>
    </w:rPr>
  </w:style>
  <w:style w:type="character" w:customStyle="1" w:styleId="Bodytext845pt">
    <w:name w:val="Body text (8) + 4.5 pt"/>
    <w:aliases w:val="Not Bold,Not Italic"/>
    <w:basedOn w:val="Bodytext8"/>
    <w:rPr>
      <w:rFonts w:ascii="Times New Roman" w:eastAsia="Times New Roman" w:hAnsi="Times New Roman" w:cs="Times New Roman"/>
      <w:b/>
      <w:bCs/>
      <w:i/>
      <w:iCs/>
      <w:smallCaps w:val="0"/>
      <w:strike w:val="0"/>
      <w:color w:val="000000"/>
      <w:spacing w:val="0"/>
      <w:w w:val="100"/>
      <w:position w:val="0"/>
      <w:sz w:val="9"/>
      <w:szCs w:val="9"/>
      <w:u w:val="none"/>
    </w:rPr>
  </w:style>
  <w:style w:type="paragraph" w:customStyle="1" w:styleId="Heading120">
    <w:name w:val="Heading #1 (2)"/>
    <w:basedOn w:val="Normal"/>
    <w:link w:val="Heading12"/>
    <w:pPr>
      <w:spacing w:line="456" w:lineRule="exact"/>
      <w:jc w:val="center"/>
      <w:outlineLvl w:val="0"/>
    </w:pPr>
    <w:rPr>
      <w:rFonts w:ascii="Times New Roman" w:eastAsia="Times New Roman" w:hAnsi="Times New Roman" w:cs="Times New Roman"/>
      <w:b/>
      <w:bCs/>
      <w:sz w:val="40"/>
      <w:szCs w:val="40"/>
    </w:rPr>
  </w:style>
  <w:style w:type="paragraph" w:customStyle="1" w:styleId="Heading220">
    <w:name w:val="Heading #2 (2)"/>
    <w:basedOn w:val="Normal"/>
    <w:link w:val="Heading22"/>
    <w:pPr>
      <w:spacing w:line="0" w:lineRule="atLeast"/>
      <w:jc w:val="center"/>
      <w:outlineLvl w:val="1"/>
    </w:pPr>
    <w:rPr>
      <w:rFonts w:ascii="Times New Roman" w:eastAsia="Times New Roman" w:hAnsi="Times New Roman" w:cs="Times New Roman"/>
      <w:b/>
      <w:bCs/>
      <w:sz w:val="23"/>
      <w:szCs w:val="23"/>
    </w:rPr>
  </w:style>
  <w:style w:type="paragraph" w:customStyle="1" w:styleId="Bodytext70">
    <w:name w:val="Body text (7)"/>
    <w:basedOn w:val="Normal"/>
    <w:link w:val="Bodytext7"/>
    <w:pPr>
      <w:spacing w:line="0" w:lineRule="atLeast"/>
    </w:pPr>
    <w:rPr>
      <w:rFonts w:ascii="Times New Roman" w:eastAsia="Times New Roman" w:hAnsi="Times New Roman" w:cs="Times New Roman"/>
      <w:b/>
      <w:bCs/>
      <w:sz w:val="23"/>
      <w:szCs w:val="23"/>
    </w:rPr>
  </w:style>
  <w:style w:type="paragraph" w:customStyle="1" w:styleId="Bodytext50">
    <w:name w:val="Body text (5)"/>
    <w:basedOn w:val="Normal"/>
    <w:link w:val="Bodytext5"/>
    <w:pPr>
      <w:spacing w:line="322" w:lineRule="exact"/>
    </w:pPr>
    <w:rPr>
      <w:rFonts w:ascii="Times New Roman" w:eastAsia="Times New Roman" w:hAnsi="Times New Roman" w:cs="Times New Roman"/>
      <w:b/>
      <w:bCs/>
      <w:sz w:val="27"/>
      <w:szCs w:val="27"/>
    </w:rPr>
  </w:style>
  <w:style w:type="paragraph" w:customStyle="1" w:styleId="Bodytext60">
    <w:name w:val="Body text (6)"/>
    <w:basedOn w:val="Normal"/>
    <w:link w:val="Bodytext6"/>
    <w:pPr>
      <w:spacing w:line="0" w:lineRule="atLeast"/>
      <w:jc w:val="right"/>
    </w:pPr>
    <w:rPr>
      <w:rFonts w:ascii="Times New Roman" w:eastAsia="Times New Roman" w:hAnsi="Times New Roman" w:cs="Times New Roman"/>
      <w:i/>
      <w:iCs/>
      <w:sz w:val="22"/>
      <w:szCs w:val="22"/>
    </w:rPr>
  </w:style>
  <w:style w:type="paragraph" w:customStyle="1" w:styleId="BodyText1">
    <w:name w:val="Body Text1"/>
    <w:basedOn w:val="Normal"/>
    <w:link w:val="Bodytext"/>
    <w:pPr>
      <w:spacing w:line="0" w:lineRule="atLeast"/>
      <w:ind w:hanging="580"/>
    </w:pPr>
    <w:rPr>
      <w:rFonts w:ascii="Times New Roman" w:eastAsia="Times New Roman" w:hAnsi="Times New Roman" w:cs="Times New Roman"/>
      <w:sz w:val="22"/>
      <w:szCs w:val="22"/>
    </w:rPr>
  </w:style>
  <w:style w:type="paragraph" w:customStyle="1" w:styleId="Bodytext90">
    <w:name w:val="Body text (9)"/>
    <w:basedOn w:val="Normal"/>
    <w:link w:val="Bodytext9"/>
    <w:pPr>
      <w:spacing w:line="0" w:lineRule="atLeast"/>
    </w:pPr>
    <w:rPr>
      <w:rFonts w:ascii="Times New Roman" w:eastAsia="Times New Roman" w:hAnsi="Times New Roman" w:cs="Times New Roman"/>
      <w:b/>
      <w:bCs/>
      <w:sz w:val="23"/>
      <w:szCs w:val="23"/>
    </w:rPr>
  </w:style>
  <w:style w:type="paragraph" w:customStyle="1" w:styleId="Tablecaption0">
    <w:name w:val="Table caption"/>
    <w:basedOn w:val="Normal"/>
    <w:link w:val="Tablecaption"/>
    <w:pPr>
      <w:spacing w:line="0" w:lineRule="atLeast"/>
    </w:pPr>
    <w:rPr>
      <w:rFonts w:ascii="Times New Roman" w:eastAsia="Times New Roman" w:hAnsi="Times New Roman" w:cs="Times New Roman"/>
      <w:sz w:val="22"/>
      <w:szCs w:val="22"/>
    </w:rPr>
  </w:style>
  <w:style w:type="paragraph" w:customStyle="1" w:styleId="Bodytext80">
    <w:name w:val="Body text (8)"/>
    <w:basedOn w:val="Normal"/>
    <w:link w:val="Bodytext8"/>
    <w:pPr>
      <w:spacing w:line="230" w:lineRule="exact"/>
      <w:jc w:val="both"/>
    </w:pPr>
    <w:rPr>
      <w:rFonts w:ascii="Times New Roman" w:eastAsia="Times New Roman" w:hAnsi="Times New Roman" w:cs="Times New Roman"/>
      <w:b/>
      <w:bCs/>
      <w:i/>
      <w:iCs/>
      <w:sz w:val="17"/>
      <w:szCs w:val="17"/>
    </w:rPr>
  </w:style>
  <w:style w:type="paragraph" w:styleId="BalloonText">
    <w:name w:val="Balloon Text"/>
    <w:basedOn w:val="Normal"/>
    <w:link w:val="BalloonTextChar"/>
    <w:uiPriority w:val="99"/>
    <w:semiHidden/>
    <w:unhideWhenUsed/>
    <w:rsid w:val="004B0DC1"/>
    <w:rPr>
      <w:rFonts w:ascii="Tahoma" w:hAnsi="Tahoma" w:cs="Tahoma"/>
      <w:sz w:val="16"/>
      <w:szCs w:val="16"/>
    </w:rPr>
  </w:style>
  <w:style w:type="character" w:customStyle="1" w:styleId="BalloonTextChar">
    <w:name w:val="Balloon Text Char"/>
    <w:basedOn w:val="DefaultParagraphFont"/>
    <w:link w:val="BalloonText"/>
    <w:uiPriority w:val="99"/>
    <w:semiHidden/>
    <w:rsid w:val="004B0DC1"/>
    <w:rPr>
      <w:rFonts w:ascii="Tahoma" w:hAnsi="Tahoma" w:cs="Tahoma"/>
      <w:color w:val="000000"/>
      <w:sz w:val="16"/>
      <w:szCs w:val="16"/>
    </w:rPr>
  </w:style>
  <w:style w:type="paragraph" w:styleId="Header">
    <w:name w:val="header"/>
    <w:basedOn w:val="Normal"/>
    <w:link w:val="HeaderChar"/>
    <w:uiPriority w:val="99"/>
    <w:unhideWhenUsed/>
    <w:rsid w:val="00003B79"/>
    <w:pPr>
      <w:tabs>
        <w:tab w:val="center" w:pos="4680"/>
        <w:tab w:val="right" w:pos="9360"/>
      </w:tabs>
    </w:pPr>
  </w:style>
  <w:style w:type="character" w:customStyle="1" w:styleId="HeaderChar">
    <w:name w:val="Header Char"/>
    <w:basedOn w:val="DefaultParagraphFont"/>
    <w:link w:val="Header"/>
    <w:uiPriority w:val="99"/>
    <w:rsid w:val="00003B79"/>
    <w:rPr>
      <w:color w:val="000000"/>
    </w:rPr>
  </w:style>
  <w:style w:type="paragraph" w:styleId="Footer">
    <w:name w:val="footer"/>
    <w:basedOn w:val="Normal"/>
    <w:link w:val="FooterChar"/>
    <w:uiPriority w:val="99"/>
    <w:unhideWhenUsed/>
    <w:rsid w:val="00003B79"/>
    <w:pPr>
      <w:tabs>
        <w:tab w:val="center" w:pos="4680"/>
        <w:tab w:val="right" w:pos="9360"/>
      </w:tabs>
    </w:pPr>
  </w:style>
  <w:style w:type="character" w:customStyle="1" w:styleId="FooterChar">
    <w:name w:val="Footer Char"/>
    <w:basedOn w:val="DefaultParagraphFont"/>
    <w:link w:val="Footer"/>
    <w:uiPriority w:val="99"/>
    <w:rsid w:val="00003B79"/>
    <w:rPr>
      <w:color w:val="000000"/>
    </w:rPr>
  </w:style>
  <w:style w:type="character" w:styleId="CommentReference">
    <w:name w:val="annotation reference"/>
    <w:basedOn w:val="DefaultParagraphFont"/>
    <w:uiPriority w:val="99"/>
    <w:semiHidden/>
    <w:unhideWhenUsed/>
    <w:rsid w:val="00B24BB1"/>
    <w:rPr>
      <w:sz w:val="16"/>
      <w:szCs w:val="16"/>
    </w:rPr>
  </w:style>
  <w:style w:type="paragraph" w:styleId="CommentText">
    <w:name w:val="annotation text"/>
    <w:basedOn w:val="Normal"/>
    <w:link w:val="CommentTextChar"/>
    <w:uiPriority w:val="99"/>
    <w:semiHidden/>
    <w:unhideWhenUsed/>
    <w:rsid w:val="00B24BB1"/>
    <w:rPr>
      <w:sz w:val="20"/>
      <w:szCs w:val="20"/>
    </w:rPr>
  </w:style>
  <w:style w:type="character" w:customStyle="1" w:styleId="CommentTextChar">
    <w:name w:val="Comment Text Char"/>
    <w:basedOn w:val="DefaultParagraphFont"/>
    <w:link w:val="CommentText"/>
    <w:uiPriority w:val="99"/>
    <w:semiHidden/>
    <w:rsid w:val="00B24BB1"/>
    <w:rPr>
      <w:color w:val="000000"/>
      <w:sz w:val="20"/>
      <w:szCs w:val="20"/>
    </w:rPr>
  </w:style>
  <w:style w:type="paragraph" w:styleId="CommentSubject">
    <w:name w:val="annotation subject"/>
    <w:basedOn w:val="CommentText"/>
    <w:next w:val="CommentText"/>
    <w:link w:val="CommentSubjectChar"/>
    <w:uiPriority w:val="99"/>
    <w:semiHidden/>
    <w:unhideWhenUsed/>
    <w:rsid w:val="00B24BB1"/>
    <w:rPr>
      <w:b/>
      <w:bCs/>
    </w:rPr>
  </w:style>
  <w:style w:type="character" w:customStyle="1" w:styleId="CommentSubjectChar">
    <w:name w:val="Comment Subject Char"/>
    <w:basedOn w:val="CommentTextChar"/>
    <w:link w:val="CommentSubject"/>
    <w:uiPriority w:val="99"/>
    <w:semiHidden/>
    <w:rsid w:val="00B24BB1"/>
    <w:rPr>
      <w:b/>
      <w:bCs/>
      <w:color w:val="000000"/>
      <w:sz w:val="20"/>
      <w:szCs w:val="20"/>
    </w:rPr>
  </w:style>
  <w:style w:type="paragraph" w:styleId="Revision">
    <w:name w:val="Revision"/>
    <w:hidden/>
    <w:uiPriority w:val="99"/>
    <w:semiHidden/>
    <w:rsid w:val="0069301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FE6A-E6E3-493A-A8AE-AAFB376E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3152</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Ward, Courtney</cp:lastModifiedBy>
  <cp:revision>5</cp:revision>
  <dcterms:created xsi:type="dcterms:W3CDTF">2019-09-24T22:25:00Z</dcterms:created>
  <dcterms:modified xsi:type="dcterms:W3CDTF">2019-11-16T22:54:00Z</dcterms:modified>
</cp:coreProperties>
</file>