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F6D0" w14:textId="6415044A" w:rsidR="003061CE" w:rsidRPr="00887E5B" w:rsidRDefault="00C361F1" w:rsidP="00887E5B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43A3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4pt;height:84pt">
            <v:imagedata r:id="rId9" o:title=""/>
          </v:shape>
        </w:pict>
      </w:r>
    </w:p>
    <w:p w14:paraId="49422C67" w14:textId="77777777" w:rsidR="003061CE" w:rsidRPr="00887E5B" w:rsidRDefault="00303B5D" w:rsidP="00887E5B">
      <w:pPr>
        <w:pStyle w:val="Bodytext30"/>
        <w:spacing w:before="960" w:line="240" w:lineRule="auto"/>
        <w:rPr>
          <w:sz w:val="36"/>
          <w:szCs w:val="36"/>
        </w:rPr>
      </w:pPr>
      <w:bookmarkStart w:id="0" w:name="bookmark0"/>
      <w:r>
        <w:rPr>
          <w:rStyle w:val="Heading11"/>
          <w:b/>
          <w:bCs/>
          <w:sz w:val="36"/>
          <w:szCs w:val="36"/>
        </w:rPr>
        <w:t>I</w:t>
      </w:r>
      <w:r w:rsidR="00B556A4" w:rsidRPr="00887E5B">
        <w:rPr>
          <w:rStyle w:val="Heading11"/>
          <w:b/>
          <w:bCs/>
          <w:sz w:val="36"/>
          <w:szCs w:val="36"/>
        </w:rPr>
        <w:t xml:space="preserve">ndustry </w:t>
      </w:r>
      <w:r w:rsidR="00B556A4" w:rsidRPr="00887E5B">
        <w:rPr>
          <w:sz w:val="36"/>
          <w:szCs w:val="36"/>
        </w:rPr>
        <w:t>Commission</w:t>
      </w:r>
      <w:r w:rsidR="00B556A4" w:rsidRPr="00887E5B">
        <w:rPr>
          <w:rStyle w:val="Heading11"/>
          <w:b/>
          <w:bCs/>
          <w:sz w:val="36"/>
          <w:szCs w:val="36"/>
        </w:rPr>
        <w:t xml:space="preserve"> Amendment Act 1995</w:t>
      </w:r>
      <w:bookmarkEnd w:id="0"/>
    </w:p>
    <w:p w14:paraId="0AAE5705" w14:textId="77777777" w:rsidR="003061CE" w:rsidRPr="00C361F1" w:rsidRDefault="00B556A4" w:rsidP="00887E5B">
      <w:pPr>
        <w:pStyle w:val="Bodytext30"/>
        <w:spacing w:before="960" w:line="240" w:lineRule="auto"/>
        <w:rPr>
          <w:rStyle w:val="Heading221"/>
          <w:b/>
          <w:bCs/>
          <w:sz w:val="24"/>
          <w:szCs w:val="24"/>
        </w:rPr>
      </w:pPr>
      <w:bookmarkStart w:id="1" w:name="bookmark1"/>
      <w:r w:rsidRPr="00C361F1">
        <w:rPr>
          <w:rStyle w:val="Heading221"/>
          <w:b/>
          <w:bCs/>
          <w:sz w:val="24"/>
          <w:szCs w:val="24"/>
        </w:rPr>
        <w:t>No. 150 of 1995</w:t>
      </w:r>
      <w:bookmarkEnd w:id="1"/>
    </w:p>
    <w:p w14:paraId="5D4D07FF" w14:textId="77777777" w:rsidR="00887E5B" w:rsidRPr="00887E5B" w:rsidRDefault="00887E5B" w:rsidP="00887E5B">
      <w:pPr>
        <w:pStyle w:val="Bodytext30"/>
        <w:spacing w:before="960"/>
        <w:rPr>
          <w:rStyle w:val="Heading221"/>
          <w:b/>
          <w:bCs/>
          <w:sz w:val="22"/>
          <w:szCs w:val="22"/>
        </w:rPr>
      </w:pPr>
      <w:r w:rsidRPr="00887E5B">
        <w:rPr>
          <w:rStyle w:val="Heading221"/>
          <w:b/>
          <w:bCs/>
          <w:sz w:val="22"/>
          <w:szCs w:val="22"/>
        </w:rPr>
        <w:t>CONTENTS</w:t>
      </w:r>
    </w:p>
    <w:p w14:paraId="6F38AFC7" w14:textId="77777777" w:rsidR="00887E5B" w:rsidRPr="00887E5B" w:rsidRDefault="00887E5B" w:rsidP="00C361F1">
      <w:pPr>
        <w:pStyle w:val="Bodytext30"/>
        <w:jc w:val="left"/>
        <w:rPr>
          <w:rStyle w:val="Heading221"/>
          <w:bCs/>
          <w:sz w:val="22"/>
          <w:szCs w:val="22"/>
        </w:rPr>
      </w:pPr>
      <w:r w:rsidRPr="00887E5B">
        <w:rPr>
          <w:rStyle w:val="Heading221"/>
          <w:bCs/>
          <w:sz w:val="22"/>
          <w:szCs w:val="22"/>
        </w:rPr>
        <w:t>Section</w:t>
      </w:r>
    </w:p>
    <w:p w14:paraId="6CBC65F1" w14:textId="77777777" w:rsidR="00887E5B" w:rsidRPr="00887E5B" w:rsidRDefault="00887E5B" w:rsidP="00C361F1">
      <w:pPr>
        <w:pStyle w:val="Bodytext30"/>
        <w:tabs>
          <w:tab w:val="left" w:pos="657"/>
        </w:tabs>
        <w:jc w:val="left"/>
        <w:rPr>
          <w:rStyle w:val="Heading221"/>
          <w:bCs/>
          <w:sz w:val="22"/>
          <w:szCs w:val="22"/>
        </w:rPr>
      </w:pPr>
      <w:r w:rsidRPr="00C361F1">
        <w:rPr>
          <w:rStyle w:val="Heading221"/>
          <w:bCs/>
          <w:sz w:val="22"/>
          <w:szCs w:val="22"/>
        </w:rPr>
        <w:t>1.</w:t>
      </w:r>
      <w:r>
        <w:rPr>
          <w:rStyle w:val="Heading221"/>
          <w:bCs/>
          <w:sz w:val="22"/>
          <w:szCs w:val="22"/>
        </w:rPr>
        <w:tab/>
      </w:r>
      <w:r w:rsidRPr="00887E5B">
        <w:rPr>
          <w:rStyle w:val="Heading221"/>
          <w:bCs/>
          <w:sz w:val="22"/>
          <w:szCs w:val="22"/>
        </w:rPr>
        <w:t>Short title</w:t>
      </w:r>
    </w:p>
    <w:p w14:paraId="129FCA1C" w14:textId="77777777" w:rsidR="00887E5B" w:rsidRPr="00887E5B" w:rsidRDefault="00887E5B" w:rsidP="00C361F1">
      <w:pPr>
        <w:pStyle w:val="Bodytext30"/>
        <w:tabs>
          <w:tab w:val="left" w:pos="657"/>
        </w:tabs>
        <w:jc w:val="left"/>
        <w:rPr>
          <w:rStyle w:val="Heading221"/>
          <w:bCs/>
          <w:sz w:val="22"/>
          <w:szCs w:val="22"/>
        </w:rPr>
      </w:pPr>
      <w:r w:rsidRPr="00C361F1">
        <w:rPr>
          <w:rStyle w:val="Heading221"/>
          <w:bCs/>
          <w:sz w:val="22"/>
          <w:szCs w:val="22"/>
        </w:rPr>
        <w:t>2.</w:t>
      </w:r>
      <w:r>
        <w:rPr>
          <w:rStyle w:val="Heading221"/>
          <w:bCs/>
          <w:sz w:val="22"/>
          <w:szCs w:val="22"/>
        </w:rPr>
        <w:tab/>
      </w:r>
      <w:r w:rsidR="00135766">
        <w:rPr>
          <w:rStyle w:val="Heading221"/>
          <w:bCs/>
          <w:sz w:val="22"/>
          <w:szCs w:val="22"/>
        </w:rPr>
        <w:t>Commencement</w:t>
      </w:r>
    </w:p>
    <w:p w14:paraId="17195BE2" w14:textId="77777777" w:rsidR="00887E5B" w:rsidRDefault="00887E5B" w:rsidP="00C361F1">
      <w:pPr>
        <w:pStyle w:val="Bodytext30"/>
        <w:tabs>
          <w:tab w:val="left" w:pos="657"/>
        </w:tabs>
        <w:jc w:val="left"/>
        <w:rPr>
          <w:rStyle w:val="Heading221"/>
          <w:bCs/>
          <w:sz w:val="22"/>
          <w:szCs w:val="22"/>
        </w:rPr>
      </w:pPr>
      <w:r w:rsidRPr="00C361F1">
        <w:rPr>
          <w:rStyle w:val="Heading221"/>
          <w:bCs/>
          <w:sz w:val="22"/>
          <w:szCs w:val="22"/>
        </w:rPr>
        <w:t>3.</w:t>
      </w:r>
      <w:r>
        <w:rPr>
          <w:rStyle w:val="Heading221"/>
          <w:bCs/>
          <w:sz w:val="22"/>
          <w:szCs w:val="22"/>
        </w:rPr>
        <w:tab/>
      </w:r>
      <w:r w:rsidRPr="00887E5B">
        <w:rPr>
          <w:rStyle w:val="Heading221"/>
          <w:bCs/>
          <w:sz w:val="22"/>
          <w:szCs w:val="22"/>
        </w:rPr>
        <w:t>Schedule</w:t>
      </w:r>
    </w:p>
    <w:p w14:paraId="42E69A0F" w14:textId="77777777" w:rsidR="00887E5B" w:rsidRPr="00887E5B" w:rsidRDefault="00887E5B" w:rsidP="00887E5B">
      <w:pPr>
        <w:pStyle w:val="Bodytext30"/>
        <w:spacing w:before="120"/>
        <w:rPr>
          <w:rStyle w:val="Heading221"/>
          <w:bCs/>
          <w:sz w:val="22"/>
          <w:szCs w:val="22"/>
        </w:rPr>
      </w:pPr>
      <w:r w:rsidRPr="00887E5B">
        <w:rPr>
          <w:rStyle w:val="Heading221"/>
          <w:bCs/>
          <w:sz w:val="22"/>
          <w:szCs w:val="22"/>
        </w:rPr>
        <w:t>SCHEDULE</w:t>
      </w:r>
    </w:p>
    <w:p w14:paraId="23B10AB1" w14:textId="77777777" w:rsidR="00135766" w:rsidRDefault="00887E5B" w:rsidP="00135766">
      <w:pPr>
        <w:pStyle w:val="Bodytext30"/>
        <w:spacing w:before="120" w:line="240" w:lineRule="auto"/>
        <w:rPr>
          <w:rStyle w:val="Heading221"/>
          <w:bCs/>
          <w:sz w:val="22"/>
          <w:szCs w:val="22"/>
        </w:rPr>
      </w:pPr>
      <w:r w:rsidRPr="00887E5B">
        <w:rPr>
          <w:rStyle w:val="Heading221"/>
          <w:bCs/>
          <w:sz w:val="22"/>
          <w:szCs w:val="22"/>
        </w:rPr>
        <w:t>AMENDMENTS OF THE INDUSTRY COMMISSION ACT 1989</w:t>
      </w:r>
    </w:p>
    <w:p w14:paraId="59F3E897" w14:textId="77777777" w:rsidR="00135766" w:rsidRDefault="00135766">
      <w:pPr>
        <w:rPr>
          <w:rStyle w:val="Heading221"/>
          <w:rFonts w:eastAsia="Courier New"/>
          <w:b w:val="0"/>
          <w:sz w:val="22"/>
          <w:szCs w:val="22"/>
        </w:rPr>
      </w:pPr>
      <w:r>
        <w:rPr>
          <w:rStyle w:val="Heading221"/>
          <w:rFonts w:eastAsia="Courier New"/>
          <w:bCs w:val="0"/>
          <w:sz w:val="22"/>
          <w:szCs w:val="22"/>
        </w:rPr>
        <w:br w:type="page"/>
      </w:r>
    </w:p>
    <w:p w14:paraId="7D2EBCD9" w14:textId="4B0728ED" w:rsidR="003061CE" w:rsidRPr="00887E5B" w:rsidRDefault="00C361F1" w:rsidP="007825B0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37C90D1A">
          <v:shape id="_x0000_i1026" type="#_x0000_t75" alt="Commonwealth Coat of Arms" style="width:115.5pt;height:88.5pt">
            <v:imagedata r:id="rId10" o:title=""/>
          </v:shape>
        </w:pict>
      </w:r>
    </w:p>
    <w:p w14:paraId="050FC26D" w14:textId="77777777" w:rsidR="003061CE" w:rsidRPr="007825B0" w:rsidRDefault="00B556A4" w:rsidP="007825B0">
      <w:pPr>
        <w:pStyle w:val="Bodytext30"/>
        <w:spacing w:before="960" w:line="240" w:lineRule="auto"/>
        <w:rPr>
          <w:sz w:val="36"/>
          <w:szCs w:val="36"/>
        </w:rPr>
      </w:pPr>
      <w:bookmarkStart w:id="2" w:name="bookmark2"/>
      <w:r w:rsidRPr="007825B0">
        <w:rPr>
          <w:sz w:val="36"/>
          <w:szCs w:val="36"/>
        </w:rPr>
        <w:t>Industry Commission Amendment Act 1995</w:t>
      </w:r>
      <w:bookmarkEnd w:id="2"/>
    </w:p>
    <w:p w14:paraId="48A29129" w14:textId="77777777" w:rsidR="003061CE" w:rsidRPr="00C361F1" w:rsidRDefault="00B556A4" w:rsidP="007825B0">
      <w:pPr>
        <w:pStyle w:val="Bodytext30"/>
        <w:spacing w:before="960" w:line="240" w:lineRule="auto"/>
        <w:rPr>
          <w:sz w:val="24"/>
          <w:szCs w:val="24"/>
        </w:rPr>
      </w:pPr>
      <w:r w:rsidRPr="00C361F1">
        <w:rPr>
          <w:sz w:val="24"/>
          <w:szCs w:val="24"/>
        </w:rPr>
        <w:t>No. 150 of 1995</w:t>
      </w:r>
    </w:p>
    <w:p w14:paraId="1FA7A943" w14:textId="77777777" w:rsidR="007825B0" w:rsidRPr="00887E5B" w:rsidRDefault="007825B0" w:rsidP="007825B0">
      <w:pPr>
        <w:pStyle w:val="Bodytext30"/>
        <w:pBdr>
          <w:bottom w:val="thickThinSmallGap" w:sz="12" w:space="1" w:color="auto"/>
        </w:pBdr>
        <w:spacing w:before="960" w:line="240" w:lineRule="auto"/>
        <w:jc w:val="left"/>
        <w:rPr>
          <w:sz w:val="22"/>
          <w:szCs w:val="22"/>
        </w:rPr>
      </w:pPr>
    </w:p>
    <w:p w14:paraId="7E15413C" w14:textId="77777777" w:rsidR="003061CE" w:rsidRPr="00932381" w:rsidRDefault="00B556A4" w:rsidP="007825B0">
      <w:pPr>
        <w:pStyle w:val="Bodytext30"/>
        <w:spacing w:before="960" w:line="240" w:lineRule="auto"/>
        <w:rPr>
          <w:i/>
          <w:sz w:val="26"/>
          <w:szCs w:val="26"/>
        </w:rPr>
      </w:pPr>
      <w:bookmarkStart w:id="3" w:name="bookmark3"/>
      <w:r w:rsidRPr="007825B0">
        <w:rPr>
          <w:rStyle w:val="Heading2NotItalic"/>
          <w:b/>
          <w:bCs/>
          <w:i w:val="0"/>
          <w:iCs w:val="0"/>
          <w:sz w:val="26"/>
          <w:szCs w:val="26"/>
        </w:rPr>
        <w:t xml:space="preserve">An Act to amend </w:t>
      </w:r>
      <w:r w:rsidRPr="00932381">
        <w:rPr>
          <w:i/>
          <w:sz w:val="26"/>
          <w:szCs w:val="26"/>
        </w:rPr>
        <w:t>the</w:t>
      </w:r>
      <w:r w:rsidRPr="00932381">
        <w:rPr>
          <w:rStyle w:val="Heading2NotItalic"/>
          <w:b/>
          <w:bCs/>
          <w:i w:val="0"/>
          <w:iCs w:val="0"/>
          <w:sz w:val="26"/>
          <w:szCs w:val="26"/>
        </w:rPr>
        <w:t xml:space="preserve"> </w:t>
      </w:r>
      <w:r w:rsidRPr="00932381">
        <w:rPr>
          <w:i/>
          <w:sz w:val="26"/>
          <w:szCs w:val="26"/>
        </w:rPr>
        <w:t>Industry Commission Act 1989</w:t>
      </w:r>
      <w:bookmarkEnd w:id="3"/>
    </w:p>
    <w:p w14:paraId="10748918" w14:textId="7A07B7CF" w:rsidR="003061CE" w:rsidRPr="00887E5B" w:rsidRDefault="00B556A4" w:rsidP="007825B0">
      <w:pPr>
        <w:pStyle w:val="Bodytext40"/>
        <w:spacing w:before="120" w:line="240" w:lineRule="auto"/>
        <w:rPr>
          <w:sz w:val="22"/>
          <w:szCs w:val="22"/>
        </w:rPr>
      </w:pPr>
      <w:r w:rsidRPr="00932381">
        <w:rPr>
          <w:i w:val="0"/>
          <w:sz w:val="22"/>
          <w:szCs w:val="22"/>
        </w:rPr>
        <w:t>[</w:t>
      </w:r>
      <w:r w:rsidR="00C361F1">
        <w:rPr>
          <w:sz w:val="22"/>
          <w:szCs w:val="22"/>
        </w:rPr>
        <w:t>Assented to 1</w:t>
      </w:r>
      <w:r w:rsidRPr="00887E5B">
        <w:rPr>
          <w:sz w:val="22"/>
          <w:szCs w:val="22"/>
        </w:rPr>
        <w:t>6 December 1995</w:t>
      </w:r>
      <w:r w:rsidRPr="00932381">
        <w:rPr>
          <w:i w:val="0"/>
          <w:sz w:val="22"/>
          <w:szCs w:val="22"/>
        </w:rPr>
        <w:t>]</w:t>
      </w:r>
    </w:p>
    <w:p w14:paraId="61BC1F94" w14:textId="77777777" w:rsidR="003061CE" w:rsidRPr="00887E5B" w:rsidRDefault="00B556A4" w:rsidP="007825B0">
      <w:pPr>
        <w:pStyle w:val="BodyText1"/>
        <w:spacing w:before="120" w:line="240" w:lineRule="auto"/>
        <w:ind w:firstLine="270"/>
        <w:jc w:val="left"/>
        <w:rPr>
          <w:sz w:val="22"/>
          <w:szCs w:val="22"/>
        </w:rPr>
      </w:pPr>
      <w:r w:rsidRPr="00887E5B">
        <w:rPr>
          <w:sz w:val="22"/>
          <w:szCs w:val="22"/>
        </w:rPr>
        <w:t>The Parliament of Australia enacts:</w:t>
      </w:r>
    </w:p>
    <w:p w14:paraId="09146402" w14:textId="77777777" w:rsidR="003061CE" w:rsidRPr="00887E5B" w:rsidRDefault="00B556A4" w:rsidP="00571882">
      <w:pPr>
        <w:pStyle w:val="Bodytext30"/>
        <w:spacing w:before="120" w:after="60" w:line="240" w:lineRule="auto"/>
        <w:jc w:val="left"/>
        <w:rPr>
          <w:sz w:val="22"/>
          <w:szCs w:val="22"/>
        </w:rPr>
      </w:pPr>
      <w:r w:rsidRPr="00887E5B">
        <w:rPr>
          <w:sz w:val="22"/>
          <w:szCs w:val="22"/>
        </w:rPr>
        <w:t>Short title</w:t>
      </w:r>
    </w:p>
    <w:p w14:paraId="6E4D6223" w14:textId="77777777" w:rsidR="003061CE" w:rsidRPr="00887E5B" w:rsidRDefault="00445EE3" w:rsidP="00445EE3">
      <w:pPr>
        <w:pStyle w:val="BodyText1"/>
        <w:tabs>
          <w:tab w:val="left" w:pos="630"/>
        </w:tabs>
        <w:spacing w:before="120" w:line="240" w:lineRule="auto"/>
        <w:ind w:firstLine="270"/>
        <w:jc w:val="left"/>
        <w:rPr>
          <w:sz w:val="22"/>
          <w:szCs w:val="22"/>
        </w:rPr>
      </w:pPr>
      <w:r w:rsidRPr="00445EE3">
        <w:rPr>
          <w:rStyle w:val="Bodytext4NotItalic"/>
          <w:b/>
          <w:i w:val="0"/>
          <w:iCs w:val="0"/>
          <w:sz w:val="22"/>
          <w:szCs w:val="22"/>
        </w:rPr>
        <w:t>1.</w:t>
      </w:r>
      <w:r>
        <w:rPr>
          <w:rStyle w:val="Bodytext4NotItalic"/>
          <w:i w:val="0"/>
          <w:iCs w:val="0"/>
          <w:sz w:val="22"/>
          <w:szCs w:val="22"/>
        </w:rPr>
        <w:tab/>
      </w:r>
      <w:r w:rsidR="00B556A4" w:rsidRPr="00887E5B">
        <w:rPr>
          <w:rStyle w:val="Bodytext4NotItalic"/>
          <w:i w:val="0"/>
          <w:iCs w:val="0"/>
          <w:sz w:val="22"/>
          <w:szCs w:val="22"/>
        </w:rPr>
        <w:t xml:space="preserve">This Act may be cited as the </w:t>
      </w:r>
      <w:r w:rsidR="00B556A4" w:rsidRPr="0082385F">
        <w:rPr>
          <w:i/>
          <w:sz w:val="22"/>
          <w:szCs w:val="22"/>
        </w:rPr>
        <w:t>Industry Commission Amendment Act 1995</w:t>
      </w:r>
      <w:r w:rsidR="00B556A4" w:rsidRPr="00887E5B">
        <w:rPr>
          <w:sz w:val="22"/>
          <w:szCs w:val="22"/>
        </w:rPr>
        <w:t>.</w:t>
      </w:r>
    </w:p>
    <w:p w14:paraId="29BAC882" w14:textId="77777777" w:rsidR="003061CE" w:rsidRPr="00887E5B" w:rsidRDefault="00B556A4" w:rsidP="00571882">
      <w:pPr>
        <w:pStyle w:val="Bodytext30"/>
        <w:spacing w:before="120" w:after="60" w:line="240" w:lineRule="auto"/>
        <w:jc w:val="left"/>
        <w:rPr>
          <w:sz w:val="22"/>
          <w:szCs w:val="22"/>
        </w:rPr>
      </w:pPr>
      <w:r w:rsidRPr="00887E5B">
        <w:rPr>
          <w:sz w:val="22"/>
          <w:szCs w:val="22"/>
        </w:rPr>
        <w:t>Commencement</w:t>
      </w:r>
    </w:p>
    <w:p w14:paraId="7DAAFD5D" w14:textId="77777777" w:rsidR="00A66139" w:rsidRDefault="00445EE3" w:rsidP="00A66139">
      <w:pPr>
        <w:pStyle w:val="BodyText1"/>
        <w:tabs>
          <w:tab w:val="left" w:pos="630"/>
        </w:tabs>
        <w:spacing w:before="120" w:line="240" w:lineRule="auto"/>
        <w:ind w:firstLine="270"/>
        <w:jc w:val="left"/>
        <w:rPr>
          <w:sz w:val="22"/>
          <w:szCs w:val="22"/>
        </w:rPr>
        <w:sectPr w:rsidR="00A66139" w:rsidSect="00A1631B">
          <w:headerReference w:type="first" r:id="rId11"/>
          <w:type w:val="continuous"/>
          <w:pgSz w:w="12240" w:h="15840" w:code="1"/>
          <w:pgMar w:top="1440" w:right="1440" w:bottom="1440" w:left="1440" w:header="810" w:footer="0" w:gutter="0"/>
          <w:cols w:space="720"/>
          <w:noEndnote/>
          <w:docGrid w:linePitch="360"/>
        </w:sectPr>
      </w:pPr>
      <w:r w:rsidRPr="00445EE3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="00B556A4" w:rsidRPr="00887E5B">
        <w:rPr>
          <w:sz w:val="22"/>
          <w:szCs w:val="22"/>
        </w:rPr>
        <w:t>This Act commences on the day on which it receives the Royal Assent.</w:t>
      </w:r>
    </w:p>
    <w:p w14:paraId="23C6C655" w14:textId="77777777" w:rsidR="003061CE" w:rsidRPr="00887E5B" w:rsidRDefault="00B556A4" w:rsidP="00543F1A">
      <w:pPr>
        <w:pStyle w:val="Bodytext30"/>
        <w:spacing w:before="120" w:after="60" w:line="240" w:lineRule="auto"/>
        <w:jc w:val="left"/>
        <w:rPr>
          <w:sz w:val="22"/>
          <w:szCs w:val="22"/>
        </w:rPr>
      </w:pPr>
      <w:r w:rsidRPr="00887E5B">
        <w:rPr>
          <w:sz w:val="22"/>
          <w:szCs w:val="22"/>
        </w:rPr>
        <w:lastRenderedPageBreak/>
        <w:t>Schedule</w:t>
      </w:r>
    </w:p>
    <w:p w14:paraId="1BB373F0" w14:textId="77777777" w:rsidR="00543F1A" w:rsidRDefault="00445EE3" w:rsidP="00445EE3">
      <w:pPr>
        <w:pStyle w:val="BodyText1"/>
        <w:tabs>
          <w:tab w:val="left" w:pos="614"/>
        </w:tabs>
        <w:spacing w:before="120" w:line="240" w:lineRule="auto"/>
        <w:ind w:firstLine="270"/>
        <w:jc w:val="left"/>
        <w:rPr>
          <w:sz w:val="22"/>
          <w:szCs w:val="22"/>
        </w:rPr>
      </w:pPr>
      <w:r w:rsidRPr="00445EE3">
        <w:rPr>
          <w:b/>
          <w:sz w:val="22"/>
          <w:szCs w:val="22"/>
        </w:rPr>
        <w:t>3.</w:t>
      </w:r>
      <w:r>
        <w:rPr>
          <w:sz w:val="22"/>
          <w:szCs w:val="22"/>
        </w:rPr>
        <w:tab/>
      </w:r>
      <w:r w:rsidR="00B556A4" w:rsidRPr="00887E5B">
        <w:rPr>
          <w:sz w:val="22"/>
          <w:szCs w:val="22"/>
        </w:rPr>
        <w:t xml:space="preserve">The </w:t>
      </w:r>
      <w:r w:rsidR="00B556A4" w:rsidRPr="00887E5B">
        <w:rPr>
          <w:rStyle w:val="BodytextItalic"/>
          <w:sz w:val="22"/>
          <w:szCs w:val="22"/>
        </w:rPr>
        <w:t>Industry Commission Act 1989</w:t>
      </w:r>
      <w:r w:rsidR="00B556A4" w:rsidRPr="00887E5B">
        <w:rPr>
          <w:sz w:val="22"/>
          <w:szCs w:val="22"/>
        </w:rPr>
        <w:t xml:space="preserve"> is amended in accordance with the applicable items in the Schedule to this Act.</w:t>
      </w:r>
    </w:p>
    <w:p w14:paraId="4E73757C" w14:textId="77777777" w:rsidR="001D5BB3" w:rsidRDefault="001D5BB3" w:rsidP="001D5BB3">
      <w:pPr>
        <w:pStyle w:val="BodyText1"/>
        <w:spacing w:before="12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––––––––––––––</w:t>
      </w:r>
    </w:p>
    <w:p w14:paraId="3E6EF1D6" w14:textId="77777777" w:rsidR="00543F1A" w:rsidRDefault="00543F1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414065C6" w14:textId="77777777" w:rsidR="003061CE" w:rsidRPr="00887E5B" w:rsidRDefault="00B556A4" w:rsidP="0082385F">
      <w:pPr>
        <w:pStyle w:val="Bodytext50"/>
        <w:tabs>
          <w:tab w:val="right" w:pos="9252"/>
        </w:tabs>
        <w:spacing w:before="120" w:line="240" w:lineRule="auto"/>
        <w:ind w:left="4293"/>
        <w:jc w:val="left"/>
        <w:rPr>
          <w:sz w:val="22"/>
          <w:szCs w:val="22"/>
        </w:rPr>
      </w:pPr>
      <w:r w:rsidRPr="004B02B9">
        <w:rPr>
          <w:rStyle w:val="Bodytext5115pt"/>
          <w:b/>
          <w:sz w:val="22"/>
          <w:szCs w:val="22"/>
        </w:rPr>
        <w:lastRenderedPageBreak/>
        <w:t>SCHEDULE</w:t>
      </w:r>
      <w:r w:rsidRPr="00887E5B">
        <w:rPr>
          <w:rStyle w:val="Bodytext5115pt"/>
          <w:sz w:val="22"/>
          <w:szCs w:val="22"/>
        </w:rPr>
        <w:tab/>
      </w:r>
      <w:r w:rsidR="004B02B9" w:rsidRPr="00C361F1">
        <w:rPr>
          <w:sz w:val="20"/>
          <w:szCs w:val="20"/>
        </w:rPr>
        <w:t xml:space="preserve">Section </w:t>
      </w:r>
      <w:r w:rsidRPr="00C361F1">
        <w:rPr>
          <w:sz w:val="20"/>
          <w:szCs w:val="20"/>
        </w:rPr>
        <w:t>3</w:t>
      </w:r>
    </w:p>
    <w:p w14:paraId="5E8D3E43" w14:textId="77777777" w:rsidR="003061CE" w:rsidRPr="00887E5B" w:rsidRDefault="00B556A4" w:rsidP="004B02B9">
      <w:pPr>
        <w:pStyle w:val="BodyText1"/>
        <w:spacing w:before="120" w:line="240" w:lineRule="auto"/>
        <w:ind w:firstLine="360"/>
        <w:jc w:val="center"/>
        <w:rPr>
          <w:sz w:val="22"/>
          <w:szCs w:val="22"/>
        </w:rPr>
      </w:pPr>
      <w:r w:rsidRPr="00887E5B">
        <w:rPr>
          <w:sz w:val="22"/>
          <w:szCs w:val="22"/>
        </w:rPr>
        <w:t>AMENDMENTS OF THE INDUSTRY COMMISSION ACT 1989</w:t>
      </w:r>
    </w:p>
    <w:p w14:paraId="6B9A684E" w14:textId="3D9839B3" w:rsidR="00D47A63" w:rsidRPr="00D47A63" w:rsidRDefault="00D47A63" w:rsidP="00D47A63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D47A6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C361F1">
        <w:rPr>
          <w:b/>
          <w:sz w:val="22"/>
          <w:szCs w:val="22"/>
        </w:rPr>
        <w:t>Paragraph 28(1</w:t>
      </w:r>
      <w:r w:rsidRPr="00D47A63">
        <w:rPr>
          <w:b/>
          <w:sz w:val="22"/>
          <w:szCs w:val="22"/>
        </w:rPr>
        <w:t>)(b):</w:t>
      </w:r>
    </w:p>
    <w:p w14:paraId="1DA05B9E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Omit “8”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substitute “11”.</w:t>
      </w:r>
    </w:p>
    <w:p w14:paraId="2BE789CD" w14:textId="77777777" w:rsidR="00D47A63" w:rsidRPr="00D47A63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D47A63">
        <w:rPr>
          <w:b/>
          <w:sz w:val="22"/>
          <w:szCs w:val="22"/>
        </w:rPr>
        <w:t>2.</w:t>
      </w:r>
      <w:r w:rsidR="007A2393">
        <w:rPr>
          <w:b/>
          <w:sz w:val="22"/>
          <w:szCs w:val="22"/>
        </w:rPr>
        <w:t xml:space="preserve"> </w:t>
      </w:r>
      <w:r w:rsidRPr="00D47A63">
        <w:rPr>
          <w:b/>
          <w:sz w:val="22"/>
          <w:szCs w:val="22"/>
        </w:rPr>
        <w:t>Subsection 29(1):</w:t>
      </w:r>
    </w:p>
    <w:p w14:paraId="6C9E494C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Omit “on a full-time basis”.</w:t>
      </w:r>
    </w:p>
    <w:p w14:paraId="0F6EE1EC" w14:textId="77777777" w:rsidR="00D47A63" w:rsidRPr="00D47A63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D47A63">
        <w:rPr>
          <w:b/>
          <w:sz w:val="22"/>
          <w:szCs w:val="22"/>
        </w:rPr>
        <w:t>3.</w:t>
      </w:r>
      <w:r w:rsidR="00360E2E">
        <w:rPr>
          <w:b/>
          <w:sz w:val="22"/>
          <w:szCs w:val="22"/>
        </w:rPr>
        <w:t xml:space="preserve"> </w:t>
      </w:r>
      <w:r w:rsidRPr="00D47A63">
        <w:rPr>
          <w:b/>
          <w:sz w:val="22"/>
          <w:szCs w:val="22"/>
        </w:rPr>
        <w:t>After subsection 29(1):</w:t>
      </w:r>
    </w:p>
    <w:p w14:paraId="2BDDD135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Insert:</w:t>
      </w:r>
    </w:p>
    <w:p w14:paraId="77AFBA1D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“(1A) The Chairperson must be appointed on a full-time basis. The other Commissioners may be appointed on a full-time or part-time basis.”.</w:t>
      </w:r>
    </w:p>
    <w:p w14:paraId="2B83DEE6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4.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Section 30:</w:t>
      </w:r>
    </w:p>
    <w:p w14:paraId="7D0AFAD6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Before “Commissioner” insert “full-time”.</w:t>
      </w:r>
    </w:p>
    <w:p w14:paraId="2945E96A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5.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Section 30:</w:t>
      </w:r>
    </w:p>
    <w:p w14:paraId="7A186324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Add at the end:</w:t>
      </w:r>
    </w:p>
    <w:p w14:paraId="14A061E7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“(2) A part-time Commissioner must not engage in any paid employment that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in the Minister’s opinion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conflicts with the proper performance of the Commissioner’s duties.”.</w:t>
      </w:r>
    </w:p>
    <w:p w14:paraId="67D89E47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6.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After subsection 34(2):</w:t>
      </w:r>
    </w:p>
    <w:p w14:paraId="7C3CEEF1" w14:textId="77777777" w:rsidR="00D47A63" w:rsidRPr="00D47A63" w:rsidRDefault="00D47A63" w:rsidP="006867FE">
      <w:pPr>
        <w:pStyle w:val="BodyText1"/>
        <w:spacing w:before="120" w:line="240" w:lineRule="auto"/>
        <w:ind w:left="234" w:firstLine="0"/>
        <w:rPr>
          <w:sz w:val="22"/>
          <w:szCs w:val="22"/>
        </w:rPr>
      </w:pPr>
      <w:r w:rsidRPr="00D47A63">
        <w:rPr>
          <w:sz w:val="22"/>
          <w:szCs w:val="22"/>
        </w:rPr>
        <w:t>Insert:</w:t>
      </w:r>
    </w:p>
    <w:p w14:paraId="48A79BFF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“(2A) The Chairperson may grant leave to a part-time Commissioner to be absent from a meeting or meetings of the Commission.”.</w:t>
      </w:r>
    </w:p>
    <w:p w14:paraId="611856A2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7.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Subsection 35(4):</w:t>
      </w:r>
    </w:p>
    <w:p w14:paraId="7DC06C40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Omit “8”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substitute “11”.</w:t>
      </w:r>
    </w:p>
    <w:p w14:paraId="5A05C690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8.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Paragraph 38(5)(b):</w:t>
      </w:r>
    </w:p>
    <w:p w14:paraId="2A9F7122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Before “Commissioner” insert “full-time”.</w:t>
      </w:r>
    </w:p>
    <w:p w14:paraId="41C3F1A1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9.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After paragraph 38(5)(b):</w:t>
      </w:r>
    </w:p>
    <w:p w14:paraId="151983E2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Insert:</w:t>
      </w:r>
    </w:p>
    <w:p w14:paraId="0EE53924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“(ba) a part-time Commissioner:</w:t>
      </w:r>
    </w:p>
    <w:p w14:paraId="0ACDCADC" w14:textId="77777777" w:rsidR="00D47A63" w:rsidRPr="00D47A63" w:rsidRDefault="00D47A63" w:rsidP="006867FE">
      <w:pPr>
        <w:pStyle w:val="BodyText1"/>
        <w:spacing w:before="120" w:line="240" w:lineRule="auto"/>
        <w:ind w:left="1386" w:hanging="306"/>
        <w:rPr>
          <w:sz w:val="22"/>
          <w:szCs w:val="22"/>
        </w:rPr>
      </w:pPr>
      <w:r w:rsidRPr="00D47A63">
        <w:rPr>
          <w:sz w:val="22"/>
          <w:szCs w:val="22"/>
        </w:rPr>
        <w:t>(i)</w:t>
      </w:r>
      <w:r w:rsidR="003F76D6">
        <w:rPr>
          <w:sz w:val="22"/>
          <w:szCs w:val="22"/>
        </w:rPr>
        <w:t xml:space="preserve"> </w:t>
      </w:r>
      <w:r w:rsidRPr="00D47A63">
        <w:rPr>
          <w:sz w:val="22"/>
          <w:szCs w:val="22"/>
        </w:rPr>
        <w:t>engages in paid employment that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in the Minister’s opinion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conflicts with the proper performance of the Commissioner’s duties; or</w:t>
      </w:r>
    </w:p>
    <w:p w14:paraId="13EC16EB" w14:textId="243BCCEE" w:rsidR="00D47A63" w:rsidRPr="00D47A63" w:rsidRDefault="00D47A63" w:rsidP="0082385F">
      <w:pPr>
        <w:pStyle w:val="BodyText1"/>
        <w:spacing w:before="120" w:line="240" w:lineRule="auto"/>
        <w:ind w:left="1323" w:hanging="306"/>
        <w:rPr>
          <w:sz w:val="22"/>
          <w:szCs w:val="22"/>
        </w:rPr>
      </w:pPr>
      <w:r w:rsidRPr="00D47A63">
        <w:rPr>
          <w:sz w:val="22"/>
          <w:szCs w:val="22"/>
        </w:rPr>
        <w:t>(ii)</w:t>
      </w:r>
      <w:r w:rsidR="003F76D6">
        <w:rPr>
          <w:sz w:val="22"/>
          <w:szCs w:val="22"/>
        </w:rPr>
        <w:t xml:space="preserve"> </w:t>
      </w:r>
      <w:r w:rsidRPr="00D47A63">
        <w:rPr>
          <w:sz w:val="22"/>
          <w:szCs w:val="22"/>
        </w:rPr>
        <w:t>is absent from duty</w:t>
      </w:r>
      <w:r w:rsidR="00C361F1">
        <w:rPr>
          <w:sz w:val="22"/>
          <w:szCs w:val="22"/>
        </w:rPr>
        <w:t>,</w:t>
      </w:r>
      <w:r w:rsidR="001406F0">
        <w:rPr>
          <w:sz w:val="22"/>
          <w:szCs w:val="22"/>
        </w:rPr>
        <w:t xml:space="preserve"> </w:t>
      </w:r>
      <w:r w:rsidRPr="00D47A63">
        <w:rPr>
          <w:sz w:val="22"/>
          <w:szCs w:val="22"/>
        </w:rPr>
        <w:t>except on leave of absence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for 14 consecutive days or for 28 days in any 12 months; or</w:t>
      </w:r>
    </w:p>
    <w:p w14:paraId="6337E34D" w14:textId="77777777" w:rsidR="00BB11B3" w:rsidRDefault="00BB11B3" w:rsidP="006867FE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7217E812" w14:textId="77777777" w:rsidR="00D47A63" w:rsidRPr="00D47A63" w:rsidRDefault="00D47A63" w:rsidP="006867FE">
      <w:pPr>
        <w:pStyle w:val="BodyText1"/>
        <w:spacing w:before="120" w:line="240" w:lineRule="auto"/>
        <w:ind w:left="360" w:hanging="360"/>
        <w:jc w:val="center"/>
        <w:rPr>
          <w:sz w:val="22"/>
          <w:szCs w:val="22"/>
        </w:rPr>
      </w:pPr>
      <w:r w:rsidRPr="00BB11B3">
        <w:rPr>
          <w:b/>
          <w:sz w:val="22"/>
          <w:szCs w:val="22"/>
        </w:rPr>
        <w:lastRenderedPageBreak/>
        <w:t>SCHEDULE</w:t>
      </w:r>
      <w:r w:rsidRPr="00D47A63">
        <w:rPr>
          <w:sz w:val="22"/>
          <w:szCs w:val="22"/>
        </w:rPr>
        <w:t>—continued</w:t>
      </w:r>
    </w:p>
    <w:p w14:paraId="1A2EF859" w14:textId="77777777" w:rsidR="00D47A63" w:rsidRPr="00D47A63" w:rsidRDefault="00D47A63" w:rsidP="0082385F">
      <w:pPr>
        <w:pStyle w:val="BodyText1"/>
        <w:spacing w:before="120" w:line="240" w:lineRule="auto"/>
        <w:ind w:left="1386" w:hanging="378"/>
        <w:rPr>
          <w:sz w:val="22"/>
          <w:szCs w:val="22"/>
        </w:rPr>
      </w:pPr>
      <w:r w:rsidRPr="00D47A63">
        <w:rPr>
          <w:sz w:val="22"/>
          <w:szCs w:val="22"/>
        </w:rPr>
        <w:t>(iii)</w:t>
      </w:r>
      <w:r w:rsidR="00F9147E">
        <w:rPr>
          <w:sz w:val="22"/>
          <w:szCs w:val="22"/>
        </w:rPr>
        <w:t xml:space="preserve"> </w:t>
      </w:r>
      <w:r w:rsidRPr="00D47A63">
        <w:rPr>
          <w:sz w:val="22"/>
          <w:szCs w:val="22"/>
        </w:rPr>
        <w:t>is absent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except on leave granted under subsection 34(2A)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from 3 consecutive meetings of the Commission; or”.</w:t>
      </w:r>
    </w:p>
    <w:p w14:paraId="16FA20E9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10.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Paragraph 40(5)(a):</w:t>
      </w:r>
    </w:p>
    <w:p w14:paraId="14CD556D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Omit “3”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substitute “4”.</w:t>
      </w:r>
    </w:p>
    <w:p w14:paraId="2452F4B7" w14:textId="77777777" w:rsidR="00D47A63" w:rsidRPr="00991C7A" w:rsidRDefault="00D47A63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 w:rsidRPr="00991C7A">
        <w:rPr>
          <w:b/>
          <w:sz w:val="22"/>
          <w:szCs w:val="22"/>
        </w:rPr>
        <w:t>11.</w:t>
      </w:r>
      <w:r w:rsidR="00991C7A">
        <w:rPr>
          <w:b/>
          <w:sz w:val="22"/>
          <w:szCs w:val="22"/>
        </w:rPr>
        <w:t xml:space="preserve"> </w:t>
      </w:r>
      <w:r w:rsidRPr="00991C7A">
        <w:rPr>
          <w:b/>
          <w:sz w:val="22"/>
          <w:szCs w:val="22"/>
        </w:rPr>
        <w:t>Subsection 40(8):</w:t>
      </w:r>
    </w:p>
    <w:p w14:paraId="1D82DA36" w14:textId="77777777" w:rsidR="00D47A63" w:rsidRP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Omit “section 41”</w:t>
      </w:r>
      <w:r w:rsidR="001406F0">
        <w:rPr>
          <w:sz w:val="22"/>
          <w:szCs w:val="22"/>
        </w:rPr>
        <w:t xml:space="preserve">, </w:t>
      </w:r>
      <w:r w:rsidRPr="00D47A63">
        <w:rPr>
          <w:sz w:val="22"/>
          <w:szCs w:val="22"/>
        </w:rPr>
        <w:t>substitute “sections 41 and 41A”.</w:t>
      </w:r>
    </w:p>
    <w:p w14:paraId="3FFA1944" w14:textId="77777777" w:rsidR="00D47A63" w:rsidRPr="00991C7A" w:rsidRDefault="00183C72" w:rsidP="006867FE">
      <w:pPr>
        <w:pStyle w:val="BodyText1"/>
        <w:spacing w:before="120" w:line="240" w:lineRule="auto"/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D47A63" w:rsidRPr="00991C7A">
        <w:rPr>
          <w:b/>
          <w:sz w:val="22"/>
          <w:szCs w:val="22"/>
        </w:rPr>
        <w:t>After section 41:</w:t>
      </w:r>
    </w:p>
    <w:p w14:paraId="78A822C3" w14:textId="77777777" w:rsidR="00D47A63" w:rsidRDefault="00D47A63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D47A63">
        <w:rPr>
          <w:sz w:val="22"/>
          <w:szCs w:val="22"/>
        </w:rPr>
        <w:t>Insert:</w:t>
      </w:r>
    </w:p>
    <w:p w14:paraId="654A839B" w14:textId="77777777" w:rsidR="00DF691C" w:rsidRPr="00317740" w:rsidRDefault="00DF691C" w:rsidP="0082385F">
      <w:pPr>
        <w:widowControl/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r w:rsidRPr="00DF691C">
        <w:rPr>
          <w:rFonts w:ascii="Times New Roman" w:hAnsi="Times New Roman" w:cs="Times New Roman"/>
          <w:b/>
          <w:color w:val="auto"/>
          <w:sz w:val="22"/>
          <w:szCs w:val="26"/>
          <w:lang w:val="en-IN"/>
        </w:rPr>
        <w:t xml:space="preserve">Constitution of Division </w:t>
      </w:r>
      <w:r w:rsidRPr="00DF691C">
        <w:rPr>
          <w:rFonts w:ascii="Times New Roman" w:hAnsi="Times New Roman" w:cs="Times New Roman"/>
          <w:b/>
          <w:bCs/>
          <w:color w:val="auto"/>
          <w:sz w:val="22"/>
          <w:szCs w:val="26"/>
          <w:lang w:val="en-IN"/>
        </w:rPr>
        <w:t xml:space="preserve">by </w:t>
      </w:r>
      <w:r w:rsidRPr="00DF691C">
        <w:rPr>
          <w:rFonts w:ascii="Times New Roman" w:hAnsi="Times New Roman" w:cs="Times New Roman"/>
          <w:b/>
          <w:color w:val="auto"/>
          <w:sz w:val="22"/>
          <w:szCs w:val="26"/>
          <w:lang w:val="en-IN"/>
        </w:rPr>
        <w:t>a single Commissioner in exceptional cases</w:t>
      </w:r>
    </w:p>
    <w:p w14:paraId="76A7B962" w14:textId="6689411E" w:rsidR="003061CE" w:rsidRPr="00887E5B" w:rsidRDefault="00C361F1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>
        <w:rPr>
          <w:sz w:val="22"/>
          <w:szCs w:val="22"/>
        </w:rPr>
        <w:t>“41 A.(1</w:t>
      </w:r>
      <w:r w:rsidR="00B556A4" w:rsidRPr="00887E5B">
        <w:rPr>
          <w:sz w:val="22"/>
          <w:szCs w:val="22"/>
        </w:rPr>
        <w:t>) This section applies if:</w:t>
      </w:r>
    </w:p>
    <w:p w14:paraId="1B7FC9E8" w14:textId="77777777" w:rsidR="003061CE" w:rsidRPr="00887E5B" w:rsidRDefault="00364C0F" w:rsidP="0082385F">
      <w:pPr>
        <w:pStyle w:val="BodyText1"/>
        <w:spacing w:before="120" w:line="240" w:lineRule="auto"/>
        <w:ind w:left="630" w:hanging="31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B556A4" w:rsidRPr="00887E5B">
        <w:rPr>
          <w:sz w:val="22"/>
          <w:szCs w:val="22"/>
        </w:rPr>
        <w:t>only 1 member of a Division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or only 1 person appointed to act as such a member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is available to attend a public hearing by the Division; and</w:t>
      </w:r>
    </w:p>
    <w:p w14:paraId="107192F0" w14:textId="77777777" w:rsidR="003061CE" w:rsidRPr="00887E5B" w:rsidRDefault="00364C0F" w:rsidP="0082385F">
      <w:pPr>
        <w:pStyle w:val="BodyText1"/>
        <w:spacing w:before="120" w:line="240" w:lineRule="auto"/>
        <w:ind w:left="630" w:hanging="31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B556A4" w:rsidRPr="00887E5B">
        <w:rPr>
          <w:sz w:val="22"/>
          <w:szCs w:val="22"/>
        </w:rPr>
        <w:t>the other members of the Division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and the other persons appointed to act as those members (if any)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are unavailable to attend the hearing because of accident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illness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injury or any other reason beyond their control.</w:t>
      </w:r>
    </w:p>
    <w:p w14:paraId="701EC9DE" w14:textId="77777777" w:rsidR="003061CE" w:rsidRPr="00887E5B" w:rsidRDefault="00B556A4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887E5B">
        <w:rPr>
          <w:sz w:val="22"/>
          <w:szCs w:val="22"/>
        </w:rPr>
        <w:t>“(2) Despite section 41</w:t>
      </w:r>
      <w:r w:rsidR="001406F0">
        <w:rPr>
          <w:sz w:val="22"/>
          <w:szCs w:val="22"/>
        </w:rPr>
        <w:t xml:space="preserve">, </w:t>
      </w:r>
      <w:r w:rsidRPr="00887E5B">
        <w:rPr>
          <w:sz w:val="22"/>
          <w:szCs w:val="22"/>
        </w:rPr>
        <w:t>if this section applies:</w:t>
      </w:r>
    </w:p>
    <w:p w14:paraId="68332AD4" w14:textId="77777777" w:rsidR="003061CE" w:rsidRPr="00887E5B" w:rsidRDefault="00D8697B" w:rsidP="0082385F">
      <w:pPr>
        <w:pStyle w:val="BodyText1"/>
        <w:spacing w:before="120" w:line="240" w:lineRule="auto"/>
        <w:ind w:left="630" w:hanging="31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B556A4" w:rsidRPr="00887E5B">
        <w:rPr>
          <w:sz w:val="22"/>
          <w:szCs w:val="22"/>
        </w:rPr>
        <w:t>the Division is taken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for the purposes of the hearing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to be constituted by the sole available member or acting member until 1 of the other members or acting members becomes available to attend the hearing; and</w:t>
      </w:r>
    </w:p>
    <w:p w14:paraId="0DFEF77D" w14:textId="77777777" w:rsidR="003061CE" w:rsidRPr="00887E5B" w:rsidRDefault="00D8697B" w:rsidP="0082385F">
      <w:pPr>
        <w:pStyle w:val="BodyText1"/>
        <w:spacing w:before="120" w:line="240" w:lineRule="auto"/>
        <w:ind w:left="630" w:hanging="31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B556A4" w:rsidRPr="00887E5B">
        <w:rPr>
          <w:sz w:val="22"/>
          <w:szCs w:val="22"/>
        </w:rPr>
        <w:t>while the sole available member or acting member is taken to constitute the Division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he or she is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for the purposes of this Act</w:t>
      </w:r>
      <w:r w:rsidR="001406F0">
        <w:rPr>
          <w:sz w:val="22"/>
          <w:szCs w:val="22"/>
        </w:rPr>
        <w:t xml:space="preserve">, </w:t>
      </w:r>
      <w:r w:rsidR="00B556A4" w:rsidRPr="00887E5B">
        <w:rPr>
          <w:sz w:val="22"/>
          <w:szCs w:val="22"/>
        </w:rPr>
        <w:t>taken to have been nominated to preside at the meeting of the Division at which the hearing takes place.</w:t>
      </w:r>
    </w:p>
    <w:p w14:paraId="09691C2D" w14:textId="77777777" w:rsidR="003061CE" w:rsidRPr="00887E5B" w:rsidRDefault="00B556A4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887E5B">
        <w:rPr>
          <w:sz w:val="22"/>
          <w:szCs w:val="22"/>
        </w:rPr>
        <w:t>“(3) Paragraph (2)(b) does not apply if the sole available member</w:t>
      </w:r>
      <w:r w:rsidR="001406F0">
        <w:rPr>
          <w:sz w:val="22"/>
          <w:szCs w:val="22"/>
        </w:rPr>
        <w:t xml:space="preserve">, </w:t>
      </w:r>
      <w:r w:rsidRPr="00887E5B">
        <w:rPr>
          <w:sz w:val="22"/>
          <w:szCs w:val="22"/>
        </w:rPr>
        <w:t>or acting member</w:t>
      </w:r>
      <w:r w:rsidR="001406F0">
        <w:rPr>
          <w:sz w:val="22"/>
          <w:szCs w:val="22"/>
        </w:rPr>
        <w:t xml:space="preserve">, </w:t>
      </w:r>
      <w:r w:rsidRPr="00887E5B">
        <w:rPr>
          <w:sz w:val="22"/>
          <w:szCs w:val="22"/>
        </w:rPr>
        <w:t>of the Division is the Chairperson or acting Chairperson.</w:t>
      </w:r>
    </w:p>
    <w:p w14:paraId="206AB2CE" w14:textId="77777777" w:rsidR="00433964" w:rsidRDefault="00B556A4" w:rsidP="0082385F">
      <w:pPr>
        <w:pStyle w:val="BodyText1"/>
        <w:spacing w:before="120" w:line="240" w:lineRule="auto"/>
        <w:ind w:firstLine="274"/>
        <w:rPr>
          <w:sz w:val="22"/>
          <w:szCs w:val="22"/>
        </w:rPr>
      </w:pPr>
      <w:r w:rsidRPr="00887E5B">
        <w:rPr>
          <w:sz w:val="22"/>
          <w:szCs w:val="22"/>
        </w:rPr>
        <w:t>“(4) In this section:</w:t>
      </w:r>
    </w:p>
    <w:p w14:paraId="385A551D" w14:textId="77777777" w:rsidR="003061CE" w:rsidRDefault="00B556A4" w:rsidP="006867FE">
      <w:pPr>
        <w:pStyle w:val="BodyText1"/>
        <w:spacing w:before="120" w:line="240" w:lineRule="auto"/>
        <w:ind w:firstLine="0"/>
        <w:rPr>
          <w:sz w:val="22"/>
          <w:szCs w:val="22"/>
        </w:rPr>
      </w:pPr>
      <w:r w:rsidRPr="00DB4AE5">
        <w:rPr>
          <w:rStyle w:val="BodytextItalic"/>
          <w:b/>
          <w:sz w:val="22"/>
          <w:szCs w:val="22"/>
        </w:rPr>
        <w:t>public hearing</w:t>
      </w:r>
      <w:r w:rsidRPr="00887E5B">
        <w:rPr>
          <w:sz w:val="22"/>
          <w:szCs w:val="22"/>
        </w:rPr>
        <w:t xml:space="preserve"> incl</w:t>
      </w:r>
      <w:r w:rsidR="0027216E">
        <w:rPr>
          <w:sz w:val="22"/>
          <w:szCs w:val="22"/>
        </w:rPr>
        <w:t>udes part of a public hearing.”.</w:t>
      </w:r>
    </w:p>
    <w:p w14:paraId="7C800FED" w14:textId="77777777" w:rsidR="00DB4AE5" w:rsidRPr="00887E5B" w:rsidRDefault="00DB4AE5" w:rsidP="00DB4AE5">
      <w:pPr>
        <w:pStyle w:val="BodyText1"/>
        <w:pBdr>
          <w:bottom w:val="single" w:sz="12" w:space="1" w:color="auto"/>
        </w:pBdr>
        <w:spacing w:before="120" w:line="240" w:lineRule="auto"/>
        <w:ind w:firstLine="0"/>
        <w:rPr>
          <w:sz w:val="22"/>
          <w:szCs w:val="22"/>
        </w:rPr>
      </w:pPr>
    </w:p>
    <w:p w14:paraId="57EFE17F" w14:textId="77777777" w:rsidR="003061CE" w:rsidRPr="00C361F1" w:rsidRDefault="00B556A4" w:rsidP="0082385F">
      <w:pPr>
        <w:pStyle w:val="Bodytext60"/>
        <w:spacing w:before="120" w:line="240" w:lineRule="auto"/>
        <w:jc w:val="left"/>
        <w:rPr>
          <w:b w:val="0"/>
          <w:sz w:val="20"/>
          <w:szCs w:val="20"/>
        </w:rPr>
      </w:pPr>
      <w:r w:rsidRPr="00C361F1">
        <w:rPr>
          <w:b w:val="0"/>
          <w:i w:val="0"/>
          <w:sz w:val="20"/>
          <w:szCs w:val="20"/>
        </w:rPr>
        <w:t>[</w:t>
      </w:r>
      <w:r w:rsidRPr="00C361F1">
        <w:rPr>
          <w:b w:val="0"/>
          <w:sz w:val="20"/>
          <w:szCs w:val="20"/>
        </w:rPr>
        <w:t xml:space="preserve">Minister’s second </w:t>
      </w:r>
      <w:r w:rsidRPr="00C361F1">
        <w:rPr>
          <w:rStyle w:val="Bodytext61"/>
          <w:bCs/>
          <w:i/>
          <w:iCs/>
          <w:sz w:val="20"/>
          <w:szCs w:val="20"/>
        </w:rPr>
        <w:t>reading</w:t>
      </w:r>
      <w:r w:rsidRPr="00C361F1">
        <w:rPr>
          <w:rStyle w:val="Bodytext61"/>
          <w:b/>
          <w:bCs/>
          <w:i/>
          <w:iCs/>
          <w:sz w:val="20"/>
          <w:szCs w:val="20"/>
        </w:rPr>
        <w:t xml:space="preserve"> </w:t>
      </w:r>
      <w:r w:rsidRPr="00C361F1">
        <w:rPr>
          <w:b w:val="0"/>
          <w:sz w:val="20"/>
          <w:szCs w:val="20"/>
        </w:rPr>
        <w:t xml:space="preserve">speech made </w:t>
      </w:r>
      <w:r w:rsidRPr="00C361F1">
        <w:rPr>
          <w:rStyle w:val="Bodytext61"/>
          <w:bCs/>
          <w:i/>
          <w:iCs/>
          <w:sz w:val="20"/>
          <w:szCs w:val="20"/>
        </w:rPr>
        <w:t>in—</w:t>
      </w:r>
    </w:p>
    <w:p w14:paraId="28AA9C48" w14:textId="77777777" w:rsidR="003061CE" w:rsidRPr="00C361F1" w:rsidRDefault="00B556A4" w:rsidP="00CE1126">
      <w:pPr>
        <w:pStyle w:val="Bodytext60"/>
        <w:spacing w:line="240" w:lineRule="auto"/>
        <w:ind w:left="900" w:right="4140"/>
        <w:jc w:val="left"/>
        <w:rPr>
          <w:b w:val="0"/>
          <w:sz w:val="20"/>
          <w:szCs w:val="20"/>
        </w:rPr>
      </w:pPr>
      <w:r w:rsidRPr="00C361F1">
        <w:rPr>
          <w:b w:val="0"/>
          <w:sz w:val="20"/>
          <w:szCs w:val="20"/>
        </w:rPr>
        <w:t>House of Representatives on 21 November 1995 Senate on 22 November 1995</w:t>
      </w:r>
      <w:r w:rsidRPr="00C361F1">
        <w:rPr>
          <w:b w:val="0"/>
          <w:i w:val="0"/>
          <w:sz w:val="20"/>
          <w:szCs w:val="20"/>
        </w:rPr>
        <w:t>]</w:t>
      </w:r>
      <w:bookmarkStart w:id="4" w:name="_GoBack"/>
      <w:bookmarkEnd w:id="4"/>
    </w:p>
    <w:sectPr w:rsidR="003061CE" w:rsidRPr="00C361F1" w:rsidSect="00A66139">
      <w:headerReference w:type="default" r:id="rId12"/>
      <w:pgSz w:w="12240" w:h="15840" w:code="1"/>
      <w:pgMar w:top="1440" w:right="1440" w:bottom="1440" w:left="1440" w:header="81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167B6A" w15:done="0"/>
  <w15:commentEx w15:paraId="0E80DC68" w15:done="0"/>
  <w15:commentEx w15:paraId="2D88651D" w15:done="0"/>
  <w15:commentEx w15:paraId="37D3F054" w15:done="0"/>
  <w15:commentEx w15:paraId="76C8A183" w15:done="0"/>
  <w15:commentEx w15:paraId="29BE0D48" w15:done="0"/>
  <w15:commentEx w15:paraId="3A7E3898" w15:done="0"/>
  <w15:commentEx w15:paraId="5A5FA341" w15:done="0"/>
  <w15:commentEx w15:paraId="7CBDBFF8" w15:done="0"/>
  <w15:commentEx w15:paraId="1498B06D" w15:done="0"/>
  <w15:commentEx w15:paraId="1B5F145F" w15:done="0"/>
  <w15:commentEx w15:paraId="0A1AA1E9" w15:done="0"/>
  <w15:commentEx w15:paraId="3D9E1F66" w15:done="0"/>
  <w15:commentEx w15:paraId="51F43D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67B6A" w16cid:durableId="213DEA40"/>
  <w16cid:commentId w16cid:paraId="0E80DC68" w16cid:durableId="213DEA4A"/>
  <w16cid:commentId w16cid:paraId="2D88651D" w16cid:durableId="213DEA51"/>
  <w16cid:commentId w16cid:paraId="37D3F054" w16cid:durableId="213DEA56"/>
  <w16cid:commentId w16cid:paraId="76C8A183" w16cid:durableId="213DEA5B"/>
  <w16cid:commentId w16cid:paraId="29BE0D48" w16cid:durableId="213DEA67"/>
  <w16cid:commentId w16cid:paraId="3A7E3898" w16cid:durableId="213DEA7A"/>
  <w16cid:commentId w16cid:paraId="5A5FA341" w16cid:durableId="213DEA80"/>
  <w16cid:commentId w16cid:paraId="7CBDBFF8" w16cid:durableId="213DEAC5"/>
  <w16cid:commentId w16cid:paraId="1498B06D" w16cid:durableId="213DEAD0"/>
  <w16cid:commentId w16cid:paraId="1B5F145F" w16cid:durableId="213DEAE3"/>
  <w16cid:commentId w16cid:paraId="0A1AA1E9" w16cid:durableId="213DEAFB"/>
  <w16cid:commentId w16cid:paraId="3D9E1F66" w16cid:durableId="213DEB1D"/>
  <w16cid:commentId w16cid:paraId="51F43D97" w16cid:durableId="213DE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1751D" w14:textId="77777777" w:rsidR="002F1E0F" w:rsidRDefault="002F1E0F">
      <w:r>
        <w:separator/>
      </w:r>
    </w:p>
  </w:endnote>
  <w:endnote w:type="continuationSeparator" w:id="0">
    <w:p w14:paraId="5BF4692E" w14:textId="77777777" w:rsidR="002F1E0F" w:rsidRDefault="002F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F82A4" w14:textId="77777777" w:rsidR="002F1E0F" w:rsidRDefault="002F1E0F"/>
  </w:footnote>
  <w:footnote w:type="continuationSeparator" w:id="0">
    <w:p w14:paraId="22131F02" w14:textId="77777777" w:rsidR="002F1E0F" w:rsidRDefault="002F1E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C4C0F" w14:textId="77777777" w:rsidR="001D5BB3" w:rsidRDefault="001D5BB3" w:rsidP="00A1631B">
    <w:pPr>
      <w:pStyle w:val="Headerorfooter0"/>
      <w:spacing w:before="120" w:line="240" w:lineRule="auto"/>
      <w:jc w:val="center"/>
    </w:pPr>
    <w:r w:rsidRPr="00887E5B">
      <w:t>Industry Commission Amendment No. 150</w:t>
    </w:r>
    <w:r w:rsidR="001406F0">
      <w:t xml:space="preserve">, </w:t>
    </w:r>
    <w:r w:rsidRPr="00887E5B">
      <w:t>1995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72CC" w14:textId="0846B45A" w:rsidR="001D5BB3" w:rsidRDefault="001D5BB3" w:rsidP="00A1631B">
    <w:pPr>
      <w:pStyle w:val="Headerorfooter0"/>
      <w:spacing w:before="120" w:line="240" w:lineRule="auto"/>
      <w:jc w:val="center"/>
    </w:pPr>
    <w:r w:rsidRPr="00887E5B">
      <w:t>Industry Commission Amendment</w:t>
    </w:r>
    <w:r w:rsidR="00C361F1">
      <w:t xml:space="preserve">     </w:t>
    </w:r>
    <w:r w:rsidRPr="00887E5B">
      <w:t xml:space="preserve"> No. 150</w:t>
    </w:r>
    <w:r w:rsidR="001406F0">
      <w:t xml:space="preserve">, </w:t>
    </w:r>
    <w:r w:rsidRPr="00887E5B">
      <w:t>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D1"/>
    <w:multiLevelType w:val="multilevel"/>
    <w:tmpl w:val="FF342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6457"/>
    <w:multiLevelType w:val="multilevel"/>
    <w:tmpl w:val="5D7E31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71181"/>
    <w:multiLevelType w:val="multilevel"/>
    <w:tmpl w:val="6982F6A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F57F9"/>
    <w:multiLevelType w:val="multilevel"/>
    <w:tmpl w:val="81866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20313"/>
    <w:multiLevelType w:val="multilevel"/>
    <w:tmpl w:val="38441C1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61CE"/>
    <w:rsid w:val="00014A35"/>
    <w:rsid w:val="00135766"/>
    <w:rsid w:val="001406F0"/>
    <w:rsid w:val="00163A81"/>
    <w:rsid w:val="00183C72"/>
    <w:rsid w:val="001D5BB3"/>
    <w:rsid w:val="002505DF"/>
    <w:rsid w:val="0027216E"/>
    <w:rsid w:val="002F00EF"/>
    <w:rsid w:val="002F1E0F"/>
    <w:rsid w:val="00303B5D"/>
    <w:rsid w:val="003061CE"/>
    <w:rsid w:val="00317740"/>
    <w:rsid w:val="0034632E"/>
    <w:rsid w:val="00360E2E"/>
    <w:rsid w:val="00364C0F"/>
    <w:rsid w:val="003F76D6"/>
    <w:rsid w:val="00433964"/>
    <w:rsid w:val="00445EE3"/>
    <w:rsid w:val="004B02B9"/>
    <w:rsid w:val="00543F1A"/>
    <w:rsid w:val="00571882"/>
    <w:rsid w:val="005D11CD"/>
    <w:rsid w:val="005D4D70"/>
    <w:rsid w:val="00610948"/>
    <w:rsid w:val="00624510"/>
    <w:rsid w:val="006867FE"/>
    <w:rsid w:val="006A2724"/>
    <w:rsid w:val="007228B7"/>
    <w:rsid w:val="007825B0"/>
    <w:rsid w:val="007A2393"/>
    <w:rsid w:val="0082385F"/>
    <w:rsid w:val="00831B07"/>
    <w:rsid w:val="008322D9"/>
    <w:rsid w:val="0087292A"/>
    <w:rsid w:val="00887E5B"/>
    <w:rsid w:val="00932381"/>
    <w:rsid w:val="00991C7A"/>
    <w:rsid w:val="00A1631B"/>
    <w:rsid w:val="00A66139"/>
    <w:rsid w:val="00AE05A7"/>
    <w:rsid w:val="00AE7B77"/>
    <w:rsid w:val="00B556A4"/>
    <w:rsid w:val="00BB11B3"/>
    <w:rsid w:val="00C361F1"/>
    <w:rsid w:val="00CE1126"/>
    <w:rsid w:val="00D47A63"/>
    <w:rsid w:val="00D8697B"/>
    <w:rsid w:val="00DB4AE5"/>
    <w:rsid w:val="00DF691C"/>
    <w:rsid w:val="00E5281C"/>
    <w:rsid w:val="00EE7C00"/>
    <w:rsid w:val="00F01184"/>
    <w:rsid w:val="00F6702F"/>
    <w:rsid w:val="00F9147E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C7C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21">
    <w:name w:val="Heading #2 (2)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NotItalic">
    <w:name w:val="Heading #2 + Not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15pt">
    <w:name w:val="Body text (5) + 11.5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Heading10">
    <w:name w:val="Heading #1"/>
    <w:basedOn w:val="Normal"/>
    <w:link w:val="Heading1"/>
    <w:pPr>
      <w:spacing w:line="451" w:lineRule="exact"/>
      <w:ind w:hanging="126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pPr>
      <w:spacing w:line="466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40">
    <w:name w:val="Body text (4)"/>
    <w:basedOn w:val="Normal"/>
    <w:link w:val="Bodytext4"/>
    <w:pPr>
      <w:spacing w:line="466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50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3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31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63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31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B0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0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07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361F1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00DE-7C3D-4285-AFFD-FAF6F85F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Farrell, Jeremy</cp:lastModifiedBy>
  <cp:revision>3</cp:revision>
  <dcterms:created xsi:type="dcterms:W3CDTF">2019-10-01T05:11:00Z</dcterms:created>
  <dcterms:modified xsi:type="dcterms:W3CDTF">2019-11-17T02:32:00Z</dcterms:modified>
</cp:coreProperties>
</file>