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CA5D0" w14:textId="549E4B01" w:rsidR="003D68DD" w:rsidRPr="00104493" w:rsidRDefault="00D46E8E" w:rsidP="00104493">
      <w:pPr>
        <w:spacing w:before="120"/>
        <w:jc w:val="center"/>
        <w:rPr>
          <w:rFonts w:ascii="Times New Roman" w:hAnsi="Times New Roman"/>
          <w:sz w:val="22"/>
        </w:rPr>
      </w:pPr>
      <w:r>
        <w:rPr>
          <w:rFonts w:ascii="Times New Roman" w:hAnsi="Times New Roman"/>
          <w:sz w:val="22"/>
        </w:rPr>
        <w:pict w14:anchorId="55010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4pt;height:83.25pt">
            <v:imagedata r:id="rId9" o:title=""/>
          </v:shape>
        </w:pict>
      </w:r>
    </w:p>
    <w:p w14:paraId="6621F80C" w14:textId="77777777" w:rsidR="003D68DD" w:rsidRPr="00104493" w:rsidRDefault="009D12BF" w:rsidP="00104493">
      <w:pPr>
        <w:spacing w:before="960"/>
        <w:jc w:val="center"/>
        <w:rPr>
          <w:rFonts w:ascii="Times New Roman" w:hAnsi="Times New Roman"/>
          <w:b/>
          <w:sz w:val="36"/>
          <w:szCs w:val="36"/>
        </w:rPr>
      </w:pPr>
      <w:bookmarkStart w:id="0" w:name="bookmark0"/>
      <w:r w:rsidRPr="00104493">
        <w:rPr>
          <w:rFonts w:ascii="Times New Roman" w:hAnsi="Times New Roman"/>
          <w:b/>
          <w:sz w:val="36"/>
          <w:szCs w:val="36"/>
        </w:rPr>
        <w:t>Human Services and Health Legislation Amendment Act (No. 2) 1995</w:t>
      </w:r>
      <w:bookmarkEnd w:id="0"/>
    </w:p>
    <w:p w14:paraId="4035DC3F" w14:textId="77777777" w:rsidR="003D68DD" w:rsidRPr="00104493" w:rsidRDefault="009D12BF" w:rsidP="00104493">
      <w:pPr>
        <w:spacing w:before="960"/>
        <w:jc w:val="center"/>
        <w:rPr>
          <w:rFonts w:ascii="Times New Roman" w:hAnsi="Times New Roman"/>
          <w:b/>
          <w:sz w:val="28"/>
          <w:szCs w:val="28"/>
        </w:rPr>
      </w:pPr>
      <w:bookmarkStart w:id="1" w:name="bookmark1"/>
      <w:r w:rsidRPr="00104493">
        <w:rPr>
          <w:rFonts w:ascii="Times New Roman" w:hAnsi="Times New Roman"/>
          <w:b/>
          <w:sz w:val="28"/>
          <w:szCs w:val="28"/>
        </w:rPr>
        <w:t>No. 164 of 1995</w:t>
      </w:r>
      <w:bookmarkEnd w:id="1"/>
    </w:p>
    <w:p w14:paraId="6D4F2856" w14:textId="77777777" w:rsidR="003D68DD" w:rsidRPr="00104493" w:rsidRDefault="009D12BF" w:rsidP="00104493">
      <w:pPr>
        <w:spacing w:before="800"/>
        <w:jc w:val="center"/>
        <w:rPr>
          <w:rFonts w:ascii="Times New Roman" w:hAnsi="Times New Roman"/>
          <w:b/>
          <w:sz w:val="22"/>
        </w:rPr>
      </w:pPr>
      <w:r w:rsidRPr="00104493">
        <w:rPr>
          <w:rFonts w:ascii="Times New Roman" w:hAnsi="Times New Roman"/>
          <w:b/>
          <w:sz w:val="22"/>
        </w:rPr>
        <w:t>CONTENTS</w:t>
      </w:r>
    </w:p>
    <w:p w14:paraId="10CB6813" w14:textId="77777777" w:rsidR="003D68DD" w:rsidRPr="00104493" w:rsidRDefault="009D12BF" w:rsidP="00D46E8E">
      <w:pPr>
        <w:jc w:val="both"/>
        <w:rPr>
          <w:rFonts w:ascii="Times New Roman" w:hAnsi="Times New Roman"/>
          <w:sz w:val="22"/>
        </w:rPr>
      </w:pPr>
      <w:r w:rsidRPr="00104493">
        <w:rPr>
          <w:rFonts w:ascii="Times New Roman" w:hAnsi="Times New Roman"/>
          <w:sz w:val="22"/>
        </w:rPr>
        <w:t>Section</w:t>
      </w:r>
    </w:p>
    <w:p w14:paraId="66646C0E" w14:textId="77777777" w:rsidR="003D68DD" w:rsidRPr="00104493" w:rsidRDefault="00B9536B" w:rsidP="00D46E8E">
      <w:pPr>
        <w:tabs>
          <w:tab w:val="left" w:pos="576"/>
        </w:tabs>
        <w:jc w:val="both"/>
        <w:rPr>
          <w:rFonts w:ascii="Times New Roman" w:hAnsi="Times New Roman"/>
          <w:sz w:val="22"/>
        </w:rPr>
      </w:pPr>
      <w:r w:rsidRPr="00104493">
        <w:rPr>
          <w:rFonts w:ascii="Times New Roman" w:hAnsi="Times New Roman"/>
          <w:sz w:val="22"/>
        </w:rPr>
        <w:t>1.</w:t>
      </w:r>
      <w:r w:rsidRPr="00104493">
        <w:rPr>
          <w:rFonts w:ascii="Times New Roman" w:hAnsi="Times New Roman"/>
          <w:sz w:val="22"/>
        </w:rPr>
        <w:tab/>
      </w:r>
      <w:r w:rsidR="009D12BF" w:rsidRPr="00104493">
        <w:rPr>
          <w:rFonts w:ascii="Times New Roman" w:hAnsi="Times New Roman"/>
          <w:sz w:val="22"/>
        </w:rPr>
        <w:t>Short title</w:t>
      </w:r>
    </w:p>
    <w:p w14:paraId="3592360B" w14:textId="77777777" w:rsidR="003D68DD" w:rsidRPr="00104493" w:rsidRDefault="00B9536B" w:rsidP="00D46E8E">
      <w:pPr>
        <w:tabs>
          <w:tab w:val="left" w:pos="576"/>
        </w:tabs>
        <w:jc w:val="both"/>
        <w:rPr>
          <w:rFonts w:ascii="Times New Roman" w:hAnsi="Times New Roman"/>
          <w:sz w:val="22"/>
        </w:rPr>
      </w:pPr>
      <w:r w:rsidRPr="00104493">
        <w:rPr>
          <w:rFonts w:ascii="Times New Roman" w:hAnsi="Times New Roman"/>
          <w:sz w:val="22"/>
        </w:rPr>
        <w:t>2.</w:t>
      </w:r>
      <w:r w:rsidRPr="00104493">
        <w:rPr>
          <w:rFonts w:ascii="Times New Roman" w:hAnsi="Times New Roman"/>
          <w:sz w:val="22"/>
        </w:rPr>
        <w:tab/>
      </w:r>
      <w:r w:rsidR="009D12BF" w:rsidRPr="00104493">
        <w:rPr>
          <w:rFonts w:ascii="Times New Roman" w:hAnsi="Times New Roman"/>
          <w:sz w:val="22"/>
        </w:rPr>
        <w:t>Commencement</w:t>
      </w:r>
    </w:p>
    <w:p w14:paraId="45301F7C" w14:textId="77777777" w:rsidR="003D68DD" w:rsidRPr="00104493" w:rsidRDefault="00B9536B" w:rsidP="00D46E8E">
      <w:pPr>
        <w:tabs>
          <w:tab w:val="left" w:pos="576"/>
        </w:tabs>
        <w:jc w:val="both"/>
        <w:rPr>
          <w:rFonts w:ascii="Times New Roman" w:hAnsi="Times New Roman"/>
          <w:sz w:val="22"/>
        </w:rPr>
      </w:pPr>
      <w:r w:rsidRPr="00104493">
        <w:rPr>
          <w:rFonts w:ascii="Times New Roman" w:hAnsi="Times New Roman"/>
          <w:sz w:val="22"/>
        </w:rPr>
        <w:t>3.</w:t>
      </w:r>
      <w:r w:rsidRPr="00104493">
        <w:rPr>
          <w:rFonts w:ascii="Times New Roman" w:hAnsi="Times New Roman"/>
          <w:sz w:val="22"/>
        </w:rPr>
        <w:tab/>
      </w:r>
      <w:r w:rsidR="009D12BF" w:rsidRPr="00104493">
        <w:rPr>
          <w:rFonts w:ascii="Times New Roman" w:hAnsi="Times New Roman"/>
          <w:sz w:val="22"/>
        </w:rPr>
        <w:t>Schedule</w:t>
      </w:r>
    </w:p>
    <w:p w14:paraId="6234A991" w14:textId="77777777" w:rsidR="00B9536B" w:rsidRPr="00104493" w:rsidRDefault="009D12BF" w:rsidP="00104493">
      <w:pPr>
        <w:spacing w:before="120"/>
        <w:jc w:val="center"/>
        <w:rPr>
          <w:rFonts w:ascii="Times New Roman" w:hAnsi="Times New Roman"/>
          <w:sz w:val="22"/>
        </w:rPr>
      </w:pPr>
      <w:r w:rsidRPr="00104493">
        <w:rPr>
          <w:rFonts w:ascii="Times New Roman" w:hAnsi="Times New Roman"/>
          <w:sz w:val="22"/>
        </w:rPr>
        <w:t>SCHEDULE</w:t>
      </w:r>
    </w:p>
    <w:p w14:paraId="195A117F" w14:textId="77777777" w:rsidR="00B9536B" w:rsidRPr="00104493" w:rsidRDefault="009D12BF" w:rsidP="00104493">
      <w:pPr>
        <w:spacing w:before="120"/>
        <w:jc w:val="center"/>
        <w:rPr>
          <w:rFonts w:ascii="Times New Roman" w:hAnsi="Times New Roman"/>
          <w:sz w:val="22"/>
        </w:rPr>
      </w:pPr>
      <w:r w:rsidRPr="00104493">
        <w:rPr>
          <w:rFonts w:ascii="Times New Roman" w:hAnsi="Times New Roman"/>
          <w:sz w:val="22"/>
        </w:rPr>
        <w:t>AMENDMENTS OF ACTS</w:t>
      </w:r>
    </w:p>
    <w:p w14:paraId="2F5DE53E" w14:textId="77777777" w:rsidR="003D68DD" w:rsidRPr="00104493" w:rsidRDefault="009D12BF" w:rsidP="00104493">
      <w:pPr>
        <w:spacing w:before="120"/>
        <w:jc w:val="center"/>
        <w:rPr>
          <w:rFonts w:ascii="Times New Roman" w:hAnsi="Times New Roman"/>
          <w:i/>
          <w:sz w:val="22"/>
        </w:rPr>
      </w:pPr>
      <w:r w:rsidRPr="00104493">
        <w:rPr>
          <w:rFonts w:ascii="Times New Roman" w:hAnsi="Times New Roman"/>
          <w:i/>
          <w:sz w:val="22"/>
        </w:rPr>
        <w:t>Health Insurance Act 1973</w:t>
      </w:r>
    </w:p>
    <w:p w14:paraId="40304687" w14:textId="77777777" w:rsidR="00B9536B" w:rsidRPr="00104493" w:rsidRDefault="009D12BF" w:rsidP="00104493">
      <w:pPr>
        <w:spacing w:before="120"/>
        <w:jc w:val="center"/>
        <w:rPr>
          <w:rFonts w:ascii="Times New Roman" w:hAnsi="Times New Roman"/>
          <w:i/>
          <w:sz w:val="22"/>
        </w:rPr>
      </w:pPr>
      <w:r w:rsidRPr="00104493">
        <w:rPr>
          <w:rFonts w:ascii="Times New Roman" w:hAnsi="Times New Roman"/>
          <w:i/>
          <w:sz w:val="22"/>
        </w:rPr>
        <w:t>National Health Act 1953</w:t>
      </w:r>
    </w:p>
    <w:p w14:paraId="170E7C11" w14:textId="77777777" w:rsidR="001172BF" w:rsidRPr="00104493" w:rsidRDefault="001172BF" w:rsidP="00104493">
      <w:pPr>
        <w:rPr>
          <w:rFonts w:ascii="Times New Roman" w:hAnsi="Times New Roman"/>
          <w:sz w:val="22"/>
        </w:rPr>
      </w:pPr>
      <w:r w:rsidRPr="00104493">
        <w:rPr>
          <w:rFonts w:ascii="Times New Roman" w:hAnsi="Times New Roman"/>
          <w:sz w:val="22"/>
        </w:rPr>
        <w:br w:type="page"/>
      </w:r>
    </w:p>
    <w:p w14:paraId="21BA558B" w14:textId="50B6FAA1" w:rsidR="003D68DD" w:rsidRPr="00104493" w:rsidRDefault="00D46E8E" w:rsidP="00104493">
      <w:pPr>
        <w:spacing w:before="120"/>
        <w:jc w:val="center"/>
        <w:rPr>
          <w:rFonts w:ascii="Times New Roman" w:hAnsi="Times New Roman"/>
          <w:sz w:val="22"/>
        </w:rPr>
      </w:pPr>
      <w:r>
        <w:rPr>
          <w:rFonts w:ascii="Times New Roman" w:hAnsi="Times New Roman"/>
          <w:sz w:val="22"/>
        </w:rPr>
        <w:lastRenderedPageBreak/>
        <w:pict w14:anchorId="230A9F33">
          <v:shape id="_x0000_i1026" type="#_x0000_t75" alt="Commonwealth Coat of Arms" style="width:114pt;height:84.75pt">
            <v:imagedata r:id="rId10" o:title=""/>
          </v:shape>
        </w:pict>
      </w:r>
    </w:p>
    <w:p w14:paraId="04708646" w14:textId="77777777" w:rsidR="003D68DD" w:rsidRPr="00104493" w:rsidRDefault="009D12BF" w:rsidP="00104493">
      <w:pPr>
        <w:spacing w:before="960"/>
        <w:jc w:val="center"/>
        <w:rPr>
          <w:rFonts w:ascii="Times New Roman" w:hAnsi="Times New Roman"/>
          <w:b/>
          <w:sz w:val="36"/>
          <w:szCs w:val="36"/>
        </w:rPr>
      </w:pPr>
      <w:bookmarkStart w:id="2" w:name="bookmark2"/>
      <w:r w:rsidRPr="00104493">
        <w:rPr>
          <w:rFonts w:ascii="Times New Roman" w:hAnsi="Times New Roman"/>
          <w:b/>
          <w:sz w:val="36"/>
          <w:szCs w:val="36"/>
        </w:rPr>
        <w:t>Human Services and Health Legislation Amendment Act (No. 2) 1995</w:t>
      </w:r>
      <w:bookmarkEnd w:id="2"/>
    </w:p>
    <w:p w14:paraId="6BDBD78F" w14:textId="77777777" w:rsidR="003D68DD" w:rsidRPr="00104493" w:rsidRDefault="009D12BF" w:rsidP="00104493">
      <w:pPr>
        <w:spacing w:before="960"/>
        <w:jc w:val="center"/>
        <w:rPr>
          <w:rFonts w:ascii="Times New Roman" w:hAnsi="Times New Roman"/>
          <w:b/>
          <w:sz w:val="28"/>
          <w:szCs w:val="28"/>
        </w:rPr>
      </w:pPr>
      <w:bookmarkStart w:id="3" w:name="bookmark3"/>
      <w:r w:rsidRPr="00104493">
        <w:rPr>
          <w:rFonts w:ascii="Times New Roman" w:hAnsi="Times New Roman"/>
          <w:b/>
          <w:sz w:val="28"/>
          <w:szCs w:val="28"/>
        </w:rPr>
        <w:t>No. 164 of 1995</w:t>
      </w:r>
      <w:bookmarkEnd w:id="3"/>
    </w:p>
    <w:p w14:paraId="6BE988A0" w14:textId="77777777" w:rsidR="00B9536B" w:rsidRPr="00104493" w:rsidRDefault="00B9536B" w:rsidP="00104493">
      <w:pPr>
        <w:pBdr>
          <w:bottom w:val="thickThinSmallGap" w:sz="12" w:space="1" w:color="auto"/>
        </w:pBdr>
        <w:spacing w:before="800"/>
        <w:jc w:val="center"/>
        <w:rPr>
          <w:rFonts w:ascii="Times New Roman" w:hAnsi="Times New Roman"/>
          <w:b/>
          <w:sz w:val="28"/>
          <w:szCs w:val="28"/>
        </w:rPr>
      </w:pPr>
    </w:p>
    <w:p w14:paraId="792B4FBE" w14:textId="77777777" w:rsidR="003D68DD" w:rsidRPr="00104493" w:rsidRDefault="009D12BF" w:rsidP="00104493">
      <w:pPr>
        <w:spacing w:before="800"/>
        <w:jc w:val="center"/>
        <w:rPr>
          <w:rFonts w:ascii="Times New Roman" w:hAnsi="Times New Roman"/>
          <w:b/>
          <w:sz w:val="28"/>
          <w:szCs w:val="28"/>
        </w:rPr>
      </w:pPr>
      <w:bookmarkStart w:id="4" w:name="bookmark4"/>
      <w:r w:rsidRPr="00104493">
        <w:rPr>
          <w:rFonts w:ascii="Times New Roman" w:hAnsi="Times New Roman"/>
          <w:b/>
          <w:sz w:val="28"/>
          <w:szCs w:val="28"/>
        </w:rPr>
        <w:t>An Act to amend legislation relating to human services and health</w:t>
      </w:r>
      <w:r w:rsidR="00755A63" w:rsidRPr="00104493">
        <w:rPr>
          <w:rFonts w:ascii="Times New Roman" w:hAnsi="Times New Roman"/>
          <w:b/>
          <w:sz w:val="28"/>
          <w:szCs w:val="28"/>
        </w:rPr>
        <w:t xml:space="preserve">, </w:t>
      </w:r>
      <w:r w:rsidRPr="00104493">
        <w:rPr>
          <w:rFonts w:ascii="Times New Roman" w:hAnsi="Times New Roman"/>
          <w:b/>
          <w:sz w:val="28"/>
          <w:szCs w:val="28"/>
        </w:rPr>
        <w:t>and for related purposes</w:t>
      </w:r>
      <w:bookmarkEnd w:id="4"/>
    </w:p>
    <w:p w14:paraId="0D9F2257" w14:textId="77777777" w:rsidR="003D68DD" w:rsidRPr="00104493" w:rsidRDefault="009D12BF" w:rsidP="00104493">
      <w:pPr>
        <w:spacing w:before="120"/>
        <w:jc w:val="right"/>
        <w:rPr>
          <w:rFonts w:ascii="Times New Roman" w:hAnsi="Times New Roman"/>
          <w:sz w:val="22"/>
        </w:rPr>
      </w:pPr>
      <w:r w:rsidRPr="00104493">
        <w:rPr>
          <w:rFonts w:ascii="Times New Roman" w:hAnsi="Times New Roman"/>
          <w:sz w:val="22"/>
        </w:rPr>
        <w:t>[</w:t>
      </w:r>
      <w:r w:rsidRPr="00104493">
        <w:rPr>
          <w:rFonts w:ascii="Times New Roman" w:hAnsi="Times New Roman"/>
          <w:i/>
          <w:sz w:val="22"/>
        </w:rPr>
        <w:t>Assented to 16 December 1995</w:t>
      </w:r>
      <w:r w:rsidRPr="00104493">
        <w:rPr>
          <w:rFonts w:ascii="Times New Roman" w:hAnsi="Times New Roman"/>
          <w:sz w:val="22"/>
        </w:rPr>
        <w:t>]</w:t>
      </w:r>
    </w:p>
    <w:p w14:paraId="2CF50FE4"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The Parliament of Australia enacts:</w:t>
      </w:r>
    </w:p>
    <w:p w14:paraId="506F5EB7" w14:textId="77777777" w:rsidR="003D68DD" w:rsidRPr="00104493" w:rsidRDefault="009D12BF" w:rsidP="00104493">
      <w:pPr>
        <w:spacing w:before="120" w:after="60"/>
        <w:jc w:val="both"/>
        <w:rPr>
          <w:rFonts w:ascii="Times New Roman" w:hAnsi="Times New Roman"/>
          <w:b/>
          <w:sz w:val="22"/>
        </w:rPr>
      </w:pPr>
      <w:bookmarkStart w:id="5" w:name="bookmark5"/>
      <w:r w:rsidRPr="00104493">
        <w:rPr>
          <w:rFonts w:ascii="Times New Roman" w:hAnsi="Times New Roman"/>
          <w:b/>
          <w:sz w:val="22"/>
        </w:rPr>
        <w:t>Short title</w:t>
      </w:r>
      <w:bookmarkEnd w:id="5"/>
    </w:p>
    <w:p w14:paraId="5B9177DB" w14:textId="77777777" w:rsidR="001172BF" w:rsidRPr="00104493" w:rsidRDefault="00B9536B" w:rsidP="00104493">
      <w:pPr>
        <w:tabs>
          <w:tab w:val="left" w:pos="630"/>
        </w:tabs>
        <w:spacing w:before="120"/>
        <w:ind w:firstLine="270"/>
        <w:jc w:val="both"/>
        <w:rPr>
          <w:rFonts w:ascii="Times New Roman" w:hAnsi="Times New Roman"/>
          <w:sz w:val="22"/>
        </w:rPr>
        <w:sectPr w:rsidR="001172BF" w:rsidRPr="00104493" w:rsidSect="000F6D21">
          <w:pgSz w:w="12240" w:h="15840" w:code="1"/>
          <w:pgMar w:top="1440" w:right="1440" w:bottom="1440" w:left="1440" w:header="630" w:footer="0" w:gutter="0"/>
          <w:cols w:space="720"/>
          <w:noEndnote/>
          <w:titlePg/>
          <w:docGrid w:linePitch="360"/>
        </w:sectPr>
      </w:pPr>
      <w:r w:rsidRPr="00104493">
        <w:rPr>
          <w:rFonts w:ascii="Times New Roman" w:hAnsi="Times New Roman"/>
          <w:b/>
          <w:sz w:val="22"/>
        </w:rPr>
        <w:t>1.</w:t>
      </w:r>
      <w:r w:rsidRPr="00104493">
        <w:rPr>
          <w:rFonts w:ascii="Times New Roman" w:hAnsi="Times New Roman"/>
          <w:sz w:val="22"/>
        </w:rPr>
        <w:tab/>
      </w:r>
      <w:r w:rsidR="009D12BF" w:rsidRPr="00104493">
        <w:rPr>
          <w:rFonts w:ascii="Times New Roman" w:hAnsi="Times New Roman"/>
          <w:sz w:val="22"/>
        </w:rPr>
        <w:t xml:space="preserve">This Act may be cited as the </w:t>
      </w:r>
      <w:r w:rsidR="009D12BF" w:rsidRPr="00104493">
        <w:rPr>
          <w:rFonts w:ascii="Times New Roman" w:hAnsi="Times New Roman"/>
          <w:i/>
          <w:sz w:val="22"/>
        </w:rPr>
        <w:t>Human Services and Health Legislation Amendment Act (No. 2) 1995.</w:t>
      </w:r>
    </w:p>
    <w:p w14:paraId="76B0038B" w14:textId="77777777" w:rsidR="003D68DD" w:rsidRPr="00104493" w:rsidRDefault="009D12BF" w:rsidP="00104493">
      <w:pPr>
        <w:spacing w:before="120" w:after="60"/>
        <w:jc w:val="both"/>
        <w:rPr>
          <w:rFonts w:ascii="Times New Roman" w:hAnsi="Times New Roman"/>
          <w:b/>
          <w:sz w:val="22"/>
        </w:rPr>
      </w:pPr>
      <w:r w:rsidRPr="00104493">
        <w:rPr>
          <w:rFonts w:ascii="Times New Roman" w:hAnsi="Times New Roman"/>
          <w:b/>
          <w:sz w:val="22"/>
        </w:rPr>
        <w:lastRenderedPageBreak/>
        <w:t>Commencement</w:t>
      </w:r>
    </w:p>
    <w:p w14:paraId="5984D66B" w14:textId="37E41E71" w:rsidR="003D68DD" w:rsidRPr="00104493" w:rsidRDefault="00B9536B" w:rsidP="00104493">
      <w:pPr>
        <w:spacing w:before="120"/>
        <w:ind w:firstLine="270"/>
        <w:jc w:val="both"/>
        <w:rPr>
          <w:rFonts w:ascii="Times New Roman" w:hAnsi="Times New Roman"/>
          <w:sz w:val="22"/>
        </w:rPr>
      </w:pPr>
      <w:r w:rsidRPr="00104493">
        <w:rPr>
          <w:rFonts w:ascii="Times New Roman" w:hAnsi="Times New Roman"/>
          <w:b/>
          <w:sz w:val="22"/>
        </w:rPr>
        <w:t>2.</w:t>
      </w:r>
      <w:r w:rsidR="009D12BF" w:rsidRPr="00104493">
        <w:rPr>
          <w:rFonts w:ascii="Times New Roman" w:hAnsi="Times New Roman"/>
          <w:b/>
          <w:sz w:val="22"/>
        </w:rPr>
        <w:t>(1)</w:t>
      </w:r>
      <w:r w:rsidR="009D12BF" w:rsidRPr="00104493">
        <w:rPr>
          <w:rFonts w:ascii="Times New Roman" w:hAnsi="Times New Roman"/>
          <w:sz w:val="22"/>
        </w:rPr>
        <w:t xml:space="preserve"> Subject to subsection (2)</w:t>
      </w:r>
      <w:r w:rsidR="00755A63" w:rsidRPr="00104493">
        <w:rPr>
          <w:rFonts w:ascii="Times New Roman" w:hAnsi="Times New Roman"/>
          <w:sz w:val="22"/>
        </w:rPr>
        <w:t xml:space="preserve">, </w:t>
      </w:r>
      <w:r w:rsidR="009D12BF" w:rsidRPr="00104493">
        <w:rPr>
          <w:rFonts w:ascii="Times New Roman" w:hAnsi="Times New Roman"/>
          <w:sz w:val="22"/>
        </w:rPr>
        <w:t>this Act commences on the day on which it receives the Royal Assent.</w:t>
      </w:r>
    </w:p>
    <w:p w14:paraId="5822A880"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b/>
          <w:sz w:val="22"/>
        </w:rPr>
        <w:t>(2)</w:t>
      </w:r>
      <w:r w:rsidRPr="00104493">
        <w:rPr>
          <w:rFonts w:ascii="Times New Roman" w:hAnsi="Times New Roman"/>
          <w:sz w:val="22"/>
        </w:rPr>
        <w:t xml:space="preserve"> Items 1 to 4</w:t>
      </w:r>
      <w:r w:rsidR="00755A63" w:rsidRPr="00104493">
        <w:rPr>
          <w:rFonts w:ascii="Times New Roman" w:hAnsi="Times New Roman"/>
          <w:sz w:val="22"/>
        </w:rPr>
        <w:t xml:space="preserve">, </w:t>
      </w:r>
      <w:r w:rsidRPr="00104493">
        <w:rPr>
          <w:rFonts w:ascii="Times New Roman" w:hAnsi="Times New Roman"/>
          <w:sz w:val="22"/>
        </w:rPr>
        <w:t>14 to 17 and 19 to 25 of the Schedule commence on 1 January 1996.</w:t>
      </w:r>
    </w:p>
    <w:p w14:paraId="44A72A57" w14:textId="77777777" w:rsidR="003D68DD" w:rsidRPr="00104493" w:rsidRDefault="009D12BF" w:rsidP="00104493">
      <w:pPr>
        <w:spacing w:before="120" w:after="60"/>
        <w:jc w:val="both"/>
        <w:rPr>
          <w:rFonts w:ascii="Times New Roman" w:hAnsi="Times New Roman"/>
          <w:b/>
          <w:sz w:val="22"/>
        </w:rPr>
      </w:pPr>
      <w:r w:rsidRPr="00104493">
        <w:rPr>
          <w:rFonts w:ascii="Times New Roman" w:hAnsi="Times New Roman"/>
          <w:b/>
          <w:sz w:val="22"/>
        </w:rPr>
        <w:t>Schedule</w:t>
      </w:r>
    </w:p>
    <w:p w14:paraId="5C101E66" w14:textId="77777777" w:rsidR="00B9536B" w:rsidRPr="00104493" w:rsidRDefault="00B9536B" w:rsidP="00104493">
      <w:pPr>
        <w:tabs>
          <w:tab w:val="left" w:pos="630"/>
        </w:tabs>
        <w:spacing w:before="120"/>
        <w:ind w:firstLine="270"/>
        <w:jc w:val="both"/>
        <w:rPr>
          <w:rFonts w:ascii="Times New Roman" w:hAnsi="Times New Roman"/>
          <w:sz w:val="22"/>
        </w:rPr>
      </w:pPr>
      <w:r w:rsidRPr="00104493">
        <w:rPr>
          <w:rFonts w:ascii="Times New Roman" w:hAnsi="Times New Roman"/>
          <w:b/>
          <w:sz w:val="22"/>
        </w:rPr>
        <w:t>3.</w:t>
      </w:r>
      <w:r w:rsidRPr="00104493">
        <w:rPr>
          <w:rFonts w:ascii="Times New Roman" w:hAnsi="Times New Roman"/>
          <w:sz w:val="22"/>
        </w:rPr>
        <w:tab/>
      </w:r>
      <w:r w:rsidR="009D12BF" w:rsidRPr="00104493">
        <w:rPr>
          <w:rFonts w:ascii="Times New Roman" w:hAnsi="Times New Roman"/>
          <w:sz w:val="22"/>
        </w:rPr>
        <w:t>The Acts specified in the Schedule to this Act are amended in accordance with the applicable items in the Schedule</w:t>
      </w:r>
      <w:r w:rsidR="00755A63" w:rsidRPr="00104493">
        <w:rPr>
          <w:rFonts w:ascii="Times New Roman" w:hAnsi="Times New Roman"/>
          <w:sz w:val="22"/>
        </w:rPr>
        <w:t xml:space="preserve">, </w:t>
      </w:r>
      <w:r w:rsidR="009D12BF" w:rsidRPr="00104493">
        <w:rPr>
          <w:rFonts w:ascii="Times New Roman" w:hAnsi="Times New Roman"/>
          <w:sz w:val="22"/>
        </w:rPr>
        <w:t>and item 18 of the Schedule has effect according to its terms.</w:t>
      </w:r>
    </w:p>
    <w:p w14:paraId="716B243D" w14:textId="77777777" w:rsidR="00B9536B" w:rsidRPr="00104493" w:rsidRDefault="00D46E8E" w:rsidP="00104493">
      <w:pPr>
        <w:spacing w:before="500"/>
        <w:rPr>
          <w:rFonts w:ascii="Times New Roman" w:hAnsi="Times New Roman"/>
          <w:sz w:val="22"/>
        </w:rPr>
      </w:pPr>
      <w:r>
        <w:rPr>
          <w:rFonts w:ascii="Times New Roman" w:hAnsi="Times New Roman"/>
          <w:noProof/>
          <w:sz w:val="22"/>
          <w:lang w:val="en-IN"/>
        </w:rPr>
        <w:pict w14:anchorId="698A215F">
          <v:shapetype id="_x0000_t32" coordsize="21600,21600" o:spt="32" o:oned="t" path="m,l21600,21600e" filled="f">
            <v:path arrowok="t" fillok="f" o:connecttype="none"/>
            <o:lock v:ext="edit" shapetype="t"/>
          </v:shapetype>
          <v:shape id="_x0000_s1028" type="#_x0000_t32" style="position:absolute;margin-left:174pt;margin-top:15.6pt;width:86.25pt;height:0;z-index:251658240" o:connectortype="straight"/>
        </w:pict>
      </w:r>
      <w:r w:rsidR="00B9536B" w:rsidRPr="00104493">
        <w:rPr>
          <w:rFonts w:ascii="Times New Roman" w:hAnsi="Times New Roman"/>
          <w:sz w:val="22"/>
        </w:rPr>
        <w:br w:type="page"/>
      </w:r>
    </w:p>
    <w:p w14:paraId="365A3BA9" w14:textId="77777777" w:rsidR="003D68DD" w:rsidRPr="00104493" w:rsidRDefault="009D12BF" w:rsidP="00104493">
      <w:pPr>
        <w:tabs>
          <w:tab w:val="left" w:pos="8469"/>
        </w:tabs>
        <w:spacing w:before="120"/>
        <w:ind w:firstLine="3960"/>
        <w:jc w:val="both"/>
        <w:rPr>
          <w:rFonts w:ascii="Times New Roman" w:hAnsi="Times New Roman"/>
          <w:sz w:val="22"/>
        </w:rPr>
      </w:pPr>
      <w:r w:rsidRPr="00104493">
        <w:rPr>
          <w:rFonts w:ascii="Times New Roman" w:hAnsi="Times New Roman"/>
          <w:b/>
          <w:sz w:val="22"/>
        </w:rPr>
        <w:lastRenderedPageBreak/>
        <w:t>SCHEDULE</w:t>
      </w:r>
      <w:r w:rsidRPr="00104493">
        <w:rPr>
          <w:rFonts w:ascii="Times New Roman" w:hAnsi="Times New Roman"/>
          <w:sz w:val="22"/>
        </w:rPr>
        <w:tab/>
      </w:r>
      <w:r w:rsidRPr="00D46E8E">
        <w:rPr>
          <w:rFonts w:ascii="Times New Roman" w:hAnsi="Times New Roman"/>
          <w:sz w:val="20"/>
          <w:szCs w:val="20"/>
        </w:rPr>
        <w:t>Section</w:t>
      </w:r>
      <w:r w:rsidR="00AE5545" w:rsidRPr="00D46E8E">
        <w:rPr>
          <w:rFonts w:ascii="Times New Roman" w:hAnsi="Times New Roman"/>
          <w:sz w:val="20"/>
          <w:szCs w:val="20"/>
        </w:rPr>
        <w:t xml:space="preserve"> </w:t>
      </w:r>
      <w:r w:rsidRPr="00D46E8E">
        <w:rPr>
          <w:rFonts w:ascii="Times New Roman" w:hAnsi="Times New Roman"/>
          <w:sz w:val="20"/>
          <w:szCs w:val="20"/>
        </w:rPr>
        <w:t>3</w:t>
      </w:r>
    </w:p>
    <w:p w14:paraId="3EAF93D8" w14:textId="77777777" w:rsidR="00B9536B" w:rsidRPr="00104493" w:rsidRDefault="009D12BF" w:rsidP="00104493">
      <w:pPr>
        <w:spacing w:before="120"/>
        <w:jc w:val="center"/>
        <w:rPr>
          <w:rFonts w:ascii="Times New Roman" w:hAnsi="Times New Roman"/>
          <w:sz w:val="22"/>
        </w:rPr>
      </w:pPr>
      <w:r w:rsidRPr="00104493">
        <w:rPr>
          <w:rFonts w:ascii="Times New Roman" w:hAnsi="Times New Roman"/>
          <w:sz w:val="22"/>
        </w:rPr>
        <w:t>AMENDMENTS OF ACTS</w:t>
      </w:r>
    </w:p>
    <w:p w14:paraId="70C789F3" w14:textId="77777777" w:rsidR="003D68DD" w:rsidRPr="00104493" w:rsidRDefault="009D12BF" w:rsidP="00104493">
      <w:pPr>
        <w:spacing w:before="120"/>
        <w:jc w:val="center"/>
        <w:rPr>
          <w:rFonts w:ascii="Times New Roman" w:hAnsi="Times New Roman"/>
          <w:b/>
          <w:i/>
          <w:sz w:val="22"/>
        </w:rPr>
      </w:pPr>
      <w:r w:rsidRPr="00104493">
        <w:rPr>
          <w:rFonts w:ascii="Times New Roman" w:hAnsi="Times New Roman"/>
          <w:b/>
          <w:i/>
          <w:sz w:val="22"/>
        </w:rPr>
        <w:t>Health Insurance Act 1973</w:t>
      </w:r>
    </w:p>
    <w:p w14:paraId="3204303B" w14:textId="77777777" w:rsidR="003D68DD" w:rsidRPr="00104493" w:rsidRDefault="00B9536B" w:rsidP="00104493">
      <w:pPr>
        <w:spacing w:before="120"/>
        <w:jc w:val="both"/>
        <w:rPr>
          <w:rFonts w:ascii="Times New Roman" w:hAnsi="Times New Roman"/>
          <w:b/>
          <w:sz w:val="22"/>
        </w:rPr>
      </w:pPr>
      <w:r w:rsidRPr="00104493">
        <w:rPr>
          <w:rFonts w:ascii="Times New Roman" w:hAnsi="Times New Roman"/>
          <w:b/>
          <w:sz w:val="22"/>
        </w:rPr>
        <w:t>1.</w:t>
      </w:r>
      <w:r w:rsidR="00B875DA" w:rsidRPr="00104493">
        <w:rPr>
          <w:rFonts w:ascii="Times New Roman" w:hAnsi="Times New Roman"/>
          <w:b/>
          <w:sz w:val="22"/>
        </w:rPr>
        <w:t xml:space="preserve"> </w:t>
      </w:r>
      <w:r w:rsidR="009D12BF" w:rsidRPr="00104493">
        <w:rPr>
          <w:rFonts w:ascii="Times New Roman" w:hAnsi="Times New Roman"/>
          <w:b/>
          <w:sz w:val="22"/>
        </w:rPr>
        <w:t xml:space="preserve">Subsection 3(1) (definition of </w:t>
      </w:r>
      <w:r w:rsidR="009D12BF" w:rsidRPr="00104493">
        <w:rPr>
          <w:rFonts w:ascii="Times New Roman" w:hAnsi="Times New Roman"/>
          <w:b/>
          <w:i/>
          <w:sz w:val="22"/>
        </w:rPr>
        <w:t>medical practitioner</w:t>
      </w:r>
      <w:r w:rsidR="009D12BF" w:rsidRPr="00104493">
        <w:rPr>
          <w:rFonts w:ascii="Times New Roman" w:hAnsi="Times New Roman"/>
          <w:b/>
          <w:sz w:val="22"/>
        </w:rPr>
        <w:t>):</w:t>
      </w:r>
    </w:p>
    <w:p w14:paraId="65BB1223"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Add at the end of the definition:</w:t>
      </w:r>
    </w:p>
    <w:p w14:paraId="54B3A639" w14:textId="77777777" w:rsidR="003D68DD" w:rsidRPr="00104493" w:rsidRDefault="009D12BF" w:rsidP="00104493">
      <w:pPr>
        <w:spacing w:before="120"/>
        <w:jc w:val="both"/>
        <w:rPr>
          <w:rFonts w:ascii="Times New Roman" w:hAnsi="Times New Roman"/>
          <w:sz w:val="20"/>
          <w:szCs w:val="20"/>
        </w:rPr>
      </w:pPr>
      <w:r w:rsidRPr="00104493">
        <w:rPr>
          <w:rFonts w:ascii="Times New Roman" w:hAnsi="Times New Roman"/>
          <w:sz w:val="20"/>
          <w:szCs w:val="20"/>
        </w:rPr>
        <w:t>“Note: Some people are precluded by section 3J from being medical practitioners.".</w:t>
      </w:r>
    </w:p>
    <w:p w14:paraId="0AFCCCED" w14:textId="77777777" w:rsidR="003D68DD" w:rsidRPr="00104493" w:rsidRDefault="00B9536B" w:rsidP="00104493">
      <w:pPr>
        <w:spacing w:before="120"/>
        <w:jc w:val="both"/>
        <w:rPr>
          <w:rFonts w:ascii="Times New Roman" w:hAnsi="Times New Roman"/>
          <w:b/>
          <w:sz w:val="22"/>
        </w:rPr>
      </w:pPr>
      <w:r w:rsidRPr="00104493">
        <w:rPr>
          <w:rFonts w:ascii="Times New Roman" w:hAnsi="Times New Roman"/>
          <w:b/>
          <w:sz w:val="22"/>
        </w:rPr>
        <w:t>2.</w:t>
      </w:r>
      <w:r w:rsidR="00B875DA" w:rsidRPr="00104493">
        <w:rPr>
          <w:rFonts w:ascii="Times New Roman" w:hAnsi="Times New Roman"/>
          <w:b/>
          <w:sz w:val="22"/>
        </w:rPr>
        <w:t xml:space="preserve"> </w:t>
      </w:r>
      <w:r w:rsidR="009D12BF" w:rsidRPr="00104493">
        <w:rPr>
          <w:rFonts w:ascii="Times New Roman" w:hAnsi="Times New Roman"/>
          <w:b/>
          <w:sz w:val="22"/>
        </w:rPr>
        <w:t xml:space="preserve">Subsection 3(1) (definition of </w:t>
      </w:r>
      <w:r w:rsidR="009D12BF" w:rsidRPr="00104493">
        <w:rPr>
          <w:rFonts w:ascii="Times New Roman" w:hAnsi="Times New Roman"/>
          <w:b/>
          <w:i/>
          <w:sz w:val="22"/>
        </w:rPr>
        <w:t>professional service</w:t>
      </w:r>
      <w:r w:rsidR="009D12BF" w:rsidRPr="00104493">
        <w:rPr>
          <w:rFonts w:ascii="Times New Roman" w:hAnsi="Times New Roman"/>
          <w:b/>
          <w:sz w:val="22"/>
        </w:rPr>
        <w:t>):</w:t>
      </w:r>
    </w:p>
    <w:p w14:paraId="1F4E4903"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Add at the end of the definition:</w:t>
      </w:r>
    </w:p>
    <w:p w14:paraId="1953B250" w14:textId="77777777" w:rsidR="003D68DD" w:rsidRPr="00104493" w:rsidRDefault="009D12BF" w:rsidP="00104493">
      <w:pPr>
        <w:spacing w:before="120"/>
        <w:ind w:left="720" w:hanging="720"/>
        <w:jc w:val="both"/>
        <w:rPr>
          <w:rFonts w:ascii="Times New Roman" w:hAnsi="Times New Roman"/>
          <w:sz w:val="20"/>
        </w:rPr>
      </w:pPr>
      <w:r w:rsidRPr="00104493">
        <w:rPr>
          <w:rFonts w:ascii="Times New Roman" w:hAnsi="Times New Roman"/>
          <w:sz w:val="20"/>
        </w:rPr>
        <w:t>“Note: See subsection (17) for when a service is taken to be rendered on behalf of a medical practitioner.".</w:t>
      </w:r>
    </w:p>
    <w:p w14:paraId="3AEC5FB5" w14:textId="77777777" w:rsidR="003D68DD" w:rsidRPr="00104493" w:rsidRDefault="00B9536B" w:rsidP="00104493">
      <w:pPr>
        <w:spacing w:before="120"/>
        <w:jc w:val="both"/>
        <w:rPr>
          <w:rFonts w:ascii="Times New Roman" w:hAnsi="Times New Roman"/>
          <w:b/>
          <w:sz w:val="22"/>
        </w:rPr>
      </w:pPr>
      <w:r w:rsidRPr="00104493">
        <w:rPr>
          <w:rFonts w:ascii="Times New Roman" w:hAnsi="Times New Roman"/>
          <w:b/>
          <w:sz w:val="22"/>
        </w:rPr>
        <w:t>3.</w:t>
      </w:r>
      <w:r w:rsidR="00B875DA" w:rsidRPr="00104493">
        <w:rPr>
          <w:rFonts w:ascii="Times New Roman" w:hAnsi="Times New Roman"/>
          <w:b/>
          <w:sz w:val="22"/>
        </w:rPr>
        <w:t xml:space="preserve"> </w:t>
      </w:r>
      <w:r w:rsidR="009D12BF" w:rsidRPr="00104493">
        <w:rPr>
          <w:rFonts w:ascii="Times New Roman" w:hAnsi="Times New Roman"/>
          <w:b/>
          <w:sz w:val="22"/>
        </w:rPr>
        <w:t>Section 3:</w:t>
      </w:r>
    </w:p>
    <w:p w14:paraId="192088E2"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Add at the end:</w:t>
      </w:r>
    </w:p>
    <w:p w14:paraId="10300FAF"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“(17) For the purposes of this Act and the regulations</w:t>
      </w:r>
      <w:r w:rsidR="00755A63" w:rsidRPr="00104493">
        <w:rPr>
          <w:rFonts w:ascii="Times New Roman" w:hAnsi="Times New Roman"/>
          <w:sz w:val="22"/>
        </w:rPr>
        <w:t xml:space="preserve">, </w:t>
      </w:r>
      <w:r w:rsidRPr="00104493">
        <w:rPr>
          <w:rFonts w:ascii="Times New Roman" w:hAnsi="Times New Roman"/>
          <w:sz w:val="22"/>
        </w:rPr>
        <w:t>a service is taken to be rendered on behalf of a medical practitioner if</w:t>
      </w:r>
      <w:r w:rsidR="00755A63" w:rsidRPr="00104493">
        <w:rPr>
          <w:rFonts w:ascii="Times New Roman" w:hAnsi="Times New Roman"/>
          <w:sz w:val="22"/>
        </w:rPr>
        <w:t xml:space="preserve">, </w:t>
      </w:r>
      <w:r w:rsidRPr="00104493">
        <w:rPr>
          <w:rFonts w:ascii="Times New Roman" w:hAnsi="Times New Roman"/>
          <w:sz w:val="22"/>
        </w:rPr>
        <w:t>and only if</w:t>
      </w:r>
      <w:r w:rsidR="00755A63" w:rsidRPr="00104493">
        <w:rPr>
          <w:rFonts w:ascii="Times New Roman" w:hAnsi="Times New Roman"/>
          <w:sz w:val="22"/>
        </w:rPr>
        <w:t xml:space="preserve">, </w:t>
      </w:r>
      <w:r w:rsidRPr="00104493">
        <w:rPr>
          <w:rFonts w:ascii="Times New Roman" w:hAnsi="Times New Roman"/>
          <w:sz w:val="22"/>
        </w:rPr>
        <w:t>it is rendered by a person:</w:t>
      </w:r>
    </w:p>
    <w:p w14:paraId="1ED66E4A" w14:textId="77777777" w:rsidR="003D68DD" w:rsidRPr="00104493" w:rsidRDefault="00B9536B" w:rsidP="00104493">
      <w:pPr>
        <w:spacing w:before="120"/>
        <w:ind w:firstLine="270"/>
        <w:jc w:val="both"/>
        <w:rPr>
          <w:rFonts w:ascii="Times New Roman" w:hAnsi="Times New Roman"/>
          <w:sz w:val="22"/>
        </w:rPr>
      </w:pPr>
      <w:r w:rsidRPr="00104493">
        <w:rPr>
          <w:rFonts w:ascii="Times New Roman" w:hAnsi="Times New Roman"/>
          <w:sz w:val="22"/>
        </w:rPr>
        <w:t xml:space="preserve">(a) </w:t>
      </w:r>
      <w:r w:rsidR="009D12BF" w:rsidRPr="00104493">
        <w:rPr>
          <w:rFonts w:ascii="Times New Roman" w:hAnsi="Times New Roman"/>
          <w:sz w:val="22"/>
        </w:rPr>
        <w:t>who is not a medical practitioner; and</w:t>
      </w:r>
    </w:p>
    <w:p w14:paraId="2351CBD3" w14:textId="77777777" w:rsidR="003D68DD" w:rsidRPr="00104493" w:rsidRDefault="00B9536B" w:rsidP="00104493">
      <w:pPr>
        <w:spacing w:before="120"/>
        <w:ind w:left="585" w:hanging="315"/>
        <w:jc w:val="both"/>
        <w:rPr>
          <w:rFonts w:ascii="Times New Roman" w:hAnsi="Times New Roman"/>
          <w:sz w:val="22"/>
        </w:rPr>
      </w:pPr>
      <w:r w:rsidRPr="00104493">
        <w:rPr>
          <w:rFonts w:ascii="Times New Roman" w:hAnsi="Times New Roman"/>
          <w:sz w:val="22"/>
        </w:rPr>
        <w:t xml:space="preserve">(b) </w:t>
      </w:r>
      <w:r w:rsidR="009D12BF" w:rsidRPr="00104493">
        <w:rPr>
          <w:rFonts w:ascii="Times New Roman" w:hAnsi="Times New Roman"/>
          <w:sz w:val="22"/>
        </w:rPr>
        <w:t>who provides the service</w:t>
      </w:r>
      <w:r w:rsidR="00755A63" w:rsidRPr="00104493">
        <w:rPr>
          <w:rFonts w:ascii="Times New Roman" w:hAnsi="Times New Roman"/>
          <w:sz w:val="22"/>
        </w:rPr>
        <w:t xml:space="preserve">, </w:t>
      </w:r>
      <w:r w:rsidR="009D12BF" w:rsidRPr="00104493">
        <w:rPr>
          <w:rFonts w:ascii="Times New Roman" w:hAnsi="Times New Roman"/>
          <w:sz w:val="22"/>
        </w:rPr>
        <w:t>in accordance with accepted medical practice</w:t>
      </w:r>
      <w:r w:rsidR="00755A63" w:rsidRPr="00104493">
        <w:rPr>
          <w:rFonts w:ascii="Times New Roman" w:hAnsi="Times New Roman"/>
          <w:sz w:val="22"/>
        </w:rPr>
        <w:t xml:space="preserve">, </w:t>
      </w:r>
      <w:r w:rsidR="009D12BF" w:rsidRPr="00104493">
        <w:rPr>
          <w:rFonts w:ascii="Times New Roman" w:hAnsi="Times New Roman"/>
          <w:sz w:val="22"/>
        </w:rPr>
        <w:t>under the supervision of the medical practitioner.”.</w:t>
      </w:r>
    </w:p>
    <w:p w14:paraId="1405274F" w14:textId="77777777" w:rsidR="003D68DD" w:rsidRPr="00104493" w:rsidRDefault="00B9536B" w:rsidP="00104493">
      <w:pPr>
        <w:spacing w:before="120"/>
        <w:jc w:val="both"/>
        <w:rPr>
          <w:rFonts w:ascii="Times New Roman" w:hAnsi="Times New Roman"/>
          <w:b/>
          <w:sz w:val="22"/>
        </w:rPr>
      </w:pPr>
      <w:r w:rsidRPr="00104493">
        <w:rPr>
          <w:rFonts w:ascii="Times New Roman" w:hAnsi="Times New Roman"/>
          <w:b/>
          <w:sz w:val="22"/>
        </w:rPr>
        <w:t>4.</w:t>
      </w:r>
      <w:r w:rsidR="00B875DA" w:rsidRPr="00104493">
        <w:rPr>
          <w:rFonts w:ascii="Times New Roman" w:hAnsi="Times New Roman"/>
          <w:b/>
          <w:sz w:val="22"/>
        </w:rPr>
        <w:t xml:space="preserve"> </w:t>
      </w:r>
      <w:r w:rsidR="009D12BF" w:rsidRPr="00104493">
        <w:rPr>
          <w:rFonts w:ascii="Times New Roman" w:hAnsi="Times New Roman"/>
          <w:b/>
          <w:sz w:val="22"/>
        </w:rPr>
        <w:t>After section 3H:</w:t>
      </w:r>
    </w:p>
    <w:p w14:paraId="24C1CA62"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Insert:</w:t>
      </w:r>
    </w:p>
    <w:p w14:paraId="397DCC6C" w14:textId="77777777" w:rsidR="003D68DD" w:rsidRPr="00104493" w:rsidRDefault="009D12BF" w:rsidP="00104493">
      <w:pPr>
        <w:spacing w:before="120" w:after="60"/>
        <w:jc w:val="both"/>
        <w:rPr>
          <w:rFonts w:ascii="Times New Roman" w:hAnsi="Times New Roman"/>
          <w:b/>
          <w:sz w:val="22"/>
        </w:rPr>
      </w:pPr>
      <w:r w:rsidRPr="00104493">
        <w:rPr>
          <w:rFonts w:ascii="Times New Roman" w:hAnsi="Times New Roman"/>
          <w:b/>
          <w:sz w:val="22"/>
        </w:rPr>
        <w:t>Certain persons not medical practitioners</w:t>
      </w:r>
    </w:p>
    <w:p w14:paraId="2A181544"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 xml:space="preserve">“3J.(1) Despite the definition of </w:t>
      </w:r>
      <w:r w:rsidRPr="00104493">
        <w:rPr>
          <w:rFonts w:ascii="Times New Roman" w:hAnsi="Times New Roman"/>
          <w:b/>
          <w:i/>
          <w:sz w:val="22"/>
        </w:rPr>
        <w:t>medical practitioner</w:t>
      </w:r>
      <w:r w:rsidRPr="00104493">
        <w:rPr>
          <w:rFonts w:ascii="Times New Roman" w:hAnsi="Times New Roman"/>
          <w:sz w:val="22"/>
        </w:rPr>
        <w:t xml:space="preserve"> in subsection 3(1)</w:t>
      </w:r>
      <w:r w:rsidR="00755A63" w:rsidRPr="00104493">
        <w:rPr>
          <w:rFonts w:ascii="Times New Roman" w:hAnsi="Times New Roman"/>
          <w:sz w:val="22"/>
        </w:rPr>
        <w:t xml:space="preserve">, </w:t>
      </w:r>
      <w:r w:rsidRPr="00104493">
        <w:rPr>
          <w:rFonts w:ascii="Times New Roman" w:hAnsi="Times New Roman"/>
          <w:sz w:val="22"/>
        </w:rPr>
        <w:t>a person who:</w:t>
      </w:r>
    </w:p>
    <w:p w14:paraId="78F496DC" w14:textId="77777777" w:rsidR="003D68DD" w:rsidRPr="00104493" w:rsidRDefault="00C15C6F" w:rsidP="00104493">
      <w:pPr>
        <w:spacing w:before="120"/>
        <w:ind w:firstLine="270"/>
        <w:jc w:val="both"/>
        <w:rPr>
          <w:rFonts w:ascii="Times New Roman" w:hAnsi="Times New Roman"/>
          <w:sz w:val="22"/>
        </w:rPr>
      </w:pPr>
      <w:r w:rsidRPr="00104493">
        <w:rPr>
          <w:rFonts w:ascii="Times New Roman" w:hAnsi="Times New Roman"/>
          <w:sz w:val="22"/>
        </w:rPr>
        <w:t xml:space="preserve">(a) </w:t>
      </w:r>
      <w:r w:rsidR="009D12BF" w:rsidRPr="00104493">
        <w:rPr>
          <w:rFonts w:ascii="Times New Roman" w:hAnsi="Times New Roman"/>
          <w:sz w:val="22"/>
        </w:rPr>
        <w:t>is not an Australian citizen or a permanent resident; and</w:t>
      </w:r>
    </w:p>
    <w:p w14:paraId="5A4C68DC" w14:textId="77777777" w:rsidR="003D68DD" w:rsidRPr="00104493" w:rsidRDefault="00C15C6F" w:rsidP="00104493">
      <w:pPr>
        <w:spacing w:before="120"/>
        <w:ind w:left="585" w:hanging="315"/>
        <w:jc w:val="both"/>
        <w:rPr>
          <w:rFonts w:ascii="Times New Roman" w:hAnsi="Times New Roman"/>
          <w:sz w:val="22"/>
        </w:rPr>
      </w:pPr>
      <w:r w:rsidRPr="00104493">
        <w:rPr>
          <w:rFonts w:ascii="Times New Roman" w:hAnsi="Times New Roman"/>
          <w:sz w:val="22"/>
        </w:rPr>
        <w:t>(b)</w:t>
      </w:r>
      <w:r w:rsidR="009D12BF" w:rsidRPr="00104493">
        <w:rPr>
          <w:rFonts w:ascii="Times New Roman" w:hAnsi="Times New Roman"/>
          <w:sz w:val="22"/>
        </w:rPr>
        <w:t xml:space="preserve"> entered Australia under a temporary visa for the principal purpose of either practising as a medical practitioner and/or undertaking specialist medical training;</w:t>
      </w:r>
    </w:p>
    <w:p w14:paraId="405FB256" w14:textId="77777777" w:rsidR="003D68DD" w:rsidRPr="00104493" w:rsidRDefault="009D12BF" w:rsidP="00104493">
      <w:pPr>
        <w:spacing w:before="120"/>
        <w:jc w:val="both"/>
        <w:rPr>
          <w:rFonts w:ascii="Times New Roman" w:hAnsi="Times New Roman"/>
          <w:sz w:val="22"/>
        </w:rPr>
      </w:pPr>
      <w:r w:rsidRPr="00104493">
        <w:rPr>
          <w:rFonts w:ascii="Times New Roman" w:hAnsi="Times New Roman"/>
          <w:sz w:val="22"/>
        </w:rPr>
        <w:t>is not a medical practitioner for the purposes of this Act</w:t>
      </w:r>
      <w:r w:rsidR="00755A63" w:rsidRPr="00104493">
        <w:rPr>
          <w:rFonts w:ascii="Times New Roman" w:hAnsi="Times New Roman"/>
          <w:sz w:val="22"/>
        </w:rPr>
        <w:t xml:space="preserve">, </w:t>
      </w:r>
      <w:r w:rsidRPr="00104493">
        <w:rPr>
          <w:rFonts w:ascii="Times New Roman" w:hAnsi="Times New Roman"/>
          <w:sz w:val="22"/>
        </w:rPr>
        <w:t>unless the Minister determines otherwise.</w:t>
      </w:r>
    </w:p>
    <w:p w14:paraId="32497518"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“(2) A determination under subsection (1) maybe made subject to such conditions (if any) as the Minister thinks fit.</w:t>
      </w:r>
    </w:p>
    <w:p w14:paraId="471DEA1E"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“(3) A determination under subsection (1) may relate to an individual or to a class of people.</w:t>
      </w:r>
    </w:p>
    <w:p w14:paraId="61AB56EA"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“(4) If a person to whom a determination under subsection (1) applies breaches a condition of the determination</w:t>
      </w:r>
      <w:r w:rsidR="00755A63" w:rsidRPr="00104493">
        <w:rPr>
          <w:rFonts w:ascii="Times New Roman" w:hAnsi="Times New Roman"/>
          <w:sz w:val="22"/>
        </w:rPr>
        <w:t xml:space="preserve">, </w:t>
      </w:r>
      <w:r w:rsidRPr="00104493">
        <w:rPr>
          <w:rFonts w:ascii="Times New Roman" w:hAnsi="Times New Roman"/>
          <w:sz w:val="22"/>
        </w:rPr>
        <w:t>the determination ceases to apply to the person at all times during which the person is in breach.</w:t>
      </w:r>
    </w:p>
    <w:p w14:paraId="05323CEE" w14:textId="77777777" w:rsidR="00C15C6F" w:rsidRPr="00104493" w:rsidRDefault="00C15C6F" w:rsidP="00104493">
      <w:pPr>
        <w:rPr>
          <w:rFonts w:ascii="Times New Roman" w:hAnsi="Times New Roman"/>
          <w:sz w:val="22"/>
        </w:rPr>
      </w:pPr>
      <w:r w:rsidRPr="00104493">
        <w:rPr>
          <w:rFonts w:ascii="Times New Roman" w:hAnsi="Times New Roman"/>
          <w:sz w:val="22"/>
        </w:rPr>
        <w:br w:type="page"/>
      </w:r>
    </w:p>
    <w:p w14:paraId="73583BD7" w14:textId="77777777" w:rsidR="003D68DD" w:rsidRPr="00104493" w:rsidRDefault="009D12BF" w:rsidP="00104493">
      <w:pPr>
        <w:spacing w:before="120"/>
        <w:jc w:val="center"/>
        <w:rPr>
          <w:rFonts w:ascii="Times New Roman" w:hAnsi="Times New Roman"/>
          <w:sz w:val="22"/>
        </w:rPr>
      </w:pPr>
      <w:r w:rsidRPr="00104493">
        <w:rPr>
          <w:rFonts w:ascii="Times New Roman" w:hAnsi="Times New Roman"/>
          <w:b/>
          <w:sz w:val="22"/>
        </w:rPr>
        <w:lastRenderedPageBreak/>
        <w:t>SCHEDULE</w:t>
      </w:r>
      <w:r w:rsidRPr="00104493">
        <w:rPr>
          <w:rFonts w:ascii="Times New Roman" w:hAnsi="Times New Roman"/>
          <w:sz w:val="22"/>
        </w:rPr>
        <w:t>—continued</w:t>
      </w:r>
    </w:p>
    <w:p w14:paraId="1AFCAEF4"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 xml:space="preserve">“(5) Despite anything contained in subsection 488(1) of the </w:t>
      </w:r>
      <w:r w:rsidRPr="00104493">
        <w:rPr>
          <w:rFonts w:ascii="Times New Roman" w:hAnsi="Times New Roman"/>
          <w:i/>
          <w:sz w:val="22"/>
        </w:rPr>
        <w:t>Migration Act 1958</w:t>
      </w:r>
      <w:r w:rsidR="00755A63" w:rsidRPr="00104493">
        <w:rPr>
          <w:rFonts w:ascii="Times New Roman" w:hAnsi="Times New Roman"/>
          <w:sz w:val="22"/>
        </w:rPr>
        <w:t xml:space="preserve">, </w:t>
      </w:r>
      <w:r w:rsidRPr="00104493">
        <w:rPr>
          <w:rFonts w:ascii="Times New Roman" w:hAnsi="Times New Roman"/>
          <w:sz w:val="22"/>
        </w:rPr>
        <w:t>the Secretary to the Department of Immigration and Ethnic Affairs may</w:t>
      </w:r>
      <w:r w:rsidR="00755A63" w:rsidRPr="00104493">
        <w:rPr>
          <w:rFonts w:ascii="Times New Roman" w:hAnsi="Times New Roman"/>
          <w:sz w:val="22"/>
        </w:rPr>
        <w:t xml:space="preserve">, </w:t>
      </w:r>
      <w:r w:rsidRPr="00104493">
        <w:rPr>
          <w:rFonts w:ascii="Times New Roman" w:hAnsi="Times New Roman"/>
          <w:sz w:val="22"/>
        </w:rPr>
        <w:t>for the purpose of:</w:t>
      </w:r>
    </w:p>
    <w:p w14:paraId="6AD08641" w14:textId="77777777" w:rsidR="003D68DD" w:rsidRPr="00104493" w:rsidRDefault="00070A05" w:rsidP="00104493">
      <w:pPr>
        <w:spacing w:before="120"/>
        <w:ind w:firstLine="270"/>
        <w:jc w:val="both"/>
        <w:rPr>
          <w:rFonts w:ascii="Times New Roman" w:hAnsi="Times New Roman"/>
          <w:sz w:val="22"/>
        </w:rPr>
      </w:pPr>
      <w:r w:rsidRPr="00104493">
        <w:rPr>
          <w:rFonts w:ascii="Times New Roman" w:hAnsi="Times New Roman"/>
          <w:sz w:val="22"/>
        </w:rPr>
        <w:t>(a)</w:t>
      </w:r>
      <w:r w:rsidR="009D12BF" w:rsidRPr="00104493">
        <w:rPr>
          <w:rFonts w:ascii="Times New Roman" w:hAnsi="Times New Roman"/>
          <w:sz w:val="22"/>
        </w:rPr>
        <w:t xml:space="preserve"> making a determination under subsection (1); or</w:t>
      </w:r>
    </w:p>
    <w:p w14:paraId="5CBB4D9E" w14:textId="77777777" w:rsidR="003D68DD" w:rsidRPr="00104493" w:rsidRDefault="00070A05" w:rsidP="00104493">
      <w:pPr>
        <w:spacing w:before="120"/>
        <w:ind w:left="630" w:hanging="360"/>
        <w:jc w:val="both"/>
        <w:rPr>
          <w:rFonts w:ascii="Times New Roman" w:hAnsi="Times New Roman"/>
          <w:sz w:val="22"/>
        </w:rPr>
      </w:pPr>
      <w:r w:rsidRPr="00104493">
        <w:rPr>
          <w:rFonts w:ascii="Times New Roman" w:hAnsi="Times New Roman"/>
          <w:sz w:val="22"/>
        </w:rPr>
        <w:t>(b)</w:t>
      </w:r>
      <w:r w:rsidR="009D12BF" w:rsidRPr="00104493">
        <w:rPr>
          <w:rFonts w:ascii="Times New Roman" w:hAnsi="Times New Roman"/>
          <w:sz w:val="22"/>
        </w:rPr>
        <w:t xml:space="preserve"> assisting the Commission to ascertain whether a condition of such a determination has been breached;</w:t>
      </w:r>
    </w:p>
    <w:p w14:paraId="189D96B8" w14:textId="77777777" w:rsidR="003D68DD" w:rsidRPr="00104493" w:rsidRDefault="009D12BF" w:rsidP="00104493">
      <w:pPr>
        <w:spacing w:before="120"/>
        <w:jc w:val="both"/>
        <w:rPr>
          <w:rFonts w:ascii="Times New Roman" w:hAnsi="Times New Roman"/>
          <w:sz w:val="22"/>
        </w:rPr>
      </w:pPr>
      <w:r w:rsidRPr="00104493">
        <w:rPr>
          <w:rFonts w:ascii="Times New Roman" w:hAnsi="Times New Roman"/>
          <w:sz w:val="22"/>
        </w:rPr>
        <w:t>disclose to an officer of the Commission information about the conditions on which a person has entered or remains in Australia under a temporary visa.</w:t>
      </w:r>
    </w:p>
    <w:p w14:paraId="70ABCF08"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“(6) In this section</w:t>
      </w:r>
      <w:r w:rsidR="00755A63" w:rsidRPr="00104493">
        <w:rPr>
          <w:rFonts w:ascii="Times New Roman" w:hAnsi="Times New Roman"/>
          <w:sz w:val="22"/>
        </w:rPr>
        <w:t xml:space="preserve">, </w:t>
      </w:r>
      <w:r w:rsidRPr="00104493">
        <w:rPr>
          <w:rFonts w:ascii="Times New Roman" w:hAnsi="Times New Roman"/>
          <w:b/>
          <w:i/>
          <w:sz w:val="22"/>
        </w:rPr>
        <w:t>permanent resident</w:t>
      </w:r>
      <w:r w:rsidRPr="00104493">
        <w:rPr>
          <w:rFonts w:ascii="Times New Roman" w:hAnsi="Times New Roman"/>
          <w:sz w:val="22"/>
        </w:rPr>
        <w:t xml:space="preserve"> and </w:t>
      </w:r>
      <w:r w:rsidRPr="00104493">
        <w:rPr>
          <w:rFonts w:ascii="Times New Roman" w:hAnsi="Times New Roman"/>
          <w:b/>
          <w:i/>
          <w:sz w:val="22"/>
        </w:rPr>
        <w:t>temporary</w:t>
      </w:r>
      <w:r w:rsidRPr="00104493">
        <w:rPr>
          <w:rFonts w:ascii="Times New Roman" w:hAnsi="Times New Roman"/>
          <w:sz w:val="22"/>
        </w:rPr>
        <w:t xml:space="preserve"> </w:t>
      </w:r>
      <w:r w:rsidRPr="00104493">
        <w:rPr>
          <w:rFonts w:ascii="Times New Roman" w:hAnsi="Times New Roman"/>
          <w:b/>
          <w:i/>
          <w:sz w:val="22"/>
        </w:rPr>
        <w:t>visa</w:t>
      </w:r>
      <w:r w:rsidRPr="00104493">
        <w:rPr>
          <w:rFonts w:ascii="Times New Roman" w:hAnsi="Times New Roman"/>
          <w:sz w:val="22"/>
        </w:rPr>
        <w:t xml:space="preserve"> have the same meanings as in the </w:t>
      </w:r>
      <w:r w:rsidRPr="00104493">
        <w:rPr>
          <w:rFonts w:ascii="Times New Roman" w:hAnsi="Times New Roman"/>
          <w:i/>
          <w:sz w:val="22"/>
        </w:rPr>
        <w:t>Migration Act 1958.</w:t>
      </w:r>
    </w:p>
    <w:p w14:paraId="0A325CF9" w14:textId="77777777" w:rsidR="003D68DD" w:rsidRPr="00104493" w:rsidRDefault="009D12BF" w:rsidP="00104493">
      <w:pPr>
        <w:spacing w:before="120" w:after="60"/>
        <w:jc w:val="both"/>
        <w:rPr>
          <w:rFonts w:ascii="Times New Roman" w:hAnsi="Times New Roman"/>
          <w:b/>
          <w:sz w:val="22"/>
        </w:rPr>
      </w:pPr>
      <w:r w:rsidRPr="00104493">
        <w:rPr>
          <w:rFonts w:ascii="Times New Roman" w:hAnsi="Times New Roman"/>
          <w:b/>
          <w:sz w:val="22"/>
        </w:rPr>
        <w:t>Reconsideration and review of decisions under section 3J</w:t>
      </w:r>
    </w:p>
    <w:p w14:paraId="492561B2"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“3K.(1) An individual who had applied to the Minister for a determination under subsection 3J(1) may apply to the Minister for reconsideration of a decision by the Minister refusing to make such a determination in respect of the individual.</w:t>
      </w:r>
    </w:p>
    <w:p w14:paraId="3A21CE12"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“(2) For the purposes of subsection (1)</w:t>
      </w:r>
      <w:r w:rsidR="00755A63" w:rsidRPr="00104493">
        <w:rPr>
          <w:rFonts w:ascii="Times New Roman" w:hAnsi="Times New Roman"/>
          <w:sz w:val="22"/>
        </w:rPr>
        <w:t xml:space="preserve">, </w:t>
      </w:r>
      <w:r w:rsidRPr="00104493">
        <w:rPr>
          <w:rFonts w:ascii="Times New Roman" w:hAnsi="Times New Roman"/>
          <w:sz w:val="22"/>
        </w:rPr>
        <w:t>the Minister is taken to have decided to refuse to make a determination under subsection 3J(1) if the Minister fails to notify the individual of his or her decision in relation to the determination within 28 days of the day on which the application was made.</w:t>
      </w:r>
    </w:p>
    <w:p w14:paraId="3DEB4B4D" w14:textId="30355F62"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“(3) An individual who had applied to the Minister for a determination under subsection 3J(1) may apply to the Minister for reconsideration of a decision by the Minister under subsection 3J(2) to impose one or more conditions on a determination made under subsect</w:t>
      </w:r>
      <w:r w:rsidR="00D46E8E">
        <w:rPr>
          <w:rFonts w:ascii="Times New Roman" w:hAnsi="Times New Roman"/>
          <w:sz w:val="22"/>
        </w:rPr>
        <w:t>ion 3J(</w:t>
      </w:r>
      <w:r w:rsidRPr="00104493">
        <w:rPr>
          <w:rFonts w:ascii="Times New Roman" w:hAnsi="Times New Roman"/>
          <w:sz w:val="22"/>
        </w:rPr>
        <w:t>1) in respect of the individual.</w:t>
      </w:r>
    </w:p>
    <w:p w14:paraId="06B49CBF"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“(4) The Minister must make a decision on the reconsideration within 28 days after receiving the application.</w:t>
      </w:r>
    </w:p>
    <w:p w14:paraId="59EE01B5"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“(5) For the purposes of subsection (7)</w:t>
      </w:r>
      <w:r w:rsidR="00755A63" w:rsidRPr="00104493">
        <w:rPr>
          <w:rFonts w:ascii="Times New Roman" w:hAnsi="Times New Roman"/>
          <w:sz w:val="22"/>
        </w:rPr>
        <w:t xml:space="preserve">, </w:t>
      </w:r>
      <w:r w:rsidRPr="00104493">
        <w:rPr>
          <w:rFonts w:ascii="Times New Roman" w:hAnsi="Times New Roman"/>
          <w:sz w:val="22"/>
        </w:rPr>
        <w:t>the Minister is taken to have made a decision on the reconsideration confirming the original decision if the Minister has not informed the individual of the decision on the reconsideration before the expiration of the period of 28 days.</w:t>
      </w:r>
    </w:p>
    <w:p w14:paraId="1AC4710C"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“(6) An application may be made to the Administrative Appeals Tribunal for a review of the Minister’s decision on the reconsideration.”.</w:t>
      </w:r>
    </w:p>
    <w:p w14:paraId="7D31893C" w14:textId="52234AC5" w:rsidR="003D68DD" w:rsidRPr="00104493" w:rsidRDefault="00070A05" w:rsidP="00104493">
      <w:pPr>
        <w:tabs>
          <w:tab w:val="left" w:pos="270"/>
        </w:tabs>
        <w:spacing w:before="120"/>
        <w:jc w:val="both"/>
        <w:rPr>
          <w:rFonts w:ascii="Times New Roman" w:hAnsi="Times New Roman"/>
          <w:b/>
          <w:sz w:val="22"/>
        </w:rPr>
      </w:pPr>
      <w:r w:rsidRPr="00104493">
        <w:rPr>
          <w:rFonts w:ascii="Times New Roman" w:hAnsi="Times New Roman"/>
          <w:b/>
          <w:sz w:val="22"/>
        </w:rPr>
        <w:t>5.</w:t>
      </w:r>
      <w:r w:rsidR="00B875DA" w:rsidRPr="00104493">
        <w:rPr>
          <w:rFonts w:ascii="Times New Roman" w:hAnsi="Times New Roman"/>
          <w:b/>
          <w:sz w:val="22"/>
        </w:rPr>
        <w:t xml:space="preserve"> </w:t>
      </w:r>
      <w:r w:rsidR="00D46E8E">
        <w:rPr>
          <w:rFonts w:ascii="Times New Roman" w:hAnsi="Times New Roman"/>
          <w:b/>
          <w:sz w:val="22"/>
        </w:rPr>
        <w:t>Subparagraph 16B(1</w:t>
      </w:r>
      <w:r w:rsidR="009D12BF" w:rsidRPr="00104493">
        <w:rPr>
          <w:rFonts w:ascii="Times New Roman" w:hAnsi="Times New Roman"/>
          <w:b/>
          <w:sz w:val="22"/>
        </w:rPr>
        <w:t>)(a)(</w:t>
      </w:r>
      <w:proofErr w:type="spellStart"/>
      <w:r w:rsidR="009D12BF" w:rsidRPr="00104493">
        <w:rPr>
          <w:rFonts w:ascii="Times New Roman" w:hAnsi="Times New Roman"/>
          <w:b/>
          <w:sz w:val="22"/>
        </w:rPr>
        <w:t>i</w:t>
      </w:r>
      <w:proofErr w:type="spellEnd"/>
      <w:r w:rsidR="009D12BF" w:rsidRPr="00104493">
        <w:rPr>
          <w:rFonts w:ascii="Times New Roman" w:hAnsi="Times New Roman"/>
          <w:b/>
          <w:sz w:val="22"/>
        </w:rPr>
        <w:t>):</w:t>
      </w:r>
    </w:p>
    <w:p w14:paraId="706AC59E" w14:textId="77777777" w:rsidR="00070A05"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“specialist”</w:t>
      </w:r>
      <w:r w:rsidR="00755A63" w:rsidRPr="00104493">
        <w:rPr>
          <w:rFonts w:ascii="Times New Roman" w:hAnsi="Times New Roman"/>
          <w:sz w:val="22"/>
        </w:rPr>
        <w:t xml:space="preserve">, </w:t>
      </w:r>
      <w:r w:rsidRPr="00104493">
        <w:rPr>
          <w:rFonts w:ascii="Times New Roman" w:hAnsi="Times New Roman"/>
          <w:sz w:val="22"/>
        </w:rPr>
        <w:t>substitute “consultant physician</w:t>
      </w:r>
      <w:r w:rsidR="00755A63" w:rsidRPr="00104493">
        <w:rPr>
          <w:rFonts w:ascii="Times New Roman" w:hAnsi="Times New Roman"/>
          <w:sz w:val="22"/>
        </w:rPr>
        <w:t xml:space="preserve">, </w:t>
      </w:r>
      <w:r w:rsidRPr="00104493">
        <w:rPr>
          <w:rFonts w:ascii="Times New Roman" w:hAnsi="Times New Roman"/>
          <w:sz w:val="22"/>
        </w:rPr>
        <w:t>or a specialist</w:t>
      </w:r>
      <w:r w:rsidR="00755A63" w:rsidRPr="00104493">
        <w:rPr>
          <w:rFonts w:ascii="Times New Roman" w:hAnsi="Times New Roman"/>
          <w:sz w:val="22"/>
        </w:rPr>
        <w:t xml:space="preserve">, </w:t>
      </w:r>
      <w:r w:rsidRPr="00104493">
        <w:rPr>
          <w:rFonts w:ascii="Times New Roman" w:hAnsi="Times New Roman"/>
          <w:sz w:val="22"/>
        </w:rPr>
        <w:t>”.</w:t>
      </w:r>
    </w:p>
    <w:p w14:paraId="4B2C444C" w14:textId="77777777" w:rsidR="00070A05" w:rsidRPr="00104493" w:rsidRDefault="00070A05" w:rsidP="00104493">
      <w:pPr>
        <w:rPr>
          <w:rFonts w:ascii="Times New Roman" w:hAnsi="Times New Roman"/>
          <w:sz w:val="22"/>
        </w:rPr>
      </w:pPr>
      <w:r w:rsidRPr="00104493">
        <w:rPr>
          <w:rFonts w:ascii="Times New Roman" w:hAnsi="Times New Roman"/>
          <w:sz w:val="22"/>
        </w:rPr>
        <w:br w:type="page"/>
      </w:r>
    </w:p>
    <w:p w14:paraId="7C44E1DC" w14:textId="77777777" w:rsidR="003D68DD" w:rsidRPr="00104493" w:rsidRDefault="009D12BF" w:rsidP="00104493">
      <w:pPr>
        <w:spacing w:before="120"/>
        <w:jc w:val="center"/>
        <w:rPr>
          <w:rFonts w:ascii="Times New Roman" w:hAnsi="Times New Roman"/>
          <w:sz w:val="22"/>
        </w:rPr>
      </w:pPr>
      <w:r w:rsidRPr="00104493">
        <w:rPr>
          <w:rFonts w:ascii="Times New Roman" w:hAnsi="Times New Roman"/>
          <w:b/>
          <w:sz w:val="22"/>
        </w:rPr>
        <w:lastRenderedPageBreak/>
        <w:t>SCHEDULE</w:t>
      </w:r>
      <w:r w:rsidRPr="00104493">
        <w:rPr>
          <w:rFonts w:ascii="Times New Roman" w:hAnsi="Times New Roman"/>
          <w:sz w:val="22"/>
        </w:rPr>
        <w:t>—continued</w:t>
      </w:r>
    </w:p>
    <w:p w14:paraId="7999B559"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6.</w:t>
      </w:r>
      <w:r w:rsidR="00B875DA" w:rsidRPr="00104493">
        <w:rPr>
          <w:rFonts w:ascii="Times New Roman" w:hAnsi="Times New Roman"/>
          <w:b/>
          <w:sz w:val="22"/>
        </w:rPr>
        <w:t xml:space="preserve"> </w:t>
      </w:r>
      <w:r w:rsidR="009D12BF" w:rsidRPr="00104493">
        <w:rPr>
          <w:rFonts w:ascii="Times New Roman" w:hAnsi="Times New Roman"/>
          <w:b/>
          <w:sz w:val="22"/>
        </w:rPr>
        <w:t>Paragraph 16B(6)(a):</w:t>
      </w:r>
    </w:p>
    <w:p w14:paraId="18CEFE10"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“specialist”</w:t>
      </w:r>
      <w:r w:rsidR="00755A63" w:rsidRPr="00104493">
        <w:rPr>
          <w:rFonts w:ascii="Times New Roman" w:hAnsi="Times New Roman"/>
          <w:sz w:val="22"/>
        </w:rPr>
        <w:t xml:space="preserve">, </w:t>
      </w:r>
      <w:r w:rsidRPr="00104493">
        <w:rPr>
          <w:rFonts w:ascii="Times New Roman" w:hAnsi="Times New Roman"/>
          <w:sz w:val="22"/>
        </w:rPr>
        <w:t>substitute “consultant physician</w:t>
      </w:r>
      <w:r w:rsidR="00755A63" w:rsidRPr="00104493">
        <w:rPr>
          <w:rFonts w:ascii="Times New Roman" w:hAnsi="Times New Roman"/>
          <w:sz w:val="22"/>
        </w:rPr>
        <w:t xml:space="preserve">, </w:t>
      </w:r>
      <w:r w:rsidRPr="00104493">
        <w:rPr>
          <w:rFonts w:ascii="Times New Roman" w:hAnsi="Times New Roman"/>
          <w:sz w:val="22"/>
        </w:rPr>
        <w:t>or a specialist</w:t>
      </w:r>
      <w:r w:rsidR="00755A63" w:rsidRPr="00104493">
        <w:rPr>
          <w:rFonts w:ascii="Times New Roman" w:hAnsi="Times New Roman"/>
          <w:sz w:val="22"/>
        </w:rPr>
        <w:t xml:space="preserve">, </w:t>
      </w:r>
      <w:r w:rsidRPr="00104493">
        <w:rPr>
          <w:rFonts w:ascii="Times New Roman" w:hAnsi="Times New Roman"/>
          <w:sz w:val="22"/>
        </w:rPr>
        <w:t>”.</w:t>
      </w:r>
    </w:p>
    <w:p w14:paraId="57F5607C" w14:textId="3A0E7667" w:rsidR="003D68DD" w:rsidRPr="00104493" w:rsidRDefault="00D46E8E" w:rsidP="00104493">
      <w:pPr>
        <w:spacing w:before="120"/>
        <w:ind w:left="540" w:hanging="540"/>
        <w:jc w:val="both"/>
        <w:rPr>
          <w:rFonts w:ascii="Times New Roman" w:hAnsi="Times New Roman"/>
          <w:sz w:val="20"/>
          <w:szCs w:val="20"/>
        </w:rPr>
      </w:pPr>
      <w:r>
        <w:rPr>
          <w:rFonts w:ascii="Times New Roman" w:hAnsi="Times New Roman"/>
          <w:sz w:val="20"/>
          <w:szCs w:val="20"/>
        </w:rPr>
        <w:t>Note: The heading t</w:t>
      </w:r>
      <w:r w:rsidR="009D12BF" w:rsidRPr="00104493">
        <w:rPr>
          <w:rFonts w:ascii="Times New Roman" w:hAnsi="Times New Roman"/>
          <w:sz w:val="20"/>
          <w:szCs w:val="20"/>
        </w:rPr>
        <w:t>o subsection 16B(6) is replaced by the heading “[</w:t>
      </w:r>
      <w:r w:rsidR="009D12BF" w:rsidRPr="00104493">
        <w:rPr>
          <w:rFonts w:ascii="Times New Roman" w:hAnsi="Times New Roman"/>
          <w:b/>
          <w:sz w:val="20"/>
          <w:szCs w:val="20"/>
        </w:rPr>
        <w:t>Exemption—consultant physicians and specialists</w:t>
      </w:r>
      <w:r w:rsidR="009D12BF" w:rsidRPr="00104493">
        <w:rPr>
          <w:rFonts w:ascii="Times New Roman" w:hAnsi="Times New Roman"/>
          <w:sz w:val="20"/>
          <w:szCs w:val="20"/>
        </w:rPr>
        <w:t>]”.</w:t>
      </w:r>
    </w:p>
    <w:p w14:paraId="7B83697B"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7.</w:t>
      </w:r>
      <w:r w:rsidR="00B875DA" w:rsidRPr="00104493">
        <w:rPr>
          <w:rFonts w:ascii="Times New Roman" w:hAnsi="Times New Roman"/>
          <w:b/>
          <w:sz w:val="22"/>
        </w:rPr>
        <w:t xml:space="preserve"> </w:t>
      </w:r>
      <w:r w:rsidR="009D12BF" w:rsidRPr="00104493">
        <w:rPr>
          <w:rFonts w:ascii="Times New Roman" w:hAnsi="Times New Roman"/>
          <w:b/>
          <w:sz w:val="22"/>
        </w:rPr>
        <w:t>Paragraph 16B(7)(c):</w:t>
      </w:r>
    </w:p>
    <w:p w14:paraId="7B729E39"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the paragraph</w:t>
      </w:r>
      <w:r w:rsidR="00755A63" w:rsidRPr="00104493">
        <w:rPr>
          <w:rFonts w:ascii="Times New Roman" w:hAnsi="Times New Roman"/>
          <w:sz w:val="22"/>
        </w:rPr>
        <w:t xml:space="preserve">, </w:t>
      </w:r>
      <w:r w:rsidRPr="00104493">
        <w:rPr>
          <w:rFonts w:ascii="Times New Roman" w:hAnsi="Times New Roman"/>
          <w:sz w:val="22"/>
        </w:rPr>
        <w:t>substitute:</w:t>
      </w:r>
    </w:p>
    <w:p w14:paraId="772CEB5D" w14:textId="77777777" w:rsidR="003D68DD" w:rsidRPr="00104493" w:rsidRDefault="009D12BF" w:rsidP="00104493">
      <w:pPr>
        <w:spacing w:before="120"/>
        <w:ind w:left="675" w:hanging="405"/>
        <w:jc w:val="both"/>
        <w:rPr>
          <w:rFonts w:ascii="Times New Roman" w:hAnsi="Times New Roman"/>
          <w:sz w:val="22"/>
        </w:rPr>
      </w:pPr>
      <w:r w:rsidRPr="00104493">
        <w:rPr>
          <w:rFonts w:ascii="Times New Roman" w:hAnsi="Times New Roman"/>
          <w:sz w:val="22"/>
        </w:rPr>
        <w:t>“(c) the service was rendered during the period when a remote area exemption granted to the providing practitioner under that Division was in force; and”.</w:t>
      </w:r>
    </w:p>
    <w:p w14:paraId="114E35F7" w14:textId="0D009BC1"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8.</w:t>
      </w:r>
      <w:r w:rsidR="00B875DA" w:rsidRPr="00104493">
        <w:rPr>
          <w:rFonts w:ascii="Times New Roman" w:hAnsi="Times New Roman"/>
          <w:b/>
          <w:sz w:val="22"/>
        </w:rPr>
        <w:t xml:space="preserve"> </w:t>
      </w:r>
      <w:r w:rsidR="00D46E8E">
        <w:rPr>
          <w:rFonts w:ascii="Times New Roman" w:hAnsi="Times New Roman"/>
          <w:b/>
          <w:sz w:val="22"/>
        </w:rPr>
        <w:t>Paragraph 23DQ(1</w:t>
      </w:r>
      <w:r w:rsidR="009D12BF" w:rsidRPr="00104493">
        <w:rPr>
          <w:rFonts w:ascii="Times New Roman" w:hAnsi="Times New Roman"/>
          <w:b/>
          <w:sz w:val="22"/>
        </w:rPr>
        <w:t>)(a):</w:t>
      </w:r>
    </w:p>
    <w:p w14:paraId="0078FCDB"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“by a medical practitioner”.</w:t>
      </w:r>
    </w:p>
    <w:p w14:paraId="3C8912E8"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9.</w:t>
      </w:r>
      <w:r w:rsidR="00B875DA" w:rsidRPr="00104493">
        <w:rPr>
          <w:rFonts w:ascii="Times New Roman" w:hAnsi="Times New Roman"/>
          <w:b/>
          <w:sz w:val="22"/>
        </w:rPr>
        <w:t xml:space="preserve"> </w:t>
      </w:r>
      <w:r w:rsidR="009D12BF" w:rsidRPr="00104493">
        <w:rPr>
          <w:rFonts w:ascii="Times New Roman" w:hAnsi="Times New Roman"/>
          <w:b/>
          <w:sz w:val="22"/>
        </w:rPr>
        <w:t>Section 23DQ:</w:t>
      </w:r>
    </w:p>
    <w:p w14:paraId="71A734B5"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Add at the end:</w:t>
      </w:r>
    </w:p>
    <w:p w14:paraId="369DF4AC" w14:textId="77777777" w:rsidR="00070A05"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“(4) In this section:</w:t>
      </w:r>
    </w:p>
    <w:p w14:paraId="64C03A22" w14:textId="77777777" w:rsidR="003D68DD" w:rsidRPr="00104493" w:rsidRDefault="009D12BF" w:rsidP="00104493">
      <w:pPr>
        <w:spacing w:before="120"/>
        <w:jc w:val="both"/>
        <w:rPr>
          <w:rFonts w:ascii="Times New Roman" w:hAnsi="Times New Roman"/>
          <w:sz w:val="22"/>
        </w:rPr>
      </w:pPr>
      <w:r w:rsidRPr="00104493">
        <w:rPr>
          <w:rFonts w:ascii="Times New Roman" w:hAnsi="Times New Roman"/>
          <w:b/>
          <w:i/>
          <w:sz w:val="22"/>
        </w:rPr>
        <w:t>practitioner</w:t>
      </w:r>
      <w:r w:rsidRPr="00104493">
        <w:rPr>
          <w:rFonts w:ascii="Times New Roman" w:hAnsi="Times New Roman"/>
          <w:sz w:val="22"/>
        </w:rPr>
        <w:t xml:space="preserve"> means:</w:t>
      </w:r>
    </w:p>
    <w:p w14:paraId="3D83076A" w14:textId="77777777" w:rsidR="003D68DD" w:rsidRPr="00104493" w:rsidRDefault="00070A05" w:rsidP="00104493">
      <w:pPr>
        <w:spacing w:before="120"/>
        <w:ind w:firstLine="270"/>
        <w:jc w:val="both"/>
        <w:rPr>
          <w:rFonts w:ascii="Times New Roman" w:hAnsi="Times New Roman"/>
          <w:sz w:val="22"/>
        </w:rPr>
      </w:pPr>
      <w:r w:rsidRPr="00104493">
        <w:rPr>
          <w:rFonts w:ascii="Times New Roman" w:hAnsi="Times New Roman"/>
          <w:sz w:val="22"/>
        </w:rPr>
        <w:t>(a)</w:t>
      </w:r>
      <w:r w:rsidR="009D12BF" w:rsidRPr="00104493">
        <w:rPr>
          <w:rFonts w:ascii="Times New Roman" w:hAnsi="Times New Roman"/>
          <w:sz w:val="22"/>
        </w:rPr>
        <w:t xml:space="preserve"> a medical practitioner; or</w:t>
      </w:r>
    </w:p>
    <w:p w14:paraId="66C037E9" w14:textId="77777777" w:rsidR="003D68DD" w:rsidRPr="00104493" w:rsidRDefault="00070A05" w:rsidP="00104493">
      <w:pPr>
        <w:spacing w:before="120"/>
        <w:ind w:firstLine="270"/>
        <w:jc w:val="both"/>
        <w:rPr>
          <w:rFonts w:ascii="Times New Roman" w:hAnsi="Times New Roman"/>
          <w:sz w:val="22"/>
        </w:rPr>
      </w:pPr>
      <w:r w:rsidRPr="00104493">
        <w:rPr>
          <w:rFonts w:ascii="Times New Roman" w:hAnsi="Times New Roman"/>
          <w:sz w:val="22"/>
        </w:rPr>
        <w:t>(b)</w:t>
      </w:r>
      <w:r w:rsidR="009D12BF" w:rsidRPr="00104493">
        <w:rPr>
          <w:rFonts w:ascii="Times New Roman" w:hAnsi="Times New Roman"/>
          <w:sz w:val="22"/>
        </w:rPr>
        <w:t xml:space="preserve"> a dental practitioner; or</w:t>
      </w:r>
    </w:p>
    <w:p w14:paraId="772DCDA4" w14:textId="77777777" w:rsidR="003D68DD" w:rsidRPr="00104493" w:rsidRDefault="00070A05" w:rsidP="00104493">
      <w:pPr>
        <w:spacing w:before="120"/>
        <w:ind w:firstLine="270"/>
        <w:jc w:val="both"/>
        <w:rPr>
          <w:rFonts w:ascii="Times New Roman" w:hAnsi="Times New Roman"/>
          <w:sz w:val="22"/>
        </w:rPr>
      </w:pPr>
      <w:r w:rsidRPr="00104493">
        <w:rPr>
          <w:rFonts w:ascii="Times New Roman" w:hAnsi="Times New Roman"/>
          <w:sz w:val="22"/>
        </w:rPr>
        <w:t>(c)</w:t>
      </w:r>
      <w:r w:rsidR="009D12BF" w:rsidRPr="00104493">
        <w:rPr>
          <w:rFonts w:ascii="Times New Roman" w:hAnsi="Times New Roman"/>
          <w:sz w:val="22"/>
        </w:rPr>
        <w:t xml:space="preserve"> a chiropractor; or</w:t>
      </w:r>
    </w:p>
    <w:p w14:paraId="33371147" w14:textId="77777777" w:rsidR="003D68DD" w:rsidRPr="00104493" w:rsidRDefault="00070A05" w:rsidP="00104493">
      <w:pPr>
        <w:spacing w:before="120"/>
        <w:ind w:firstLine="270"/>
        <w:jc w:val="both"/>
        <w:rPr>
          <w:rFonts w:ascii="Times New Roman" w:hAnsi="Times New Roman"/>
          <w:sz w:val="22"/>
        </w:rPr>
      </w:pPr>
      <w:r w:rsidRPr="00104493">
        <w:rPr>
          <w:rFonts w:ascii="Times New Roman" w:hAnsi="Times New Roman"/>
          <w:sz w:val="22"/>
        </w:rPr>
        <w:t>(d)</w:t>
      </w:r>
      <w:r w:rsidR="009D12BF" w:rsidRPr="00104493">
        <w:rPr>
          <w:rFonts w:ascii="Times New Roman" w:hAnsi="Times New Roman"/>
          <w:sz w:val="22"/>
        </w:rPr>
        <w:t xml:space="preserve"> a physiotherapist; or</w:t>
      </w:r>
    </w:p>
    <w:p w14:paraId="629E9EA4" w14:textId="77777777" w:rsidR="003D68DD" w:rsidRPr="00104493" w:rsidRDefault="00070A05" w:rsidP="00104493">
      <w:pPr>
        <w:spacing w:before="120"/>
        <w:ind w:firstLine="270"/>
        <w:jc w:val="both"/>
        <w:rPr>
          <w:rFonts w:ascii="Times New Roman" w:hAnsi="Times New Roman"/>
          <w:sz w:val="22"/>
        </w:rPr>
      </w:pPr>
      <w:r w:rsidRPr="00104493">
        <w:rPr>
          <w:rFonts w:ascii="Times New Roman" w:hAnsi="Times New Roman"/>
          <w:sz w:val="22"/>
        </w:rPr>
        <w:t>(e)</w:t>
      </w:r>
      <w:r w:rsidR="009D12BF" w:rsidRPr="00104493">
        <w:rPr>
          <w:rFonts w:ascii="Times New Roman" w:hAnsi="Times New Roman"/>
          <w:sz w:val="22"/>
        </w:rPr>
        <w:t xml:space="preserve"> a podiatrist.”.</w:t>
      </w:r>
    </w:p>
    <w:p w14:paraId="7A38EF36"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10.</w:t>
      </w:r>
      <w:r w:rsidR="00B875DA" w:rsidRPr="00104493">
        <w:rPr>
          <w:rFonts w:ascii="Times New Roman" w:hAnsi="Times New Roman"/>
          <w:b/>
          <w:sz w:val="22"/>
        </w:rPr>
        <w:t xml:space="preserve"> </w:t>
      </w:r>
      <w:r w:rsidR="009D12BF" w:rsidRPr="00104493">
        <w:rPr>
          <w:rFonts w:ascii="Times New Roman" w:hAnsi="Times New Roman"/>
          <w:b/>
          <w:sz w:val="22"/>
        </w:rPr>
        <w:t>Section 23DZA:</w:t>
      </w:r>
    </w:p>
    <w:p w14:paraId="753DF18F"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Repeal the section</w:t>
      </w:r>
      <w:r w:rsidR="00755A63" w:rsidRPr="00104493">
        <w:rPr>
          <w:rFonts w:ascii="Times New Roman" w:hAnsi="Times New Roman"/>
          <w:sz w:val="22"/>
        </w:rPr>
        <w:t xml:space="preserve">, </w:t>
      </w:r>
      <w:r w:rsidRPr="00104493">
        <w:rPr>
          <w:rFonts w:ascii="Times New Roman" w:hAnsi="Times New Roman"/>
          <w:sz w:val="22"/>
        </w:rPr>
        <w:t>substitute:</w:t>
      </w:r>
    </w:p>
    <w:p w14:paraId="64690065" w14:textId="77777777" w:rsidR="003D68DD" w:rsidRPr="00104493" w:rsidRDefault="009D12BF" w:rsidP="00104493">
      <w:pPr>
        <w:spacing w:before="120" w:after="60"/>
        <w:jc w:val="both"/>
        <w:rPr>
          <w:rFonts w:ascii="Times New Roman" w:hAnsi="Times New Roman"/>
          <w:b/>
          <w:sz w:val="22"/>
        </w:rPr>
      </w:pPr>
      <w:r w:rsidRPr="00104493">
        <w:rPr>
          <w:rFonts w:ascii="Times New Roman" w:hAnsi="Times New Roman"/>
          <w:b/>
          <w:sz w:val="22"/>
        </w:rPr>
        <w:t>Commencement and duration of remote area exemption</w:t>
      </w:r>
    </w:p>
    <w:p w14:paraId="2B410FDD"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“23DZA.(1) A remote area exemption comes into force</w:t>
      </w:r>
      <w:r w:rsidR="00755A63" w:rsidRPr="00104493">
        <w:rPr>
          <w:rFonts w:ascii="Times New Roman" w:hAnsi="Times New Roman"/>
          <w:sz w:val="22"/>
        </w:rPr>
        <w:t xml:space="preserve">, </w:t>
      </w:r>
      <w:r w:rsidRPr="00104493">
        <w:rPr>
          <w:rFonts w:ascii="Times New Roman" w:hAnsi="Times New Roman"/>
          <w:sz w:val="22"/>
        </w:rPr>
        <w:t>or is taken to have come into force</w:t>
      </w:r>
      <w:r w:rsidR="00755A63" w:rsidRPr="00104493">
        <w:rPr>
          <w:rFonts w:ascii="Times New Roman" w:hAnsi="Times New Roman"/>
          <w:sz w:val="22"/>
        </w:rPr>
        <w:t xml:space="preserve">, </w:t>
      </w:r>
      <w:r w:rsidRPr="00104493">
        <w:rPr>
          <w:rFonts w:ascii="Times New Roman" w:hAnsi="Times New Roman"/>
          <w:sz w:val="22"/>
        </w:rPr>
        <w:t>on the day it is granted</w:t>
      </w:r>
      <w:r w:rsidR="00755A63" w:rsidRPr="00104493">
        <w:rPr>
          <w:rFonts w:ascii="Times New Roman" w:hAnsi="Times New Roman"/>
          <w:sz w:val="22"/>
        </w:rPr>
        <w:t xml:space="preserve">, </w:t>
      </w:r>
      <w:r w:rsidRPr="00104493">
        <w:rPr>
          <w:rFonts w:ascii="Times New Roman" w:hAnsi="Times New Roman"/>
          <w:sz w:val="22"/>
        </w:rPr>
        <w:t>or on such earlier or later commencing day as is specified in it.</w:t>
      </w:r>
    </w:p>
    <w:p w14:paraId="7A0A5DB5"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“(2) The Minister must not specify a commencing day in a remote area exemption that is earlier than the day the application for the exemption was received.</w:t>
      </w:r>
    </w:p>
    <w:p w14:paraId="7AB9F371"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“(3) Subject to section 23DZC</w:t>
      </w:r>
      <w:r w:rsidR="00755A63" w:rsidRPr="00104493">
        <w:rPr>
          <w:rFonts w:ascii="Times New Roman" w:hAnsi="Times New Roman"/>
          <w:sz w:val="22"/>
        </w:rPr>
        <w:t xml:space="preserve">, </w:t>
      </w:r>
      <w:r w:rsidRPr="00104493">
        <w:rPr>
          <w:rFonts w:ascii="Times New Roman" w:hAnsi="Times New Roman"/>
          <w:sz w:val="22"/>
        </w:rPr>
        <w:t>a remote area exemption stays in force for 3 years</w:t>
      </w:r>
      <w:r w:rsidR="00755A63" w:rsidRPr="00104493">
        <w:rPr>
          <w:rFonts w:ascii="Times New Roman" w:hAnsi="Times New Roman"/>
          <w:sz w:val="22"/>
        </w:rPr>
        <w:t xml:space="preserve">, </w:t>
      </w:r>
      <w:r w:rsidRPr="00104493">
        <w:rPr>
          <w:rFonts w:ascii="Times New Roman" w:hAnsi="Times New Roman"/>
          <w:sz w:val="22"/>
        </w:rPr>
        <w:t>or for any shorter period specified in it.</w:t>
      </w:r>
    </w:p>
    <w:p w14:paraId="4ABD3EA5"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“(4) The Minister may</w:t>
      </w:r>
      <w:r w:rsidR="00755A63" w:rsidRPr="00104493">
        <w:rPr>
          <w:rFonts w:ascii="Times New Roman" w:hAnsi="Times New Roman"/>
          <w:sz w:val="22"/>
        </w:rPr>
        <w:t xml:space="preserve">, </w:t>
      </w:r>
      <w:r w:rsidRPr="00104493">
        <w:rPr>
          <w:rFonts w:ascii="Times New Roman" w:hAnsi="Times New Roman"/>
          <w:sz w:val="22"/>
        </w:rPr>
        <w:t>under subsection (4)</w:t>
      </w:r>
      <w:r w:rsidR="00755A63" w:rsidRPr="00104493">
        <w:rPr>
          <w:rFonts w:ascii="Times New Roman" w:hAnsi="Times New Roman"/>
          <w:sz w:val="22"/>
        </w:rPr>
        <w:t xml:space="preserve">, </w:t>
      </w:r>
      <w:r w:rsidRPr="00104493">
        <w:rPr>
          <w:rFonts w:ascii="Times New Roman" w:hAnsi="Times New Roman"/>
          <w:sz w:val="22"/>
        </w:rPr>
        <w:t>specify a period that has ended before the day the exemption is granted.”.</w:t>
      </w:r>
    </w:p>
    <w:p w14:paraId="59191EE0" w14:textId="77777777" w:rsidR="00070A05" w:rsidRPr="00104493" w:rsidRDefault="00070A05" w:rsidP="00104493">
      <w:pPr>
        <w:rPr>
          <w:rFonts w:ascii="Times New Roman" w:hAnsi="Times New Roman"/>
          <w:sz w:val="22"/>
        </w:rPr>
      </w:pPr>
      <w:r w:rsidRPr="00104493">
        <w:rPr>
          <w:rFonts w:ascii="Times New Roman" w:hAnsi="Times New Roman"/>
          <w:sz w:val="22"/>
        </w:rPr>
        <w:br w:type="page"/>
      </w:r>
    </w:p>
    <w:p w14:paraId="33C25689" w14:textId="77777777" w:rsidR="003D68DD" w:rsidRPr="00104493" w:rsidRDefault="009D12BF" w:rsidP="00104493">
      <w:pPr>
        <w:spacing w:before="120"/>
        <w:jc w:val="center"/>
        <w:rPr>
          <w:rFonts w:ascii="Times New Roman" w:hAnsi="Times New Roman"/>
          <w:sz w:val="22"/>
        </w:rPr>
      </w:pPr>
      <w:r w:rsidRPr="00104493">
        <w:rPr>
          <w:rFonts w:ascii="Times New Roman" w:hAnsi="Times New Roman"/>
          <w:b/>
          <w:sz w:val="22"/>
        </w:rPr>
        <w:lastRenderedPageBreak/>
        <w:t>SCHEDULE</w:t>
      </w:r>
      <w:r w:rsidRPr="00104493">
        <w:rPr>
          <w:rFonts w:ascii="Times New Roman" w:hAnsi="Times New Roman"/>
          <w:sz w:val="22"/>
        </w:rPr>
        <w:t>—continued</w:t>
      </w:r>
    </w:p>
    <w:p w14:paraId="417E9378"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11.</w:t>
      </w:r>
      <w:r w:rsidR="00B875DA" w:rsidRPr="00104493">
        <w:rPr>
          <w:rFonts w:ascii="Times New Roman" w:hAnsi="Times New Roman"/>
          <w:b/>
          <w:sz w:val="22"/>
        </w:rPr>
        <w:t xml:space="preserve"> </w:t>
      </w:r>
      <w:r w:rsidR="009D12BF" w:rsidRPr="00104493">
        <w:rPr>
          <w:rFonts w:ascii="Times New Roman" w:hAnsi="Times New Roman"/>
          <w:b/>
          <w:sz w:val="22"/>
        </w:rPr>
        <w:t>Subsections 130(1)</w:t>
      </w:r>
      <w:r w:rsidR="00755A63" w:rsidRPr="00104493">
        <w:rPr>
          <w:rFonts w:ascii="Times New Roman" w:hAnsi="Times New Roman"/>
          <w:b/>
          <w:sz w:val="22"/>
        </w:rPr>
        <w:t xml:space="preserve">, </w:t>
      </w:r>
      <w:r w:rsidR="009D12BF" w:rsidRPr="00104493">
        <w:rPr>
          <w:rFonts w:ascii="Times New Roman" w:hAnsi="Times New Roman"/>
          <w:b/>
          <w:sz w:val="22"/>
        </w:rPr>
        <w:t>(2)</w:t>
      </w:r>
      <w:r w:rsidR="00755A63" w:rsidRPr="00104493">
        <w:rPr>
          <w:rFonts w:ascii="Times New Roman" w:hAnsi="Times New Roman"/>
          <w:b/>
          <w:sz w:val="22"/>
        </w:rPr>
        <w:t xml:space="preserve">, </w:t>
      </w:r>
      <w:r w:rsidR="009D12BF" w:rsidRPr="00104493">
        <w:rPr>
          <w:rFonts w:ascii="Times New Roman" w:hAnsi="Times New Roman"/>
          <w:b/>
          <w:sz w:val="22"/>
        </w:rPr>
        <w:t>(3)</w:t>
      </w:r>
      <w:r w:rsidR="00755A63" w:rsidRPr="00104493">
        <w:rPr>
          <w:rFonts w:ascii="Times New Roman" w:hAnsi="Times New Roman"/>
          <w:b/>
          <w:sz w:val="22"/>
        </w:rPr>
        <w:t xml:space="preserve">, </w:t>
      </w:r>
      <w:r w:rsidR="009D12BF" w:rsidRPr="00104493">
        <w:rPr>
          <w:rFonts w:ascii="Times New Roman" w:hAnsi="Times New Roman"/>
          <w:b/>
          <w:sz w:val="22"/>
        </w:rPr>
        <w:t>(6)</w:t>
      </w:r>
      <w:r w:rsidR="00755A63" w:rsidRPr="00104493">
        <w:rPr>
          <w:rFonts w:ascii="Times New Roman" w:hAnsi="Times New Roman"/>
          <w:b/>
          <w:sz w:val="22"/>
        </w:rPr>
        <w:t xml:space="preserve">, </w:t>
      </w:r>
      <w:r w:rsidR="009D12BF" w:rsidRPr="00104493">
        <w:rPr>
          <w:rFonts w:ascii="Times New Roman" w:hAnsi="Times New Roman"/>
          <w:b/>
          <w:sz w:val="22"/>
        </w:rPr>
        <w:t>(7)</w:t>
      </w:r>
      <w:r w:rsidR="00755A63" w:rsidRPr="00104493">
        <w:rPr>
          <w:rFonts w:ascii="Times New Roman" w:hAnsi="Times New Roman"/>
          <w:b/>
          <w:sz w:val="22"/>
        </w:rPr>
        <w:t xml:space="preserve">, </w:t>
      </w:r>
      <w:r w:rsidR="009D12BF" w:rsidRPr="00104493">
        <w:rPr>
          <w:rFonts w:ascii="Times New Roman" w:hAnsi="Times New Roman"/>
          <w:b/>
          <w:sz w:val="22"/>
        </w:rPr>
        <w:t>(9) and (10):</w:t>
      </w:r>
    </w:p>
    <w:p w14:paraId="2FEC4A4C"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“his” (wherever occurring)</w:t>
      </w:r>
      <w:r w:rsidR="00755A63" w:rsidRPr="00104493">
        <w:rPr>
          <w:rFonts w:ascii="Times New Roman" w:hAnsi="Times New Roman"/>
          <w:sz w:val="22"/>
        </w:rPr>
        <w:t xml:space="preserve">, </w:t>
      </w:r>
      <w:r w:rsidRPr="00104493">
        <w:rPr>
          <w:rFonts w:ascii="Times New Roman" w:hAnsi="Times New Roman"/>
          <w:sz w:val="22"/>
        </w:rPr>
        <w:t>substitute “his or her”.</w:t>
      </w:r>
    </w:p>
    <w:p w14:paraId="16EB0813"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12.</w:t>
      </w:r>
      <w:r w:rsidR="00B875DA" w:rsidRPr="00104493">
        <w:rPr>
          <w:rFonts w:ascii="Times New Roman" w:hAnsi="Times New Roman"/>
          <w:b/>
          <w:sz w:val="22"/>
        </w:rPr>
        <w:t xml:space="preserve"> </w:t>
      </w:r>
      <w:r w:rsidR="009D12BF" w:rsidRPr="00104493">
        <w:rPr>
          <w:rFonts w:ascii="Times New Roman" w:hAnsi="Times New Roman"/>
          <w:b/>
          <w:sz w:val="22"/>
        </w:rPr>
        <w:t>Subsections 130(1)</w:t>
      </w:r>
      <w:r w:rsidR="00755A63" w:rsidRPr="00104493">
        <w:rPr>
          <w:rFonts w:ascii="Times New Roman" w:hAnsi="Times New Roman"/>
          <w:b/>
          <w:sz w:val="22"/>
        </w:rPr>
        <w:t xml:space="preserve">, </w:t>
      </w:r>
      <w:r w:rsidR="009D12BF" w:rsidRPr="00104493">
        <w:rPr>
          <w:rFonts w:ascii="Times New Roman" w:hAnsi="Times New Roman"/>
          <w:b/>
          <w:sz w:val="22"/>
        </w:rPr>
        <w:t>(4)</w:t>
      </w:r>
      <w:r w:rsidR="00755A63" w:rsidRPr="00104493">
        <w:rPr>
          <w:rFonts w:ascii="Times New Roman" w:hAnsi="Times New Roman"/>
          <w:b/>
          <w:sz w:val="22"/>
        </w:rPr>
        <w:t xml:space="preserve">, </w:t>
      </w:r>
      <w:r w:rsidR="009D12BF" w:rsidRPr="00104493">
        <w:rPr>
          <w:rFonts w:ascii="Times New Roman" w:hAnsi="Times New Roman"/>
          <w:b/>
          <w:sz w:val="22"/>
        </w:rPr>
        <w:t>(7)</w:t>
      </w:r>
      <w:r w:rsidR="00755A63" w:rsidRPr="00104493">
        <w:rPr>
          <w:rFonts w:ascii="Times New Roman" w:hAnsi="Times New Roman"/>
          <w:b/>
          <w:sz w:val="22"/>
        </w:rPr>
        <w:t xml:space="preserve">, </w:t>
      </w:r>
      <w:r w:rsidR="009D12BF" w:rsidRPr="00104493">
        <w:rPr>
          <w:rFonts w:ascii="Times New Roman" w:hAnsi="Times New Roman"/>
          <w:b/>
          <w:sz w:val="22"/>
        </w:rPr>
        <w:t>(8) and (9):</w:t>
      </w:r>
    </w:p>
    <w:p w14:paraId="51A178CC"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“he” (wherever occurring)</w:t>
      </w:r>
      <w:r w:rsidR="00755A63" w:rsidRPr="00104493">
        <w:rPr>
          <w:rFonts w:ascii="Times New Roman" w:hAnsi="Times New Roman"/>
          <w:sz w:val="22"/>
        </w:rPr>
        <w:t xml:space="preserve">, </w:t>
      </w:r>
      <w:r w:rsidRPr="00104493">
        <w:rPr>
          <w:rFonts w:ascii="Times New Roman" w:hAnsi="Times New Roman"/>
          <w:sz w:val="22"/>
        </w:rPr>
        <w:t>substitute “he or she”.</w:t>
      </w:r>
    </w:p>
    <w:p w14:paraId="3AA41748"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13.</w:t>
      </w:r>
      <w:r w:rsidR="00B875DA" w:rsidRPr="00104493">
        <w:rPr>
          <w:rFonts w:ascii="Times New Roman" w:hAnsi="Times New Roman"/>
          <w:b/>
          <w:sz w:val="22"/>
        </w:rPr>
        <w:t xml:space="preserve"> </w:t>
      </w:r>
      <w:r w:rsidR="009D12BF" w:rsidRPr="00104493">
        <w:rPr>
          <w:rFonts w:ascii="Times New Roman" w:hAnsi="Times New Roman"/>
          <w:b/>
          <w:sz w:val="22"/>
        </w:rPr>
        <w:t>Subsection 130(1):</w:t>
      </w:r>
    </w:p>
    <w:p w14:paraId="441DF195"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“him”</w:t>
      </w:r>
      <w:r w:rsidR="00755A63" w:rsidRPr="00104493">
        <w:rPr>
          <w:rFonts w:ascii="Times New Roman" w:hAnsi="Times New Roman"/>
          <w:sz w:val="22"/>
        </w:rPr>
        <w:t xml:space="preserve">, </w:t>
      </w:r>
      <w:r w:rsidRPr="00104493">
        <w:rPr>
          <w:rFonts w:ascii="Times New Roman" w:hAnsi="Times New Roman"/>
          <w:sz w:val="22"/>
        </w:rPr>
        <w:t>substitute “him or her”.</w:t>
      </w:r>
    </w:p>
    <w:p w14:paraId="4BC9C575" w14:textId="77777777" w:rsidR="003D68DD" w:rsidRPr="00104493" w:rsidRDefault="00070A05" w:rsidP="00104493">
      <w:pPr>
        <w:tabs>
          <w:tab w:val="left" w:pos="405"/>
        </w:tabs>
        <w:spacing w:before="120"/>
        <w:jc w:val="both"/>
        <w:rPr>
          <w:rFonts w:ascii="Times New Roman" w:hAnsi="Times New Roman"/>
          <w:b/>
          <w:sz w:val="22"/>
        </w:rPr>
      </w:pPr>
      <w:r w:rsidRPr="00104493">
        <w:rPr>
          <w:rFonts w:ascii="Times New Roman" w:hAnsi="Times New Roman"/>
          <w:b/>
          <w:sz w:val="22"/>
        </w:rPr>
        <w:t>14.</w:t>
      </w:r>
      <w:r w:rsidR="00B875DA" w:rsidRPr="00104493">
        <w:rPr>
          <w:rFonts w:ascii="Times New Roman" w:hAnsi="Times New Roman"/>
          <w:b/>
          <w:sz w:val="22"/>
        </w:rPr>
        <w:t xml:space="preserve"> </w:t>
      </w:r>
      <w:r w:rsidR="009D12BF" w:rsidRPr="00104493">
        <w:rPr>
          <w:rFonts w:ascii="Times New Roman" w:hAnsi="Times New Roman"/>
          <w:b/>
          <w:sz w:val="22"/>
        </w:rPr>
        <w:t>After paragraph 130(7)(b):</w:t>
      </w:r>
    </w:p>
    <w:p w14:paraId="16A8FBAA"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Insert:</w:t>
      </w:r>
    </w:p>
    <w:p w14:paraId="6BCB5A48" w14:textId="015F2FD6" w:rsidR="003D68DD" w:rsidRPr="00104493" w:rsidRDefault="009D12BF" w:rsidP="00104493">
      <w:pPr>
        <w:spacing w:before="120"/>
        <w:ind w:firstLine="270"/>
        <w:jc w:val="both"/>
        <w:rPr>
          <w:rFonts w:ascii="Times New Roman" w:hAnsi="Times New Roman"/>
          <w:i/>
          <w:sz w:val="22"/>
        </w:rPr>
      </w:pPr>
      <w:r w:rsidRPr="00104493">
        <w:rPr>
          <w:rFonts w:ascii="Times New Roman" w:hAnsi="Times New Roman"/>
          <w:sz w:val="22"/>
        </w:rPr>
        <w:t xml:space="preserve">“(ba) the administration of the </w:t>
      </w:r>
      <w:r w:rsidRPr="00104493">
        <w:rPr>
          <w:rFonts w:ascii="Times New Roman" w:hAnsi="Times New Roman"/>
          <w:i/>
          <w:sz w:val="22"/>
        </w:rPr>
        <w:t>Migration Act 1958</w:t>
      </w:r>
      <w:r w:rsidR="00D46E8E">
        <w:rPr>
          <w:rFonts w:ascii="Times New Roman" w:hAnsi="Times New Roman"/>
          <w:i/>
          <w:sz w:val="22"/>
        </w:rPr>
        <w:t>;”.</w:t>
      </w:r>
    </w:p>
    <w:p w14:paraId="73537ED4" w14:textId="77777777" w:rsidR="003D68DD" w:rsidRPr="00104493" w:rsidRDefault="00070A05" w:rsidP="00104493">
      <w:pPr>
        <w:tabs>
          <w:tab w:val="left" w:pos="405"/>
        </w:tabs>
        <w:spacing w:before="120"/>
        <w:jc w:val="both"/>
        <w:rPr>
          <w:rFonts w:ascii="Times New Roman" w:hAnsi="Times New Roman"/>
          <w:b/>
          <w:sz w:val="22"/>
        </w:rPr>
      </w:pPr>
      <w:r w:rsidRPr="00104493">
        <w:rPr>
          <w:rFonts w:ascii="Times New Roman" w:hAnsi="Times New Roman"/>
          <w:b/>
          <w:sz w:val="22"/>
        </w:rPr>
        <w:t>15.</w:t>
      </w:r>
      <w:r w:rsidR="00B875DA" w:rsidRPr="00104493">
        <w:rPr>
          <w:rFonts w:ascii="Times New Roman" w:hAnsi="Times New Roman"/>
          <w:b/>
          <w:sz w:val="22"/>
        </w:rPr>
        <w:t xml:space="preserve"> </w:t>
      </w:r>
      <w:r w:rsidR="009D12BF" w:rsidRPr="00104493">
        <w:rPr>
          <w:rFonts w:ascii="Times New Roman" w:hAnsi="Times New Roman"/>
          <w:b/>
          <w:sz w:val="22"/>
        </w:rPr>
        <w:t>After paragraph 130(7)(f):</w:t>
      </w:r>
    </w:p>
    <w:p w14:paraId="653582D3"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Insert:</w:t>
      </w:r>
    </w:p>
    <w:p w14:paraId="50E8C393" w14:textId="77777777" w:rsidR="003D68DD" w:rsidRPr="00104493" w:rsidRDefault="009D12BF" w:rsidP="00104493">
      <w:pPr>
        <w:spacing w:before="120"/>
        <w:ind w:left="792" w:hanging="522"/>
        <w:jc w:val="both"/>
        <w:rPr>
          <w:rFonts w:ascii="Times New Roman" w:hAnsi="Times New Roman"/>
          <w:sz w:val="22"/>
        </w:rPr>
      </w:pPr>
      <w:r w:rsidRPr="00104493">
        <w:rPr>
          <w:rFonts w:ascii="Times New Roman" w:hAnsi="Times New Roman"/>
          <w:sz w:val="22"/>
        </w:rPr>
        <w:t>“(fa) if the certificate specifies a purpose of the kind referred to in paragraph (ba)—to the Secretary to the Department of Immigration and Ethnic Affairs;”.</w:t>
      </w:r>
    </w:p>
    <w:p w14:paraId="0CA3BFF6" w14:textId="77777777" w:rsidR="003D68DD" w:rsidRPr="00104493" w:rsidRDefault="00070A05" w:rsidP="00104493">
      <w:pPr>
        <w:tabs>
          <w:tab w:val="left" w:pos="405"/>
        </w:tabs>
        <w:spacing w:before="120"/>
        <w:jc w:val="both"/>
        <w:rPr>
          <w:rFonts w:ascii="Times New Roman" w:hAnsi="Times New Roman"/>
          <w:b/>
          <w:sz w:val="22"/>
        </w:rPr>
      </w:pPr>
      <w:r w:rsidRPr="00104493">
        <w:rPr>
          <w:rFonts w:ascii="Times New Roman" w:hAnsi="Times New Roman"/>
          <w:b/>
          <w:sz w:val="22"/>
        </w:rPr>
        <w:t>16.</w:t>
      </w:r>
      <w:r w:rsidR="00B875DA" w:rsidRPr="00104493">
        <w:rPr>
          <w:rFonts w:ascii="Times New Roman" w:hAnsi="Times New Roman"/>
          <w:b/>
          <w:sz w:val="22"/>
        </w:rPr>
        <w:t xml:space="preserve"> </w:t>
      </w:r>
      <w:r w:rsidR="009D12BF" w:rsidRPr="00104493">
        <w:rPr>
          <w:rFonts w:ascii="Times New Roman" w:hAnsi="Times New Roman"/>
          <w:b/>
          <w:sz w:val="22"/>
        </w:rPr>
        <w:t>After paragraph 130(9)(b):</w:t>
      </w:r>
    </w:p>
    <w:p w14:paraId="010806E1"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Insert:</w:t>
      </w:r>
    </w:p>
    <w:p w14:paraId="2BFC964B" w14:textId="77777777" w:rsidR="003D68DD" w:rsidRPr="00104493" w:rsidRDefault="009D12BF" w:rsidP="00104493">
      <w:pPr>
        <w:spacing w:before="120"/>
        <w:ind w:left="810" w:hanging="540"/>
        <w:jc w:val="both"/>
        <w:rPr>
          <w:rFonts w:ascii="Times New Roman" w:hAnsi="Times New Roman"/>
          <w:sz w:val="22"/>
        </w:rPr>
      </w:pPr>
      <w:r w:rsidRPr="00104493">
        <w:rPr>
          <w:rFonts w:ascii="Times New Roman" w:hAnsi="Times New Roman"/>
          <w:sz w:val="22"/>
        </w:rPr>
        <w:t>“(ba) in the case of the Secretary to the Department of Immigration and Ethnic Affairs or a person or employee under the control of the Secretary—in the performance of his or her duties</w:t>
      </w:r>
      <w:r w:rsidR="00755A63" w:rsidRPr="00104493">
        <w:rPr>
          <w:rFonts w:ascii="Times New Roman" w:hAnsi="Times New Roman"/>
          <w:sz w:val="22"/>
        </w:rPr>
        <w:t xml:space="preserve">, </w:t>
      </w:r>
      <w:r w:rsidRPr="00104493">
        <w:rPr>
          <w:rFonts w:ascii="Times New Roman" w:hAnsi="Times New Roman"/>
          <w:sz w:val="22"/>
        </w:rPr>
        <w:t>or in the exercise of his or her powers or functions</w:t>
      </w:r>
      <w:r w:rsidR="00755A63" w:rsidRPr="00104493">
        <w:rPr>
          <w:rFonts w:ascii="Times New Roman" w:hAnsi="Times New Roman"/>
          <w:sz w:val="22"/>
        </w:rPr>
        <w:t xml:space="preserve">, </w:t>
      </w:r>
      <w:r w:rsidRPr="00104493">
        <w:rPr>
          <w:rFonts w:ascii="Times New Roman" w:hAnsi="Times New Roman"/>
          <w:sz w:val="22"/>
        </w:rPr>
        <w:t xml:space="preserve">under the </w:t>
      </w:r>
      <w:r w:rsidRPr="00104493">
        <w:rPr>
          <w:rFonts w:ascii="Times New Roman" w:hAnsi="Times New Roman"/>
          <w:i/>
          <w:sz w:val="22"/>
        </w:rPr>
        <w:t>Migration Act 1958</w:t>
      </w:r>
      <w:r w:rsidRPr="00104493">
        <w:rPr>
          <w:rFonts w:ascii="Times New Roman" w:hAnsi="Times New Roman"/>
          <w:sz w:val="22"/>
        </w:rPr>
        <w:t>;".</w:t>
      </w:r>
    </w:p>
    <w:p w14:paraId="141E89B3" w14:textId="77777777" w:rsidR="003D68DD" w:rsidRPr="00104493" w:rsidRDefault="009D12BF" w:rsidP="00104493">
      <w:pPr>
        <w:tabs>
          <w:tab w:val="left" w:pos="405"/>
        </w:tabs>
        <w:spacing w:before="120"/>
        <w:jc w:val="both"/>
        <w:rPr>
          <w:rFonts w:ascii="Times New Roman" w:hAnsi="Times New Roman"/>
          <w:b/>
          <w:sz w:val="22"/>
        </w:rPr>
      </w:pPr>
      <w:r w:rsidRPr="00104493">
        <w:rPr>
          <w:rFonts w:ascii="Times New Roman" w:hAnsi="Times New Roman"/>
          <w:b/>
          <w:sz w:val="22"/>
        </w:rPr>
        <w:t>17.</w:t>
      </w:r>
      <w:r w:rsidR="00B875DA" w:rsidRPr="00104493">
        <w:rPr>
          <w:rFonts w:ascii="Times New Roman" w:hAnsi="Times New Roman"/>
          <w:b/>
          <w:sz w:val="22"/>
        </w:rPr>
        <w:t xml:space="preserve"> </w:t>
      </w:r>
      <w:r w:rsidRPr="00104493">
        <w:rPr>
          <w:rFonts w:ascii="Times New Roman" w:hAnsi="Times New Roman"/>
          <w:b/>
          <w:sz w:val="22"/>
        </w:rPr>
        <w:t>Subsection 130(10):</w:t>
      </w:r>
    </w:p>
    <w:p w14:paraId="72955DD2"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After “(b)</w:t>
      </w:r>
      <w:r w:rsidR="00755A63" w:rsidRPr="00104493">
        <w:rPr>
          <w:rFonts w:ascii="Times New Roman" w:hAnsi="Times New Roman"/>
          <w:sz w:val="22"/>
        </w:rPr>
        <w:t xml:space="preserve">, </w:t>
      </w:r>
      <w:r w:rsidRPr="00104493">
        <w:rPr>
          <w:rFonts w:ascii="Times New Roman" w:hAnsi="Times New Roman"/>
          <w:sz w:val="22"/>
        </w:rPr>
        <w:t>” insert “(ba)</w:t>
      </w:r>
      <w:r w:rsidR="00755A63" w:rsidRPr="00104493">
        <w:rPr>
          <w:rFonts w:ascii="Times New Roman" w:hAnsi="Times New Roman"/>
          <w:sz w:val="22"/>
        </w:rPr>
        <w:t xml:space="preserve">, </w:t>
      </w:r>
      <w:r w:rsidRPr="00104493">
        <w:rPr>
          <w:rFonts w:ascii="Times New Roman" w:hAnsi="Times New Roman"/>
          <w:sz w:val="22"/>
        </w:rPr>
        <w:t>”.</w:t>
      </w:r>
    </w:p>
    <w:p w14:paraId="673D35EA" w14:textId="77777777" w:rsidR="003D68DD" w:rsidRPr="00104493" w:rsidRDefault="00070A05" w:rsidP="00104493">
      <w:pPr>
        <w:tabs>
          <w:tab w:val="left" w:pos="405"/>
        </w:tabs>
        <w:spacing w:before="120"/>
        <w:jc w:val="both"/>
        <w:rPr>
          <w:rFonts w:ascii="Times New Roman" w:hAnsi="Times New Roman"/>
          <w:b/>
          <w:sz w:val="22"/>
        </w:rPr>
      </w:pPr>
      <w:r w:rsidRPr="00104493">
        <w:rPr>
          <w:rFonts w:ascii="Times New Roman" w:hAnsi="Times New Roman"/>
          <w:b/>
          <w:sz w:val="22"/>
        </w:rPr>
        <w:t>18.</w:t>
      </w:r>
      <w:r w:rsidR="00B875DA" w:rsidRPr="00104493">
        <w:rPr>
          <w:rFonts w:ascii="Times New Roman" w:hAnsi="Times New Roman"/>
          <w:b/>
          <w:sz w:val="22"/>
        </w:rPr>
        <w:t xml:space="preserve"> </w:t>
      </w:r>
      <w:r w:rsidR="009D12BF" w:rsidRPr="00104493">
        <w:rPr>
          <w:rFonts w:ascii="Times New Roman" w:hAnsi="Times New Roman"/>
          <w:b/>
          <w:sz w:val="22"/>
        </w:rPr>
        <w:t>Transitional</w:t>
      </w:r>
    </w:p>
    <w:p w14:paraId="324A348A"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If:</w:t>
      </w:r>
    </w:p>
    <w:p w14:paraId="63CE6680" w14:textId="77777777" w:rsidR="003D68DD" w:rsidRPr="00104493" w:rsidRDefault="00070A05" w:rsidP="00104493">
      <w:pPr>
        <w:spacing w:before="120"/>
        <w:ind w:left="603" w:hanging="333"/>
        <w:jc w:val="both"/>
        <w:rPr>
          <w:rFonts w:ascii="Times New Roman" w:hAnsi="Times New Roman"/>
          <w:sz w:val="22"/>
        </w:rPr>
      </w:pPr>
      <w:r w:rsidRPr="00104493">
        <w:rPr>
          <w:rFonts w:ascii="Times New Roman" w:hAnsi="Times New Roman"/>
          <w:sz w:val="22"/>
        </w:rPr>
        <w:t>(a)</w:t>
      </w:r>
      <w:r w:rsidR="009D12BF" w:rsidRPr="00104493">
        <w:rPr>
          <w:rFonts w:ascii="Times New Roman" w:hAnsi="Times New Roman"/>
          <w:sz w:val="22"/>
        </w:rPr>
        <w:t xml:space="preserve"> before the commencement of this item</w:t>
      </w:r>
      <w:r w:rsidR="00755A63" w:rsidRPr="00104493">
        <w:rPr>
          <w:rFonts w:ascii="Times New Roman" w:hAnsi="Times New Roman"/>
          <w:sz w:val="22"/>
        </w:rPr>
        <w:t xml:space="preserve">, </w:t>
      </w:r>
      <w:r w:rsidR="009D12BF" w:rsidRPr="00104493">
        <w:rPr>
          <w:rFonts w:ascii="Times New Roman" w:hAnsi="Times New Roman"/>
          <w:sz w:val="22"/>
        </w:rPr>
        <w:t>a person received from the Commonwealth a payment that purported to be a payment of a medicare benefit in respect of an R-type diagnostic imaging service; and</w:t>
      </w:r>
    </w:p>
    <w:p w14:paraId="003F2A93" w14:textId="77777777" w:rsidR="003D68DD" w:rsidRPr="00104493" w:rsidRDefault="00070A05" w:rsidP="00104493">
      <w:pPr>
        <w:spacing w:before="120"/>
        <w:ind w:left="603" w:hanging="333"/>
        <w:jc w:val="both"/>
        <w:rPr>
          <w:rFonts w:ascii="Times New Roman" w:hAnsi="Times New Roman"/>
          <w:sz w:val="22"/>
        </w:rPr>
      </w:pPr>
      <w:r w:rsidRPr="00104493">
        <w:rPr>
          <w:rFonts w:ascii="Times New Roman" w:hAnsi="Times New Roman"/>
          <w:sz w:val="22"/>
        </w:rPr>
        <w:t>(b)</w:t>
      </w:r>
      <w:r w:rsidR="009D12BF" w:rsidRPr="00104493">
        <w:rPr>
          <w:rFonts w:ascii="Times New Roman" w:hAnsi="Times New Roman"/>
          <w:sz w:val="22"/>
        </w:rPr>
        <w:t xml:space="preserve"> the providing practitioner was a consultant physician; and</w:t>
      </w:r>
    </w:p>
    <w:p w14:paraId="1250F65D" w14:textId="77777777" w:rsidR="003D68DD" w:rsidRPr="00104493" w:rsidRDefault="00070A05" w:rsidP="00104493">
      <w:pPr>
        <w:spacing w:before="120"/>
        <w:ind w:left="603" w:hanging="333"/>
        <w:jc w:val="both"/>
        <w:rPr>
          <w:rFonts w:ascii="Times New Roman" w:hAnsi="Times New Roman"/>
          <w:sz w:val="22"/>
        </w:rPr>
      </w:pPr>
      <w:r w:rsidRPr="00104493">
        <w:rPr>
          <w:rFonts w:ascii="Times New Roman" w:hAnsi="Times New Roman"/>
          <w:sz w:val="22"/>
        </w:rPr>
        <w:t>(c)</w:t>
      </w:r>
      <w:r w:rsidR="009D12BF" w:rsidRPr="00104493">
        <w:rPr>
          <w:rFonts w:ascii="Times New Roman" w:hAnsi="Times New Roman"/>
          <w:sz w:val="22"/>
        </w:rPr>
        <w:t xml:space="preserve"> had subsections 16B(1) and 16B(6) of the </w:t>
      </w:r>
      <w:r w:rsidR="009D12BF" w:rsidRPr="00104493">
        <w:rPr>
          <w:rFonts w:ascii="Times New Roman" w:hAnsi="Times New Roman"/>
          <w:i/>
          <w:sz w:val="22"/>
        </w:rPr>
        <w:t>Health Insurance Act 1973</w:t>
      </w:r>
      <w:r w:rsidR="00755A63" w:rsidRPr="00104493">
        <w:rPr>
          <w:rFonts w:ascii="Times New Roman" w:hAnsi="Times New Roman"/>
          <w:sz w:val="22"/>
        </w:rPr>
        <w:t xml:space="preserve">, </w:t>
      </w:r>
      <w:r w:rsidR="009D12BF" w:rsidRPr="00104493">
        <w:rPr>
          <w:rFonts w:ascii="Times New Roman" w:hAnsi="Times New Roman"/>
          <w:sz w:val="22"/>
        </w:rPr>
        <w:t>as amended by this Act</w:t>
      </w:r>
      <w:r w:rsidR="00755A63" w:rsidRPr="00104493">
        <w:rPr>
          <w:rFonts w:ascii="Times New Roman" w:hAnsi="Times New Roman"/>
          <w:sz w:val="22"/>
        </w:rPr>
        <w:t xml:space="preserve">, </w:t>
      </w:r>
      <w:r w:rsidR="009D12BF" w:rsidRPr="00104493">
        <w:rPr>
          <w:rFonts w:ascii="Times New Roman" w:hAnsi="Times New Roman"/>
          <w:sz w:val="22"/>
        </w:rPr>
        <w:t>been in force when the payment was made</w:t>
      </w:r>
      <w:r w:rsidR="00755A63" w:rsidRPr="00104493">
        <w:rPr>
          <w:rFonts w:ascii="Times New Roman" w:hAnsi="Times New Roman"/>
          <w:sz w:val="22"/>
        </w:rPr>
        <w:t xml:space="preserve">, </w:t>
      </w:r>
      <w:r w:rsidR="009D12BF" w:rsidRPr="00104493">
        <w:rPr>
          <w:rFonts w:ascii="Times New Roman" w:hAnsi="Times New Roman"/>
          <w:sz w:val="22"/>
        </w:rPr>
        <w:t>it would have been a valid payment of medicare benefit in respect of the service;</w:t>
      </w:r>
    </w:p>
    <w:p w14:paraId="470800AA" w14:textId="77777777" w:rsidR="003D68DD" w:rsidRPr="00104493" w:rsidRDefault="009D12BF" w:rsidP="00104493">
      <w:pPr>
        <w:spacing w:before="120"/>
        <w:jc w:val="both"/>
        <w:rPr>
          <w:rFonts w:ascii="Times New Roman" w:hAnsi="Times New Roman"/>
          <w:sz w:val="22"/>
        </w:rPr>
      </w:pPr>
      <w:r w:rsidRPr="00104493">
        <w:rPr>
          <w:rFonts w:ascii="Times New Roman" w:hAnsi="Times New Roman"/>
          <w:sz w:val="22"/>
        </w:rPr>
        <w:t>any right of the Commonwealth to recover the payment is</w:t>
      </w:r>
      <w:r w:rsidR="00755A63" w:rsidRPr="00104493">
        <w:rPr>
          <w:rFonts w:ascii="Times New Roman" w:hAnsi="Times New Roman"/>
          <w:sz w:val="22"/>
        </w:rPr>
        <w:t xml:space="preserve">, </w:t>
      </w:r>
      <w:r w:rsidRPr="00104493">
        <w:rPr>
          <w:rFonts w:ascii="Times New Roman" w:hAnsi="Times New Roman"/>
          <w:sz w:val="22"/>
        </w:rPr>
        <w:t>by force of this item</w:t>
      </w:r>
      <w:r w:rsidR="00755A63" w:rsidRPr="00104493">
        <w:rPr>
          <w:rFonts w:ascii="Times New Roman" w:hAnsi="Times New Roman"/>
          <w:sz w:val="22"/>
        </w:rPr>
        <w:t xml:space="preserve">, </w:t>
      </w:r>
      <w:r w:rsidRPr="00104493">
        <w:rPr>
          <w:rFonts w:ascii="Times New Roman" w:hAnsi="Times New Roman"/>
          <w:sz w:val="22"/>
        </w:rPr>
        <w:t>extinguished.</w:t>
      </w:r>
    </w:p>
    <w:p w14:paraId="190E486B" w14:textId="77777777" w:rsidR="00070A05" w:rsidRPr="00104493" w:rsidRDefault="00070A05" w:rsidP="00104493">
      <w:pPr>
        <w:rPr>
          <w:rFonts w:ascii="Times New Roman" w:hAnsi="Times New Roman"/>
          <w:sz w:val="22"/>
        </w:rPr>
      </w:pPr>
      <w:r w:rsidRPr="00104493">
        <w:rPr>
          <w:rFonts w:ascii="Times New Roman" w:hAnsi="Times New Roman"/>
          <w:sz w:val="22"/>
        </w:rPr>
        <w:br w:type="page"/>
      </w:r>
    </w:p>
    <w:p w14:paraId="53FCE193" w14:textId="77777777" w:rsidR="00070A05" w:rsidRPr="00104493" w:rsidRDefault="009D12BF" w:rsidP="00104493">
      <w:pPr>
        <w:spacing w:before="120"/>
        <w:jc w:val="center"/>
        <w:rPr>
          <w:rFonts w:ascii="Times New Roman" w:hAnsi="Times New Roman"/>
          <w:sz w:val="22"/>
        </w:rPr>
      </w:pPr>
      <w:r w:rsidRPr="00104493">
        <w:rPr>
          <w:rFonts w:ascii="Times New Roman" w:hAnsi="Times New Roman"/>
          <w:b/>
          <w:sz w:val="22"/>
        </w:rPr>
        <w:lastRenderedPageBreak/>
        <w:t>SCHEDULE</w:t>
      </w:r>
      <w:r w:rsidRPr="00104493">
        <w:rPr>
          <w:rFonts w:ascii="Times New Roman" w:hAnsi="Times New Roman"/>
          <w:sz w:val="22"/>
        </w:rPr>
        <w:t>—continued</w:t>
      </w:r>
    </w:p>
    <w:p w14:paraId="2766A0CA" w14:textId="77777777" w:rsidR="003D68DD" w:rsidRPr="00104493" w:rsidRDefault="009D12BF" w:rsidP="00104493">
      <w:pPr>
        <w:spacing w:before="120"/>
        <w:jc w:val="center"/>
        <w:rPr>
          <w:rFonts w:ascii="Times New Roman" w:hAnsi="Times New Roman"/>
          <w:b/>
          <w:i/>
          <w:sz w:val="22"/>
        </w:rPr>
      </w:pPr>
      <w:r w:rsidRPr="00104493">
        <w:rPr>
          <w:rFonts w:ascii="Times New Roman" w:hAnsi="Times New Roman"/>
          <w:b/>
          <w:i/>
          <w:sz w:val="22"/>
        </w:rPr>
        <w:t>National Health Act 1953</w:t>
      </w:r>
    </w:p>
    <w:p w14:paraId="27333DCD"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19.</w:t>
      </w:r>
      <w:r w:rsidR="00755A63" w:rsidRPr="00104493">
        <w:rPr>
          <w:rFonts w:ascii="Times New Roman" w:hAnsi="Times New Roman"/>
          <w:b/>
          <w:sz w:val="22"/>
        </w:rPr>
        <w:t xml:space="preserve"> </w:t>
      </w:r>
      <w:r w:rsidR="009D12BF" w:rsidRPr="00104493">
        <w:rPr>
          <w:rFonts w:ascii="Times New Roman" w:hAnsi="Times New Roman"/>
          <w:b/>
          <w:sz w:val="22"/>
        </w:rPr>
        <w:t>Subsection 84C(1AA):</w:t>
      </w:r>
    </w:p>
    <w:p w14:paraId="73D6A1D5"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“$400” (wherever occurring)</w:t>
      </w:r>
      <w:r w:rsidR="00755A63" w:rsidRPr="00104493">
        <w:rPr>
          <w:rFonts w:ascii="Times New Roman" w:hAnsi="Times New Roman"/>
          <w:sz w:val="22"/>
        </w:rPr>
        <w:t xml:space="preserve">, </w:t>
      </w:r>
      <w:r w:rsidRPr="00104493">
        <w:rPr>
          <w:rFonts w:ascii="Times New Roman" w:hAnsi="Times New Roman"/>
          <w:sz w:val="22"/>
        </w:rPr>
        <w:t>substitute “$600”.</w:t>
      </w:r>
      <w:bookmarkStart w:id="6" w:name="_GoBack"/>
      <w:bookmarkEnd w:id="6"/>
    </w:p>
    <w:p w14:paraId="0C0B69B5"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20.</w:t>
      </w:r>
      <w:r w:rsidR="00755A63" w:rsidRPr="00104493">
        <w:rPr>
          <w:rFonts w:ascii="Times New Roman" w:hAnsi="Times New Roman"/>
          <w:b/>
          <w:sz w:val="22"/>
        </w:rPr>
        <w:t xml:space="preserve"> </w:t>
      </w:r>
      <w:r w:rsidR="009D12BF" w:rsidRPr="00104493">
        <w:rPr>
          <w:rFonts w:ascii="Times New Roman" w:hAnsi="Times New Roman"/>
          <w:b/>
          <w:sz w:val="22"/>
        </w:rPr>
        <w:t>Subsection 84C(1AA) (note):</w:t>
      </w:r>
    </w:p>
    <w:p w14:paraId="2CE30C03"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“$400”</w:t>
      </w:r>
      <w:r w:rsidR="00755A63" w:rsidRPr="00104493">
        <w:rPr>
          <w:rFonts w:ascii="Times New Roman" w:hAnsi="Times New Roman"/>
          <w:sz w:val="22"/>
        </w:rPr>
        <w:t xml:space="preserve">, </w:t>
      </w:r>
      <w:r w:rsidRPr="00104493">
        <w:rPr>
          <w:rFonts w:ascii="Times New Roman" w:hAnsi="Times New Roman"/>
          <w:sz w:val="22"/>
        </w:rPr>
        <w:t>substitute “$600”.</w:t>
      </w:r>
    </w:p>
    <w:p w14:paraId="1D509EF7"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21.</w:t>
      </w:r>
      <w:r w:rsidR="00755A63" w:rsidRPr="00104493">
        <w:rPr>
          <w:rFonts w:ascii="Times New Roman" w:hAnsi="Times New Roman"/>
          <w:b/>
          <w:sz w:val="22"/>
        </w:rPr>
        <w:t xml:space="preserve"> </w:t>
      </w:r>
      <w:r w:rsidR="009D12BF" w:rsidRPr="00104493">
        <w:rPr>
          <w:rFonts w:ascii="Times New Roman" w:hAnsi="Times New Roman"/>
          <w:b/>
          <w:sz w:val="22"/>
        </w:rPr>
        <w:t>Paragraphs 87(2)(b) and (c):</w:t>
      </w:r>
    </w:p>
    <w:p w14:paraId="38EF3555"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“$400”</w:t>
      </w:r>
      <w:r w:rsidR="00755A63" w:rsidRPr="00104493">
        <w:rPr>
          <w:rFonts w:ascii="Times New Roman" w:hAnsi="Times New Roman"/>
          <w:sz w:val="22"/>
        </w:rPr>
        <w:t xml:space="preserve">, </w:t>
      </w:r>
      <w:r w:rsidRPr="00104493">
        <w:rPr>
          <w:rFonts w:ascii="Times New Roman" w:hAnsi="Times New Roman"/>
          <w:sz w:val="22"/>
        </w:rPr>
        <w:t>substitute “$600”.</w:t>
      </w:r>
    </w:p>
    <w:p w14:paraId="4BDDE248"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22.</w:t>
      </w:r>
      <w:r w:rsidR="00755A63" w:rsidRPr="00104493">
        <w:rPr>
          <w:rFonts w:ascii="Times New Roman" w:hAnsi="Times New Roman"/>
          <w:b/>
          <w:sz w:val="22"/>
        </w:rPr>
        <w:t xml:space="preserve"> </w:t>
      </w:r>
      <w:r w:rsidR="009D12BF" w:rsidRPr="00104493">
        <w:rPr>
          <w:rFonts w:ascii="Times New Roman" w:hAnsi="Times New Roman"/>
          <w:b/>
          <w:sz w:val="22"/>
        </w:rPr>
        <w:t>Subsection 87(2) (note):</w:t>
      </w:r>
    </w:p>
    <w:p w14:paraId="1A3ECD49"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“$400”</w:t>
      </w:r>
      <w:r w:rsidR="00755A63" w:rsidRPr="00104493">
        <w:rPr>
          <w:rFonts w:ascii="Times New Roman" w:hAnsi="Times New Roman"/>
          <w:sz w:val="22"/>
        </w:rPr>
        <w:t xml:space="preserve">, </w:t>
      </w:r>
      <w:r w:rsidRPr="00104493">
        <w:rPr>
          <w:rFonts w:ascii="Times New Roman" w:hAnsi="Times New Roman"/>
          <w:sz w:val="22"/>
        </w:rPr>
        <w:t>substitute “$600”.</w:t>
      </w:r>
    </w:p>
    <w:p w14:paraId="765616EC"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23.</w:t>
      </w:r>
      <w:r w:rsidR="00755A63" w:rsidRPr="00104493">
        <w:rPr>
          <w:rFonts w:ascii="Times New Roman" w:hAnsi="Times New Roman"/>
          <w:b/>
          <w:sz w:val="22"/>
        </w:rPr>
        <w:t xml:space="preserve"> </w:t>
      </w:r>
      <w:r w:rsidR="009D12BF" w:rsidRPr="00104493">
        <w:rPr>
          <w:rFonts w:ascii="Times New Roman" w:hAnsi="Times New Roman"/>
          <w:b/>
          <w:sz w:val="22"/>
        </w:rPr>
        <w:t>Section 99F (definition of general patient safety net):</w:t>
      </w:r>
    </w:p>
    <w:p w14:paraId="5FBA5EC8"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“$400”</w:t>
      </w:r>
      <w:r w:rsidR="00755A63" w:rsidRPr="00104493">
        <w:rPr>
          <w:rFonts w:ascii="Times New Roman" w:hAnsi="Times New Roman"/>
          <w:sz w:val="22"/>
        </w:rPr>
        <w:t xml:space="preserve">, </w:t>
      </w:r>
      <w:r w:rsidRPr="00104493">
        <w:rPr>
          <w:rFonts w:ascii="Times New Roman" w:hAnsi="Times New Roman"/>
          <w:sz w:val="22"/>
        </w:rPr>
        <w:t>substitute “$600”.</w:t>
      </w:r>
    </w:p>
    <w:p w14:paraId="0BD31306"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24.</w:t>
      </w:r>
      <w:r w:rsidR="00755A63" w:rsidRPr="00104493">
        <w:rPr>
          <w:rFonts w:ascii="Times New Roman" w:hAnsi="Times New Roman"/>
          <w:b/>
          <w:sz w:val="22"/>
        </w:rPr>
        <w:t xml:space="preserve"> </w:t>
      </w:r>
      <w:r w:rsidR="009D12BF" w:rsidRPr="00104493">
        <w:rPr>
          <w:rFonts w:ascii="Times New Roman" w:hAnsi="Times New Roman"/>
          <w:b/>
          <w:sz w:val="22"/>
        </w:rPr>
        <w:t>Subsection 99G(1A):</w:t>
      </w:r>
    </w:p>
    <w:p w14:paraId="3B8D8407"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the subsection</w:t>
      </w:r>
      <w:r w:rsidR="00755A63" w:rsidRPr="00104493">
        <w:rPr>
          <w:rFonts w:ascii="Times New Roman" w:hAnsi="Times New Roman"/>
          <w:sz w:val="22"/>
        </w:rPr>
        <w:t xml:space="preserve">, </w:t>
      </w:r>
      <w:r w:rsidRPr="00104493">
        <w:rPr>
          <w:rFonts w:ascii="Times New Roman" w:hAnsi="Times New Roman"/>
          <w:sz w:val="22"/>
        </w:rPr>
        <w:t>substitute:</w:t>
      </w:r>
    </w:p>
    <w:p w14:paraId="3F0ED8E2"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“(1A) The general patient safety net is not to be indexed in 1996.”.</w:t>
      </w:r>
    </w:p>
    <w:p w14:paraId="37A335DC" w14:textId="77777777" w:rsidR="003D68DD" w:rsidRPr="00104493" w:rsidRDefault="00070A05" w:rsidP="00104493">
      <w:pPr>
        <w:spacing w:before="120"/>
        <w:jc w:val="both"/>
        <w:rPr>
          <w:rFonts w:ascii="Times New Roman" w:hAnsi="Times New Roman"/>
          <w:b/>
          <w:sz w:val="22"/>
        </w:rPr>
      </w:pPr>
      <w:r w:rsidRPr="00104493">
        <w:rPr>
          <w:rFonts w:ascii="Times New Roman" w:hAnsi="Times New Roman"/>
          <w:b/>
          <w:sz w:val="22"/>
        </w:rPr>
        <w:t>25.</w:t>
      </w:r>
      <w:r w:rsidR="00755A63" w:rsidRPr="00104493">
        <w:rPr>
          <w:rFonts w:ascii="Times New Roman" w:hAnsi="Times New Roman"/>
          <w:b/>
          <w:sz w:val="22"/>
        </w:rPr>
        <w:t xml:space="preserve"> </w:t>
      </w:r>
      <w:r w:rsidR="009D12BF" w:rsidRPr="00104493">
        <w:rPr>
          <w:rFonts w:ascii="Times New Roman" w:hAnsi="Times New Roman"/>
          <w:b/>
          <w:sz w:val="22"/>
        </w:rPr>
        <w:t>Subsection 99G(3A):</w:t>
      </w:r>
    </w:p>
    <w:p w14:paraId="0B561802"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Omit the subsection</w:t>
      </w:r>
      <w:r w:rsidR="00755A63" w:rsidRPr="00104493">
        <w:rPr>
          <w:rFonts w:ascii="Times New Roman" w:hAnsi="Times New Roman"/>
          <w:sz w:val="22"/>
        </w:rPr>
        <w:t xml:space="preserve">, </w:t>
      </w:r>
      <w:r w:rsidRPr="00104493">
        <w:rPr>
          <w:rFonts w:ascii="Times New Roman" w:hAnsi="Times New Roman"/>
          <w:sz w:val="22"/>
        </w:rPr>
        <w:t>substitute:</w:t>
      </w:r>
    </w:p>
    <w:p w14:paraId="00E3CB77" w14:textId="77777777" w:rsidR="003D68DD" w:rsidRPr="00104493" w:rsidRDefault="009D12BF" w:rsidP="00104493">
      <w:pPr>
        <w:spacing w:before="120"/>
        <w:ind w:firstLine="270"/>
        <w:jc w:val="both"/>
        <w:rPr>
          <w:rFonts w:ascii="Times New Roman" w:hAnsi="Times New Roman"/>
          <w:sz w:val="22"/>
        </w:rPr>
      </w:pPr>
      <w:r w:rsidRPr="00104493">
        <w:rPr>
          <w:rFonts w:ascii="Times New Roman" w:hAnsi="Times New Roman"/>
          <w:sz w:val="22"/>
        </w:rPr>
        <w:t xml:space="preserve">“(3A) For the purposes of the definition of </w:t>
      </w:r>
      <w:r w:rsidRPr="00104493">
        <w:rPr>
          <w:rFonts w:ascii="Times New Roman" w:hAnsi="Times New Roman"/>
          <w:b/>
          <w:i/>
          <w:sz w:val="22"/>
        </w:rPr>
        <w:t>Current figure</w:t>
      </w:r>
      <w:r w:rsidRPr="00104493">
        <w:rPr>
          <w:rFonts w:ascii="Times New Roman" w:hAnsi="Times New Roman"/>
          <w:sz w:val="22"/>
        </w:rPr>
        <w:t xml:space="preserve"> in subsection (3)</w:t>
      </w:r>
      <w:r w:rsidR="00755A63" w:rsidRPr="00104493">
        <w:rPr>
          <w:rFonts w:ascii="Times New Roman" w:hAnsi="Times New Roman"/>
          <w:sz w:val="22"/>
        </w:rPr>
        <w:t xml:space="preserve">, </w:t>
      </w:r>
      <w:r w:rsidRPr="00104493">
        <w:rPr>
          <w:rFonts w:ascii="Times New Roman" w:hAnsi="Times New Roman"/>
          <w:sz w:val="22"/>
        </w:rPr>
        <w:t>the general patient safety net is not taken to have been indexed on or before 1 Janua</w:t>
      </w:r>
      <w:r w:rsidR="003F108E">
        <w:rPr>
          <w:rFonts w:ascii="Times New Roman" w:hAnsi="Times New Roman"/>
          <w:sz w:val="22"/>
        </w:rPr>
        <w:t>ry 1996.”.</w:t>
      </w:r>
    </w:p>
    <w:p w14:paraId="3E013353" w14:textId="77777777" w:rsidR="003D68DD" w:rsidRPr="00D46E8E" w:rsidRDefault="00D46E8E" w:rsidP="00D46E8E">
      <w:pPr>
        <w:spacing w:before="200"/>
        <w:jc w:val="both"/>
        <w:rPr>
          <w:rFonts w:ascii="Times New Roman" w:hAnsi="Times New Roman"/>
          <w:i/>
          <w:sz w:val="20"/>
          <w:szCs w:val="20"/>
        </w:rPr>
      </w:pPr>
      <w:r w:rsidRPr="00D46E8E">
        <w:rPr>
          <w:rFonts w:ascii="Times New Roman" w:hAnsi="Times New Roman"/>
          <w:noProof/>
          <w:sz w:val="20"/>
          <w:szCs w:val="20"/>
          <w:lang w:val="en-IN"/>
        </w:rPr>
        <w:pict w14:anchorId="732F1C0A">
          <v:shape id="_x0000_s1029" type="#_x0000_t32" style="position:absolute;left:0;text-align:left;margin-left:-2.25pt;margin-top:10.15pt;width:486.75pt;height:0;z-index:251659264" o:connectortype="straight"/>
        </w:pict>
      </w:r>
      <w:r w:rsidR="009D12BF" w:rsidRPr="00D46E8E">
        <w:rPr>
          <w:rFonts w:ascii="Times New Roman" w:hAnsi="Times New Roman"/>
          <w:sz w:val="20"/>
          <w:szCs w:val="20"/>
        </w:rPr>
        <w:t>[</w:t>
      </w:r>
      <w:r w:rsidR="009D12BF" w:rsidRPr="00D46E8E">
        <w:rPr>
          <w:rFonts w:ascii="Times New Roman" w:hAnsi="Times New Roman"/>
          <w:i/>
          <w:sz w:val="20"/>
          <w:szCs w:val="20"/>
        </w:rPr>
        <w:t>Minister's second reading speech made in—</w:t>
      </w:r>
    </w:p>
    <w:p w14:paraId="4F1ADF9A" w14:textId="77777777" w:rsidR="003D68DD" w:rsidRPr="00D46E8E" w:rsidRDefault="009D12BF" w:rsidP="00D46E8E">
      <w:pPr>
        <w:ind w:left="839" w:right="4230"/>
        <w:jc w:val="both"/>
        <w:rPr>
          <w:rFonts w:ascii="Times New Roman" w:hAnsi="Times New Roman"/>
          <w:sz w:val="20"/>
          <w:szCs w:val="20"/>
        </w:rPr>
      </w:pPr>
      <w:r w:rsidRPr="00D46E8E">
        <w:rPr>
          <w:rFonts w:ascii="Times New Roman" w:hAnsi="Times New Roman"/>
          <w:i/>
          <w:sz w:val="20"/>
          <w:szCs w:val="20"/>
        </w:rPr>
        <w:t>House of Representatives on 23 August 1995 Senate on 28 August 1995</w:t>
      </w:r>
      <w:r w:rsidRPr="00D46E8E">
        <w:rPr>
          <w:rFonts w:ascii="Times New Roman" w:hAnsi="Times New Roman"/>
          <w:sz w:val="20"/>
          <w:szCs w:val="20"/>
        </w:rPr>
        <w:t>]</w:t>
      </w:r>
    </w:p>
    <w:sectPr w:rsidR="003D68DD" w:rsidRPr="00D46E8E" w:rsidSect="000F6D21">
      <w:headerReference w:type="default" r:id="rId11"/>
      <w:headerReference w:type="first" r:id="rId12"/>
      <w:pgSz w:w="12240" w:h="15840" w:code="1"/>
      <w:pgMar w:top="1440" w:right="1440" w:bottom="1440" w:left="144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77837" w15:done="0"/>
  <w15:commentEx w15:paraId="78C227D5" w15:done="0"/>
  <w15:commentEx w15:paraId="5DB89E78" w15:done="0"/>
  <w15:commentEx w15:paraId="227CCDDD" w15:done="0"/>
  <w15:commentEx w15:paraId="44245A01" w15:done="0"/>
  <w15:commentEx w15:paraId="49D9962D" w15:done="0"/>
  <w15:commentEx w15:paraId="4FCCD164" w15:done="0"/>
  <w15:commentEx w15:paraId="6DEAB53E" w15:done="0"/>
  <w15:commentEx w15:paraId="788D54F3" w15:done="0"/>
  <w15:commentEx w15:paraId="28CBDF74" w15:done="0"/>
  <w15:commentEx w15:paraId="7ED797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77837" w16cid:durableId="213EE36D"/>
  <w16cid:commentId w16cid:paraId="78C227D5" w16cid:durableId="213EE37C"/>
  <w16cid:commentId w16cid:paraId="5DB89E78" w16cid:durableId="213EE38E"/>
  <w16cid:commentId w16cid:paraId="227CCDDD" w16cid:durableId="213EE39B"/>
  <w16cid:commentId w16cid:paraId="44245A01" w16cid:durableId="213EE3C6"/>
  <w16cid:commentId w16cid:paraId="49D9962D" w16cid:durableId="213EE3D0"/>
  <w16cid:commentId w16cid:paraId="4FCCD164" w16cid:durableId="213EE3E1"/>
  <w16cid:commentId w16cid:paraId="6DEAB53E" w16cid:durableId="213EE3EF"/>
  <w16cid:commentId w16cid:paraId="788D54F3" w16cid:durableId="213EE405"/>
  <w16cid:commentId w16cid:paraId="28CBDF74" w16cid:durableId="213EE442"/>
  <w16cid:commentId w16cid:paraId="7ED7974C" w16cid:durableId="213EE4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7AC09" w14:textId="77777777" w:rsidR="00405974" w:rsidRDefault="00405974">
      <w:r>
        <w:separator/>
      </w:r>
    </w:p>
  </w:endnote>
  <w:endnote w:type="continuationSeparator" w:id="0">
    <w:p w14:paraId="38283260" w14:textId="77777777" w:rsidR="00405974" w:rsidRDefault="0040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42AAF" w14:textId="77777777" w:rsidR="00405974" w:rsidRDefault="00405974"/>
  </w:footnote>
  <w:footnote w:type="continuationSeparator" w:id="0">
    <w:p w14:paraId="3D2E0136" w14:textId="77777777" w:rsidR="00405974" w:rsidRDefault="004059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263C7" w14:textId="77777777" w:rsidR="00104493" w:rsidRPr="009B48D2" w:rsidRDefault="00104493" w:rsidP="00104493">
    <w:pPr>
      <w:widowControl/>
      <w:autoSpaceDE w:val="0"/>
      <w:autoSpaceDN w:val="0"/>
      <w:adjustRightInd w:val="0"/>
      <w:jc w:val="center"/>
      <w:rPr>
        <w:rFonts w:ascii="Times New Roman" w:hAnsi="Times New Roman" w:cs="Times New Roman"/>
        <w:i/>
        <w:iCs/>
        <w:color w:val="auto"/>
        <w:sz w:val="22"/>
        <w:szCs w:val="22"/>
        <w:lang w:val="en-IN"/>
      </w:rPr>
    </w:pPr>
    <w:r w:rsidRPr="009B48D2">
      <w:rPr>
        <w:rFonts w:ascii="Times New Roman" w:hAnsi="Times New Roman" w:cs="Times New Roman"/>
        <w:i/>
        <w:iCs/>
        <w:color w:val="auto"/>
        <w:sz w:val="22"/>
        <w:szCs w:val="22"/>
        <w:lang w:val="en-IN"/>
      </w:rPr>
      <w:t>Human Services and Health Legislation</w:t>
    </w:r>
  </w:p>
  <w:p w14:paraId="560A9CEA" w14:textId="77777777" w:rsidR="00104493" w:rsidRPr="009B48D2" w:rsidRDefault="00104493" w:rsidP="00104493">
    <w:pPr>
      <w:pStyle w:val="Header"/>
      <w:tabs>
        <w:tab w:val="clear" w:pos="4513"/>
        <w:tab w:val="clear" w:pos="9026"/>
      </w:tabs>
      <w:jc w:val="center"/>
      <w:rPr>
        <w:rFonts w:ascii="Times New Roman" w:hAnsi="Times New Roman" w:cs="Times New Roman"/>
        <w:i/>
      </w:rPr>
    </w:pPr>
    <w:r w:rsidRPr="009B48D2">
      <w:rPr>
        <w:rFonts w:ascii="Times New Roman" w:hAnsi="Times New Roman" w:cs="Times New Roman"/>
        <w:i/>
        <w:iCs/>
        <w:color w:val="auto"/>
        <w:sz w:val="22"/>
        <w:szCs w:val="22"/>
        <w:lang w:val="en-IN"/>
      </w:rPr>
      <w:t>Amendment (No. 2) No. 164, 1995</w:t>
    </w:r>
  </w:p>
  <w:p w14:paraId="7032A2C2" w14:textId="77777777" w:rsidR="00104493" w:rsidRPr="00104493" w:rsidRDefault="00104493" w:rsidP="00104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DF6F2" w14:textId="77777777" w:rsidR="002E5C51" w:rsidRPr="000F6D21" w:rsidRDefault="002E5C51" w:rsidP="002E5C51">
    <w:pPr>
      <w:widowControl/>
      <w:autoSpaceDE w:val="0"/>
      <w:autoSpaceDN w:val="0"/>
      <w:adjustRightInd w:val="0"/>
      <w:jc w:val="center"/>
      <w:rPr>
        <w:rFonts w:ascii="Times New Roman" w:hAnsi="Times New Roman" w:cs="Times New Roman"/>
        <w:i/>
        <w:iCs/>
        <w:color w:val="auto"/>
        <w:sz w:val="22"/>
        <w:szCs w:val="22"/>
        <w:lang w:val="en-IN"/>
      </w:rPr>
    </w:pPr>
    <w:r w:rsidRPr="000F6D21">
      <w:rPr>
        <w:rFonts w:ascii="Times New Roman" w:hAnsi="Times New Roman" w:cs="Times New Roman"/>
        <w:i/>
        <w:iCs/>
        <w:color w:val="auto"/>
        <w:sz w:val="22"/>
        <w:szCs w:val="22"/>
        <w:lang w:val="en-IN"/>
      </w:rPr>
      <w:t>Human Services and Health Legislation</w:t>
    </w:r>
  </w:p>
  <w:p w14:paraId="1A4765F4" w14:textId="4617E200" w:rsidR="002E5C51" w:rsidRPr="002E5C51" w:rsidRDefault="002E5C51" w:rsidP="002E5C51">
    <w:pPr>
      <w:pStyle w:val="Header"/>
      <w:tabs>
        <w:tab w:val="clear" w:pos="4513"/>
        <w:tab w:val="clear" w:pos="9026"/>
      </w:tabs>
      <w:jc w:val="center"/>
      <w:rPr>
        <w:rFonts w:ascii="Times New Roman" w:hAnsi="Times New Roman" w:cs="Times New Roman"/>
        <w:i/>
      </w:rPr>
    </w:pPr>
    <w:r w:rsidRPr="000F6D21">
      <w:rPr>
        <w:rFonts w:ascii="Times New Roman" w:hAnsi="Times New Roman" w:cs="Times New Roman"/>
        <w:i/>
        <w:iCs/>
        <w:color w:val="auto"/>
        <w:sz w:val="22"/>
        <w:szCs w:val="22"/>
        <w:lang w:val="en-IN"/>
      </w:rPr>
      <w:t xml:space="preserve">Amendment (No. 2) </w:t>
    </w:r>
    <w:r w:rsidR="00D46E8E">
      <w:rPr>
        <w:rFonts w:ascii="Times New Roman" w:hAnsi="Times New Roman" w:cs="Times New Roman"/>
        <w:i/>
        <w:iCs/>
        <w:color w:val="auto"/>
        <w:sz w:val="22"/>
        <w:szCs w:val="22"/>
        <w:lang w:val="en-IN"/>
      </w:rPr>
      <w:t xml:space="preserve">    </w:t>
    </w:r>
    <w:r w:rsidRPr="000F6D21">
      <w:rPr>
        <w:rFonts w:ascii="Times New Roman" w:hAnsi="Times New Roman" w:cs="Times New Roman"/>
        <w:i/>
        <w:iCs/>
        <w:color w:val="auto"/>
        <w:sz w:val="22"/>
        <w:szCs w:val="22"/>
        <w:lang w:val="en-IN"/>
      </w:rPr>
      <w:t>No. 164</w:t>
    </w:r>
    <w:r>
      <w:rPr>
        <w:rFonts w:ascii="Times New Roman" w:hAnsi="Times New Roman" w:cs="Times New Roman"/>
        <w:i/>
        <w:iCs/>
        <w:color w:val="auto"/>
        <w:sz w:val="22"/>
        <w:szCs w:val="22"/>
        <w:lang w:val="en-IN"/>
      </w:rPr>
      <w:t xml:space="preserve">, </w:t>
    </w:r>
    <w:r w:rsidRPr="000F6D21">
      <w:rPr>
        <w:rFonts w:ascii="Times New Roman" w:hAnsi="Times New Roman" w:cs="Times New Roman"/>
        <w:i/>
        <w:iCs/>
        <w:color w:val="auto"/>
        <w:sz w:val="22"/>
        <w:szCs w:val="22"/>
        <w:lang w:val="en-IN"/>
      </w:rPr>
      <w:t>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3B0"/>
    <w:multiLevelType w:val="multilevel"/>
    <w:tmpl w:val="AB0A47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F7C63"/>
    <w:multiLevelType w:val="multilevel"/>
    <w:tmpl w:val="47981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C7798C"/>
    <w:multiLevelType w:val="multilevel"/>
    <w:tmpl w:val="89AABA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C76CB6"/>
    <w:multiLevelType w:val="multilevel"/>
    <w:tmpl w:val="B6B83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202AC8"/>
    <w:multiLevelType w:val="multilevel"/>
    <w:tmpl w:val="FE6E81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9E70FF"/>
    <w:multiLevelType w:val="multilevel"/>
    <w:tmpl w:val="9020C8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0B11EA"/>
    <w:multiLevelType w:val="multilevel"/>
    <w:tmpl w:val="D960B3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756614"/>
    <w:multiLevelType w:val="multilevel"/>
    <w:tmpl w:val="A9B63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7"/>
  </w:num>
  <w:num w:numId="4">
    <w:abstractNumId w:val="0"/>
  </w:num>
  <w:num w:numId="5">
    <w:abstractNumId w:val="4"/>
  </w:num>
  <w:num w:numId="6">
    <w:abstractNumId w:val="2"/>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D68DD"/>
    <w:rsid w:val="00070A05"/>
    <w:rsid w:val="0009032C"/>
    <w:rsid w:val="000F6D21"/>
    <w:rsid w:val="00104493"/>
    <w:rsid w:val="001172BF"/>
    <w:rsid w:val="001A38C9"/>
    <w:rsid w:val="002E5C51"/>
    <w:rsid w:val="00371CB2"/>
    <w:rsid w:val="00397CCE"/>
    <w:rsid w:val="003D68DD"/>
    <w:rsid w:val="003F108E"/>
    <w:rsid w:val="00405974"/>
    <w:rsid w:val="005829EC"/>
    <w:rsid w:val="006A3367"/>
    <w:rsid w:val="00755A63"/>
    <w:rsid w:val="009B48D2"/>
    <w:rsid w:val="009D12BF"/>
    <w:rsid w:val="009E50AA"/>
    <w:rsid w:val="00AE5545"/>
    <w:rsid w:val="00B875DA"/>
    <w:rsid w:val="00B9536B"/>
    <w:rsid w:val="00BC1E7F"/>
    <w:rsid w:val="00C15C6F"/>
    <w:rsid w:val="00CA6F11"/>
    <w:rsid w:val="00D46E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28"/>
        <o:r id="V:Rule4" type="connector" idref="#_x0000_s1029"/>
      </o:rules>
    </o:shapelayout>
  </w:shapeDefaults>
  <w:decimalSymbol w:val="."/>
  <w:listSeparator w:val=","/>
  <w14:docId w14:val="3F46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9"/>
      <w:szCs w:val="39"/>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9pt">
    <w:name w:val="Body text (2) + 9 pt"/>
    <w:aliases w:val="Italic"/>
    <w:basedOn w:val="Bodytext2"/>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8"/>
      <w:szCs w:val="18"/>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3"/>
      <w:szCs w:val="23"/>
      <w:u w:val="none"/>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Bold">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11pt">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11pt0">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7Bold">
    <w:name w:val="Body text (7) + Bold"/>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8Bold0">
    <w:name w:val="Body text (8) + Bold"/>
    <w:aliases w:val="Italic"/>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8Italic">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7Bold0">
    <w:name w:val="Body text (7) + Bold"/>
    <w:aliases w:val="Not Italic"/>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4pt">
    <w:name w:val="Body text (3) + 4 pt"/>
    <w:aliases w:val="Not Italic"/>
    <w:basedOn w:val="Bodytext3"/>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0">
    <w:name w:val="Heading #1"/>
    <w:basedOn w:val="Normal"/>
    <w:link w:val="Heading1"/>
    <w:pPr>
      <w:shd w:val="clear" w:color="auto" w:fill="FFFFFF"/>
      <w:spacing w:line="451" w:lineRule="exact"/>
      <w:jc w:val="center"/>
      <w:outlineLvl w:val="0"/>
    </w:pPr>
    <w:rPr>
      <w:rFonts w:ascii="Times New Roman" w:eastAsia="Times New Roman" w:hAnsi="Times New Roman" w:cs="Times New Roman"/>
      <w:b/>
      <w:bCs/>
      <w:sz w:val="39"/>
      <w:szCs w:val="39"/>
    </w:rPr>
  </w:style>
  <w:style w:type="paragraph" w:customStyle="1" w:styleId="Heading220">
    <w:name w:val="Heading #2 (2)"/>
    <w:basedOn w:val="Normal"/>
    <w:link w:val="Heading22"/>
    <w:pPr>
      <w:shd w:val="clear" w:color="auto" w:fill="FFFFFF"/>
      <w:spacing w:line="0" w:lineRule="atLeast"/>
      <w:jc w:val="center"/>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0" w:lineRule="atLeast"/>
      <w:ind w:hanging="680"/>
      <w:jc w:val="center"/>
    </w:pPr>
    <w:rPr>
      <w:rFonts w:ascii="Times New Roman" w:eastAsia="Times New Roman" w:hAnsi="Times New Roman" w:cs="Times New Roman"/>
      <w:sz w:val="17"/>
      <w:szCs w:val="17"/>
    </w:rPr>
  </w:style>
  <w:style w:type="paragraph" w:customStyle="1" w:styleId="Bodytext30">
    <w:name w:val="Body text (3)"/>
    <w:basedOn w:val="Normal"/>
    <w:link w:val="Bodytext3"/>
    <w:pPr>
      <w:shd w:val="clear" w:color="auto" w:fill="FFFFFF"/>
      <w:spacing w:line="0" w:lineRule="atLeast"/>
      <w:jc w:val="center"/>
    </w:pPr>
    <w:rPr>
      <w:rFonts w:ascii="Times New Roman" w:eastAsia="Times New Roman" w:hAnsi="Times New Roman" w:cs="Times New Roman"/>
      <w:i/>
      <w:iCs/>
      <w:sz w:val="18"/>
      <w:szCs w:val="18"/>
    </w:rPr>
  </w:style>
  <w:style w:type="paragraph" w:customStyle="1" w:styleId="Bodytext70">
    <w:name w:val="Body text (7)"/>
    <w:basedOn w:val="Normal"/>
    <w:link w:val="Bodytext7"/>
    <w:pPr>
      <w:shd w:val="clear" w:color="auto" w:fill="FFFFFF"/>
      <w:spacing w:line="0" w:lineRule="atLeast"/>
      <w:jc w:val="right"/>
    </w:pPr>
    <w:rPr>
      <w:rFonts w:ascii="Times New Roman" w:eastAsia="Times New Roman" w:hAnsi="Times New Roman" w:cs="Times New Roman"/>
      <w:i/>
      <w:iCs/>
      <w:sz w:val="22"/>
      <w:szCs w:val="22"/>
    </w:rPr>
  </w:style>
  <w:style w:type="paragraph" w:customStyle="1" w:styleId="Bodytext80">
    <w:name w:val="Body text (8)"/>
    <w:basedOn w:val="Normal"/>
    <w:link w:val="Bodytext8"/>
    <w:pPr>
      <w:shd w:val="clear" w:color="auto" w:fill="FFFFFF"/>
      <w:spacing w:line="0" w:lineRule="atLeast"/>
      <w:ind w:hanging="520"/>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line="595" w:lineRule="exact"/>
    </w:pPr>
    <w:rPr>
      <w:rFonts w:ascii="Times New Roman" w:eastAsia="Times New Roman" w:hAnsi="Times New Roman" w:cs="Times New Roman"/>
      <w:b/>
      <w:bCs/>
      <w:sz w:val="23"/>
      <w:szCs w:val="23"/>
    </w:rPr>
  </w:style>
  <w:style w:type="paragraph" w:styleId="ListParagraph">
    <w:name w:val="List Paragraph"/>
    <w:basedOn w:val="Normal"/>
    <w:uiPriority w:val="34"/>
    <w:qFormat/>
    <w:rsid w:val="00B9536B"/>
    <w:pPr>
      <w:ind w:left="720"/>
      <w:contextualSpacing/>
    </w:pPr>
  </w:style>
  <w:style w:type="paragraph" w:styleId="Header">
    <w:name w:val="header"/>
    <w:basedOn w:val="Normal"/>
    <w:link w:val="HeaderChar"/>
    <w:uiPriority w:val="99"/>
    <w:unhideWhenUsed/>
    <w:rsid w:val="00070A05"/>
    <w:pPr>
      <w:tabs>
        <w:tab w:val="center" w:pos="4513"/>
        <w:tab w:val="right" w:pos="9026"/>
      </w:tabs>
    </w:pPr>
  </w:style>
  <w:style w:type="character" w:customStyle="1" w:styleId="HeaderChar">
    <w:name w:val="Header Char"/>
    <w:basedOn w:val="DefaultParagraphFont"/>
    <w:link w:val="Header"/>
    <w:uiPriority w:val="99"/>
    <w:rsid w:val="00070A05"/>
    <w:rPr>
      <w:color w:val="000000"/>
    </w:rPr>
  </w:style>
  <w:style w:type="paragraph" w:styleId="Footer">
    <w:name w:val="footer"/>
    <w:basedOn w:val="Normal"/>
    <w:link w:val="FooterChar"/>
    <w:uiPriority w:val="99"/>
    <w:unhideWhenUsed/>
    <w:rsid w:val="00070A05"/>
    <w:pPr>
      <w:tabs>
        <w:tab w:val="center" w:pos="4513"/>
        <w:tab w:val="right" w:pos="9026"/>
      </w:tabs>
    </w:pPr>
  </w:style>
  <w:style w:type="character" w:customStyle="1" w:styleId="FooterChar">
    <w:name w:val="Footer Char"/>
    <w:basedOn w:val="DefaultParagraphFont"/>
    <w:link w:val="Footer"/>
    <w:uiPriority w:val="99"/>
    <w:rsid w:val="00070A05"/>
    <w:rPr>
      <w:color w:val="000000"/>
    </w:rPr>
  </w:style>
  <w:style w:type="character" w:styleId="CommentReference">
    <w:name w:val="annotation reference"/>
    <w:basedOn w:val="DefaultParagraphFont"/>
    <w:uiPriority w:val="99"/>
    <w:semiHidden/>
    <w:unhideWhenUsed/>
    <w:rsid w:val="00371CB2"/>
    <w:rPr>
      <w:sz w:val="16"/>
      <w:szCs w:val="16"/>
    </w:rPr>
  </w:style>
  <w:style w:type="paragraph" w:styleId="CommentText">
    <w:name w:val="annotation text"/>
    <w:basedOn w:val="Normal"/>
    <w:link w:val="CommentTextChar"/>
    <w:uiPriority w:val="99"/>
    <w:semiHidden/>
    <w:unhideWhenUsed/>
    <w:rsid w:val="00371CB2"/>
    <w:rPr>
      <w:sz w:val="20"/>
      <w:szCs w:val="20"/>
    </w:rPr>
  </w:style>
  <w:style w:type="character" w:customStyle="1" w:styleId="CommentTextChar">
    <w:name w:val="Comment Text Char"/>
    <w:basedOn w:val="DefaultParagraphFont"/>
    <w:link w:val="CommentText"/>
    <w:uiPriority w:val="99"/>
    <w:semiHidden/>
    <w:rsid w:val="00371CB2"/>
    <w:rPr>
      <w:color w:val="000000"/>
      <w:sz w:val="20"/>
      <w:szCs w:val="20"/>
    </w:rPr>
  </w:style>
  <w:style w:type="paragraph" w:styleId="CommentSubject">
    <w:name w:val="annotation subject"/>
    <w:basedOn w:val="CommentText"/>
    <w:next w:val="CommentText"/>
    <w:link w:val="CommentSubjectChar"/>
    <w:uiPriority w:val="99"/>
    <w:semiHidden/>
    <w:unhideWhenUsed/>
    <w:rsid w:val="00371CB2"/>
    <w:rPr>
      <w:b/>
      <w:bCs/>
    </w:rPr>
  </w:style>
  <w:style w:type="character" w:customStyle="1" w:styleId="CommentSubjectChar">
    <w:name w:val="Comment Subject Char"/>
    <w:basedOn w:val="CommentTextChar"/>
    <w:link w:val="CommentSubject"/>
    <w:uiPriority w:val="99"/>
    <w:semiHidden/>
    <w:rsid w:val="00371CB2"/>
    <w:rPr>
      <w:b/>
      <w:bCs/>
      <w:color w:val="000000"/>
      <w:sz w:val="20"/>
      <w:szCs w:val="20"/>
    </w:rPr>
  </w:style>
  <w:style w:type="paragraph" w:styleId="BalloonText">
    <w:name w:val="Balloon Text"/>
    <w:basedOn w:val="Normal"/>
    <w:link w:val="BalloonTextChar"/>
    <w:uiPriority w:val="99"/>
    <w:semiHidden/>
    <w:unhideWhenUsed/>
    <w:rsid w:val="00371C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CB2"/>
    <w:rPr>
      <w:rFonts w:ascii="Segoe UI" w:hAnsi="Segoe UI" w:cs="Segoe UI"/>
      <w:color w:val="000000"/>
      <w:sz w:val="18"/>
      <w:szCs w:val="18"/>
    </w:rPr>
  </w:style>
  <w:style w:type="paragraph" w:styleId="Revision">
    <w:name w:val="Revision"/>
    <w:hidden/>
    <w:uiPriority w:val="99"/>
    <w:semiHidden/>
    <w:rsid w:val="00D46E8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65BB1-7A78-4804-B454-A1E7DDBF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Farrell, Jeremy</cp:lastModifiedBy>
  <cp:revision>3</cp:revision>
  <dcterms:created xsi:type="dcterms:W3CDTF">2019-10-01T22:54:00Z</dcterms:created>
  <dcterms:modified xsi:type="dcterms:W3CDTF">2019-11-17T02:48:00Z</dcterms:modified>
</cp:coreProperties>
</file>