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F68" w:rsidRDefault="00F96F68">
      <w:pPr>
        <w:pStyle w:val="ShortT"/>
      </w:pPr>
      <w:r>
        <w:rPr>
          <w:noProof/>
          <w:sz w:val="28"/>
        </w:rPr>
        <w:drawing>
          <wp:inline distT="0" distB="0" distL="0" distR="0" wp14:anchorId="5F7F8D91" wp14:editId="3B66E917">
            <wp:extent cx="1352550" cy="990600"/>
            <wp:effectExtent l="0" t="0" r="0" b="0"/>
            <wp:docPr id="2" name="Picture 2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onwealth Coat of Arms of Austral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F68" w:rsidRDefault="00F96F68">
      <w:pPr>
        <w:pStyle w:val="ShortT"/>
      </w:pPr>
    </w:p>
    <w:p w:rsidR="0029668A" w:rsidRDefault="00F96F68">
      <w:pPr>
        <w:pStyle w:val="ShortT"/>
      </w:pPr>
      <w:r>
        <w:t>Sydney 2000 Games (Indicia and Images) Protection Amendment Act 1997</w:t>
      </w:r>
    </w:p>
    <w:p w:rsidR="0029668A" w:rsidRDefault="0029668A"/>
    <w:p w:rsidR="0029668A" w:rsidRDefault="00F96F68">
      <w:pPr>
        <w:pStyle w:val="Actno"/>
        <w:spacing w:before="400"/>
        <w:jc w:val="left"/>
      </w:pPr>
      <w:r>
        <w:t>No. 24, 1997</w:t>
      </w:r>
    </w:p>
    <w:p w:rsidR="001A045E" w:rsidRDefault="001A045E" w:rsidP="001A045E">
      <w:pPr>
        <w:pStyle w:val="Page1"/>
        <w:spacing w:before="240"/>
      </w:pPr>
      <w:r>
        <w:t xml:space="preserve">An Act to amend the </w:t>
      </w:r>
      <w:r>
        <w:rPr>
          <w:i/>
          <w:iCs/>
        </w:rPr>
        <w:t>Sydney 2000 Games (Indicia and Images) Protection Act 1996</w:t>
      </w:r>
      <w:r>
        <w:t>, and for related purposes</w:t>
      </w:r>
    </w:p>
    <w:p w:rsidR="0029668A" w:rsidRDefault="0029668A"/>
    <w:p w:rsidR="00F96F68" w:rsidRDefault="00F96F68">
      <w:pPr>
        <w:autoSpaceDE/>
        <w:autoSpaceDN/>
        <w:adjustRightInd/>
        <w:spacing w:after="160" w:line="259" w:lineRule="auto"/>
      </w:pPr>
      <w:r>
        <w:br w:type="page"/>
      </w:r>
    </w:p>
    <w:p w:rsidR="0029668A" w:rsidRDefault="0029668A"/>
    <w:p w:rsidR="0029668A" w:rsidRDefault="00F96F68">
      <w:pPr>
        <w:tabs>
          <w:tab w:val="left" w:pos="-720"/>
          <w:tab w:val="left" w:pos="0"/>
          <w:tab w:val="left" w:pos="432"/>
          <w:tab w:val="right" w:pos="720"/>
          <w:tab w:val="left" w:pos="1008"/>
          <w:tab w:val="right" w:pos="2160"/>
          <w:tab w:val="left" w:pos="2448"/>
          <w:tab w:val="right" w:pos="3600"/>
          <w:tab w:val="left" w:pos="3888"/>
          <w:tab w:val="right" w:pos="5040"/>
          <w:tab w:val="left" w:pos="5328"/>
          <w:tab w:val="right" w:pos="6480"/>
          <w:tab w:val="left" w:pos="6768"/>
          <w:tab w:val="right" w:pos="7920"/>
          <w:tab w:val="left" w:pos="8208"/>
          <w:tab w:val="right" w:pos="9360"/>
          <w:tab w:val="left" w:pos="9648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Contents</w:t>
      </w:r>
    </w:p>
    <w:p w:rsidR="0029668A" w:rsidRDefault="00F96F68">
      <w:pPr>
        <w:pStyle w:val="TOC5"/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TOC \t "Heading 1,1,Heading 2,2,Heading 3,3,Heading 4,4,Heading 5,5, Heading 6,6,Heading 7,7,Heading 8,8, Heading 9,9" </w:instrText>
      </w:r>
      <w:r>
        <w:rPr>
          <w:sz w:val="36"/>
          <w:szCs w:val="36"/>
        </w:rPr>
        <w:fldChar w:fldCharType="separate"/>
      </w:r>
      <w:r>
        <w:t>1</w:t>
      </w:r>
      <w:r>
        <w:tab/>
        <w:t>Short title</w:t>
      </w:r>
      <w:r>
        <w:tab/>
      </w:r>
      <w:r>
        <w:fldChar w:fldCharType="begin"/>
      </w:r>
      <w:r>
        <w:instrText xml:space="preserve"> GOTOBUTTON _Toc366645565  </w:instrText>
      </w:r>
      <w:r>
        <w:fldChar w:fldCharType="begin"/>
      </w:r>
      <w:r>
        <w:instrText xml:space="preserve"> PAGEREF _Toc366645565 </w:instrText>
      </w:r>
      <w:r>
        <w:fldChar w:fldCharType="separate"/>
      </w:r>
      <w:r>
        <w:instrText>1</w:instrText>
      </w:r>
      <w:r>
        <w:fldChar w:fldCharType="end"/>
      </w:r>
      <w:r>
        <w:fldChar w:fldCharType="end"/>
      </w:r>
    </w:p>
    <w:p w:rsidR="0029668A" w:rsidRDefault="00F96F68">
      <w:pPr>
        <w:pStyle w:val="TOC5"/>
      </w:pPr>
      <w:r>
        <w:t>2</w:t>
      </w:r>
      <w:r>
        <w:tab/>
        <w:t>Commencement</w:t>
      </w:r>
      <w:r>
        <w:tab/>
      </w:r>
      <w:r>
        <w:fldChar w:fldCharType="begin"/>
      </w:r>
      <w:r>
        <w:instrText xml:space="preserve"> GOTOBUTTON _Toc366645566  </w:instrText>
      </w:r>
      <w:r>
        <w:fldChar w:fldCharType="begin"/>
      </w:r>
      <w:r>
        <w:instrText xml:space="preserve"> PAGEREF _Toc366645566 </w:instrText>
      </w:r>
      <w:r>
        <w:fldChar w:fldCharType="separate"/>
      </w:r>
      <w:r>
        <w:instrText>1</w:instrText>
      </w:r>
      <w:r>
        <w:fldChar w:fldCharType="end"/>
      </w:r>
      <w:r>
        <w:fldChar w:fldCharType="end"/>
      </w:r>
    </w:p>
    <w:p w:rsidR="0029668A" w:rsidRDefault="00F96F68">
      <w:pPr>
        <w:pStyle w:val="TOC5"/>
      </w:pPr>
      <w:r>
        <w:t>3</w:t>
      </w:r>
      <w:r>
        <w:tab/>
        <w:t>Schedule(s)</w:t>
      </w:r>
      <w:r>
        <w:tab/>
      </w:r>
      <w:r>
        <w:fldChar w:fldCharType="begin"/>
      </w:r>
      <w:r>
        <w:instrText xml:space="preserve"> GOTOBUTTON _Toc366645567  </w:instrText>
      </w:r>
      <w:r>
        <w:fldChar w:fldCharType="begin"/>
      </w:r>
      <w:r>
        <w:instrText xml:space="preserve"> PAGEREF _Toc366645567 </w:instrText>
      </w:r>
      <w:r>
        <w:fldChar w:fldCharType="separate"/>
      </w:r>
      <w:r>
        <w:instrText>2</w:instrText>
      </w:r>
      <w:r>
        <w:fldChar w:fldCharType="end"/>
      </w:r>
      <w:r>
        <w:fldChar w:fldCharType="end"/>
      </w:r>
    </w:p>
    <w:p w:rsidR="0029668A" w:rsidRDefault="00F96F68">
      <w:pPr>
        <w:pStyle w:val="TOC6"/>
      </w:pPr>
      <w:r>
        <w:t>Schedule 1—Amendments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fldChar w:fldCharType="begin"/>
      </w:r>
      <w:r>
        <w:rPr>
          <w:b w:val="0"/>
          <w:bCs w:val="0"/>
          <w:sz w:val="18"/>
          <w:szCs w:val="18"/>
        </w:rPr>
        <w:instrText xml:space="preserve"> GOTOBUTTON _Toc366645568  </w:instrText>
      </w:r>
      <w:r>
        <w:rPr>
          <w:b w:val="0"/>
          <w:bCs w:val="0"/>
          <w:sz w:val="18"/>
          <w:szCs w:val="18"/>
        </w:rPr>
        <w:fldChar w:fldCharType="begin"/>
      </w:r>
      <w:r>
        <w:rPr>
          <w:b w:val="0"/>
          <w:bCs w:val="0"/>
          <w:sz w:val="18"/>
          <w:szCs w:val="18"/>
        </w:rPr>
        <w:instrText xml:space="preserve"> PAGEREF _Toc366645568 </w:instrText>
      </w:r>
      <w:r>
        <w:rPr>
          <w:b w:val="0"/>
          <w:bCs w:val="0"/>
          <w:sz w:val="18"/>
          <w:szCs w:val="18"/>
        </w:rPr>
        <w:fldChar w:fldCharType="separate"/>
      </w:r>
      <w:r>
        <w:rPr>
          <w:b w:val="0"/>
          <w:bCs w:val="0"/>
          <w:sz w:val="18"/>
          <w:szCs w:val="18"/>
        </w:rPr>
        <w:instrText>3</w:instrText>
      </w:r>
      <w:r>
        <w:rPr>
          <w:b w:val="0"/>
          <w:bCs w:val="0"/>
          <w:sz w:val="18"/>
          <w:szCs w:val="18"/>
        </w:rPr>
        <w:fldChar w:fldCharType="end"/>
      </w:r>
      <w:r>
        <w:rPr>
          <w:b w:val="0"/>
          <w:bCs w:val="0"/>
          <w:sz w:val="18"/>
          <w:szCs w:val="18"/>
        </w:rPr>
        <w:fldChar w:fldCharType="end"/>
      </w:r>
    </w:p>
    <w:p w:rsidR="0029668A" w:rsidRDefault="00F96F68">
      <w:pPr>
        <w:pStyle w:val="TOC9"/>
      </w:pPr>
      <w:r>
        <w:t>Sydney 2000 Games (Indicia and Images) Protection Act 1996</w:t>
      </w:r>
      <w:r>
        <w:tab/>
      </w:r>
      <w:r>
        <w:rPr>
          <w:i w:val="0"/>
          <w:iCs w:val="0"/>
          <w:sz w:val="18"/>
          <w:szCs w:val="18"/>
        </w:rPr>
        <w:fldChar w:fldCharType="begin"/>
      </w:r>
      <w:r>
        <w:rPr>
          <w:i w:val="0"/>
          <w:iCs w:val="0"/>
          <w:sz w:val="18"/>
          <w:szCs w:val="18"/>
        </w:rPr>
        <w:instrText xml:space="preserve"> GOTOBUTTON _Toc366645569  </w:instrText>
      </w:r>
      <w:r>
        <w:rPr>
          <w:i w:val="0"/>
          <w:iCs w:val="0"/>
          <w:sz w:val="18"/>
          <w:szCs w:val="18"/>
        </w:rPr>
        <w:fldChar w:fldCharType="begin"/>
      </w:r>
      <w:r>
        <w:rPr>
          <w:i w:val="0"/>
          <w:iCs w:val="0"/>
          <w:sz w:val="18"/>
          <w:szCs w:val="18"/>
        </w:rPr>
        <w:instrText xml:space="preserve"> PAGEREF _Toc366645569 </w:instrText>
      </w:r>
      <w:r>
        <w:rPr>
          <w:i w:val="0"/>
          <w:iCs w:val="0"/>
          <w:sz w:val="18"/>
          <w:szCs w:val="18"/>
        </w:rPr>
        <w:fldChar w:fldCharType="separate"/>
      </w:r>
      <w:r>
        <w:rPr>
          <w:i w:val="0"/>
          <w:iCs w:val="0"/>
          <w:sz w:val="18"/>
          <w:szCs w:val="18"/>
        </w:rPr>
        <w:instrText>3</w:instrText>
      </w:r>
      <w:r>
        <w:rPr>
          <w:i w:val="0"/>
          <w:iCs w:val="0"/>
          <w:sz w:val="18"/>
          <w:szCs w:val="18"/>
        </w:rPr>
        <w:fldChar w:fldCharType="end"/>
      </w:r>
      <w:r>
        <w:rPr>
          <w:i w:val="0"/>
          <w:iCs w:val="0"/>
          <w:sz w:val="18"/>
          <w:szCs w:val="18"/>
        </w:rPr>
        <w:fldChar w:fldCharType="end"/>
      </w:r>
    </w:p>
    <w:p w:rsidR="0029668A" w:rsidRDefault="00F96F68">
      <w:pPr>
        <w:sectPr w:rsidR="0029668A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1418" w:right="2410" w:bottom="3544" w:left="2410" w:header="720" w:footer="4111" w:gutter="0"/>
          <w:pgNumType w:fmt="lowerRoman" w:start="1"/>
          <w:cols w:space="720"/>
        </w:sectPr>
      </w:pPr>
      <w:r>
        <w:rPr>
          <w:sz w:val="36"/>
          <w:szCs w:val="36"/>
        </w:rPr>
        <w:fldChar w:fldCharType="end"/>
      </w:r>
    </w:p>
    <w:p w:rsidR="00F96F68" w:rsidRDefault="00F96F68" w:rsidP="00F96F68">
      <w:pPr>
        <w:pStyle w:val="ShortT"/>
      </w:pPr>
      <w:r>
        <w:rPr>
          <w:noProof/>
          <w:sz w:val="28"/>
        </w:rPr>
        <w:lastRenderedPageBreak/>
        <w:drawing>
          <wp:inline distT="0" distB="0" distL="0" distR="0" wp14:anchorId="5F7F8D91" wp14:editId="3B66E917">
            <wp:extent cx="1352550" cy="990600"/>
            <wp:effectExtent l="0" t="0" r="0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onwealth Coat of Arms of Austral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F68" w:rsidRPr="00F96F68" w:rsidRDefault="00F96F68" w:rsidP="00F96F68">
      <w:pPr>
        <w:spacing w:before="240"/>
        <w:rPr>
          <w:b/>
          <w:sz w:val="40"/>
          <w:szCs w:val="40"/>
        </w:rPr>
      </w:pPr>
      <w:r w:rsidRPr="00F96F68">
        <w:rPr>
          <w:b/>
          <w:sz w:val="40"/>
          <w:szCs w:val="40"/>
        </w:rPr>
        <w:t>Sydney 2000 Games (Indicia and Images) Protection Amendment Act 1997</w:t>
      </w:r>
    </w:p>
    <w:p w:rsidR="00F96F68" w:rsidRPr="00236DA1" w:rsidRDefault="00F96F68" w:rsidP="00F96F68">
      <w:pPr>
        <w:pStyle w:val="Actno"/>
        <w:spacing w:before="400"/>
        <w:jc w:val="left"/>
        <w:rPr>
          <w:sz w:val="28"/>
          <w:szCs w:val="28"/>
        </w:rPr>
      </w:pPr>
      <w:bookmarkStart w:id="0" w:name="_GoBack"/>
      <w:r w:rsidRPr="00236DA1">
        <w:rPr>
          <w:sz w:val="28"/>
          <w:szCs w:val="28"/>
        </w:rPr>
        <w:t>No. 24, 1997</w:t>
      </w:r>
    </w:p>
    <w:bookmarkEnd w:id="0"/>
    <w:p w:rsidR="00F96F68" w:rsidRDefault="00F96F68" w:rsidP="00F96F68">
      <w:pPr>
        <w:pBdr>
          <w:bottom w:val="single" w:sz="6" w:space="1" w:color="auto"/>
        </w:pBdr>
        <w:spacing w:before="400"/>
        <w:rPr>
          <w:b/>
          <w:bCs/>
          <w:sz w:val="28"/>
          <w:szCs w:val="28"/>
        </w:rPr>
      </w:pPr>
    </w:p>
    <w:p w:rsidR="00F96F68" w:rsidRDefault="00F96F68" w:rsidP="00F96F68">
      <w:pPr>
        <w:spacing w:line="40" w:lineRule="exact"/>
        <w:rPr>
          <w:b/>
          <w:bCs/>
          <w:sz w:val="28"/>
          <w:szCs w:val="28"/>
        </w:rPr>
      </w:pPr>
    </w:p>
    <w:p w:rsidR="00F96F68" w:rsidRDefault="00F96F68" w:rsidP="00F96F68">
      <w:pPr>
        <w:pBdr>
          <w:top w:val="single" w:sz="12" w:space="1" w:color="auto"/>
        </w:pBdr>
      </w:pPr>
    </w:p>
    <w:p w:rsidR="0029668A" w:rsidRDefault="00F96F68">
      <w:pPr>
        <w:pStyle w:val="Page1"/>
        <w:spacing w:before="240"/>
      </w:pPr>
      <w:r>
        <w:t xml:space="preserve">An Act to amend the </w:t>
      </w:r>
      <w:r>
        <w:rPr>
          <w:i/>
          <w:iCs/>
        </w:rPr>
        <w:t>Sydney 2000 Games (Indicia and Images) Protection Act 1996</w:t>
      </w:r>
      <w:r>
        <w:t>, and for related purposes</w:t>
      </w:r>
    </w:p>
    <w:p w:rsidR="0029668A" w:rsidRDefault="00F96F68">
      <w:pPr>
        <w:pStyle w:val="Page1"/>
        <w:spacing w:before="24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[</w:t>
      </w:r>
      <w:r>
        <w:rPr>
          <w:b w:val="0"/>
          <w:bCs w:val="0"/>
          <w:i/>
          <w:iCs/>
          <w:sz w:val="24"/>
          <w:szCs w:val="24"/>
        </w:rPr>
        <w:t>Assented to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i/>
          <w:iCs/>
          <w:sz w:val="24"/>
          <w:szCs w:val="24"/>
        </w:rPr>
        <w:t>7 April 1997</w:t>
      </w:r>
      <w:r>
        <w:rPr>
          <w:b w:val="0"/>
          <w:bCs w:val="0"/>
          <w:sz w:val="24"/>
          <w:szCs w:val="24"/>
        </w:rPr>
        <w:t>]</w:t>
      </w:r>
    </w:p>
    <w:p w:rsidR="0029668A" w:rsidRDefault="00F96F68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The Parliament of Australia enacts:</w:t>
      </w:r>
    </w:p>
    <w:p w:rsidR="0029668A" w:rsidRDefault="00F96F68">
      <w:pPr>
        <w:pStyle w:val="Heading5"/>
      </w:pPr>
      <w:bookmarkStart w:id="1" w:name="_Toc313538257"/>
      <w:bookmarkStart w:id="2" w:name="_Toc313693988"/>
      <w:bookmarkStart w:id="3" w:name="_Toc317143067"/>
      <w:bookmarkStart w:id="4" w:name="_Toc317251939"/>
      <w:bookmarkStart w:id="5" w:name="_Toc359826023"/>
      <w:bookmarkStart w:id="6" w:name="_Toc363266426"/>
      <w:bookmarkStart w:id="7" w:name="_Toc366643598"/>
      <w:bookmarkStart w:id="8" w:name="_Toc366645565"/>
      <w:bookmarkStart w:id="9" w:name="_Toc318795567"/>
      <w:r>
        <w:rPr>
          <w:rStyle w:val="CharSectno"/>
        </w:rPr>
        <w:t>1</w:t>
      </w:r>
      <w:r>
        <w:t xml:space="preserve">  Short title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29668A" w:rsidRDefault="00F96F68">
      <w:pPr>
        <w:pStyle w:val="subsection"/>
      </w:pPr>
      <w:r>
        <w:tab/>
      </w:r>
      <w:r>
        <w:tab/>
        <w:t xml:space="preserve">This Act may be cited as the </w:t>
      </w:r>
      <w:r>
        <w:rPr>
          <w:i/>
          <w:iCs/>
        </w:rPr>
        <w:t>Sydney 2000 Games (Indicia and Images) Protection Amendment Act 1997</w:t>
      </w:r>
      <w:r>
        <w:t>.</w:t>
      </w:r>
    </w:p>
    <w:p w:rsidR="0029668A" w:rsidRDefault="00F96F68">
      <w:pPr>
        <w:pStyle w:val="Heading5"/>
      </w:pPr>
      <w:bookmarkStart w:id="10" w:name="_FOPNextObject"/>
      <w:bookmarkStart w:id="11" w:name="_Toc313692954"/>
      <w:bookmarkStart w:id="12" w:name="_Toc313695428"/>
      <w:bookmarkStart w:id="13" w:name="_Toc317653189"/>
      <w:bookmarkStart w:id="14" w:name="_Toc318795378"/>
      <w:bookmarkStart w:id="15" w:name="_Toc320629538"/>
      <w:bookmarkStart w:id="16" w:name="_Toc320629619"/>
      <w:bookmarkStart w:id="17" w:name="_Toc320629673"/>
      <w:bookmarkStart w:id="18" w:name="_Toc320629808"/>
      <w:bookmarkStart w:id="19" w:name="_Toc359826024"/>
      <w:bookmarkStart w:id="20" w:name="_Toc363266427"/>
      <w:bookmarkStart w:id="21" w:name="_Toc366643599"/>
      <w:bookmarkStart w:id="22" w:name="_Toc366645566"/>
      <w:bookmarkEnd w:id="9"/>
      <w:bookmarkEnd w:id="10"/>
      <w:r>
        <w:rPr>
          <w:rStyle w:val="CharSectno"/>
        </w:rPr>
        <w:t>2</w:t>
      </w:r>
      <w:r>
        <w:t xml:space="preserve">  Commencement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29668A" w:rsidRDefault="00F96F68">
      <w:pPr>
        <w:pStyle w:val="subsection"/>
      </w:pPr>
      <w:r>
        <w:tab/>
      </w:r>
      <w:r>
        <w:tab/>
        <w:t>This Act commences on the day on which it receives the Royal Assent.</w:t>
      </w:r>
    </w:p>
    <w:p w:rsidR="0029668A" w:rsidRDefault="00F96F68">
      <w:pPr>
        <w:pStyle w:val="Heading5"/>
      </w:pPr>
      <w:bookmarkStart w:id="23" w:name="_Toc313692955"/>
      <w:bookmarkStart w:id="24" w:name="_Toc313695429"/>
      <w:bookmarkStart w:id="25" w:name="_Toc317653190"/>
      <w:bookmarkStart w:id="26" w:name="_Toc318795379"/>
      <w:bookmarkStart w:id="27" w:name="_Toc320629539"/>
      <w:bookmarkStart w:id="28" w:name="_Toc320629620"/>
      <w:bookmarkStart w:id="29" w:name="_Toc320629674"/>
      <w:bookmarkStart w:id="30" w:name="_Toc320629809"/>
      <w:bookmarkStart w:id="31" w:name="_Toc352474228"/>
      <w:bookmarkStart w:id="32" w:name="_Toc353185125"/>
      <w:bookmarkStart w:id="33" w:name="_Toc354995686"/>
      <w:bookmarkStart w:id="34" w:name="_Toc359826025"/>
      <w:bookmarkStart w:id="35" w:name="_Toc363266428"/>
      <w:bookmarkStart w:id="36" w:name="_Toc366643600"/>
      <w:bookmarkStart w:id="37" w:name="_Toc366645567"/>
      <w:r>
        <w:rPr>
          <w:rStyle w:val="CharSectno"/>
        </w:rPr>
        <w:lastRenderedPageBreak/>
        <w:t>3</w:t>
      </w:r>
      <w:r>
        <w:t xml:space="preserve">  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t>Schedule</w:t>
      </w:r>
      <w:bookmarkEnd w:id="31"/>
      <w:bookmarkEnd w:id="32"/>
      <w:r>
        <w:t>(s)</w:t>
      </w:r>
      <w:bookmarkEnd w:id="33"/>
      <w:bookmarkEnd w:id="34"/>
      <w:bookmarkEnd w:id="35"/>
      <w:bookmarkEnd w:id="36"/>
      <w:bookmarkEnd w:id="37"/>
    </w:p>
    <w:p w:rsidR="0029668A" w:rsidRDefault="00F96F68">
      <w:pPr>
        <w:pStyle w:val="subsection"/>
      </w:pPr>
      <w:r>
        <w:tab/>
      </w:r>
      <w:r>
        <w:tab/>
        <w:t>Each Act that is specified in a Schedule to this Act is amended as set out in the applicable items in the Schedule concerned, and any other item in a Schedule to this Act has effect according to its terms.</w:t>
      </w:r>
    </w:p>
    <w:p w:rsidR="0029668A" w:rsidRDefault="00F96F68">
      <w:pPr>
        <w:pStyle w:val="PageBreak"/>
      </w:pPr>
      <w:r>
        <w:br w:type="page"/>
      </w:r>
    </w:p>
    <w:p w:rsidR="0029668A" w:rsidRDefault="00F96F68">
      <w:pPr>
        <w:pStyle w:val="Heading6"/>
      </w:pPr>
      <w:bookmarkStart w:id="38" w:name="_Toc359826026"/>
      <w:bookmarkStart w:id="39" w:name="_Toc363266429"/>
      <w:bookmarkStart w:id="40" w:name="_Toc366643601"/>
      <w:bookmarkStart w:id="41" w:name="_Toc366645568"/>
      <w:r>
        <w:rPr>
          <w:rStyle w:val="CharAmSchNo"/>
        </w:rPr>
        <w:lastRenderedPageBreak/>
        <w:t>Schedule 1</w:t>
      </w:r>
      <w:r>
        <w:t>—</w:t>
      </w:r>
      <w:r>
        <w:rPr>
          <w:rStyle w:val="CharAmSchText"/>
        </w:rPr>
        <w:t>Amendments</w:t>
      </w:r>
      <w:bookmarkEnd w:id="38"/>
      <w:bookmarkEnd w:id="39"/>
      <w:bookmarkEnd w:id="40"/>
      <w:bookmarkEnd w:id="41"/>
    </w:p>
    <w:p w:rsidR="0029668A" w:rsidRDefault="00F96F68">
      <w:pPr>
        <w:pStyle w:val="Heading9"/>
      </w:pPr>
      <w:bookmarkStart w:id="42" w:name="_Toc359826027"/>
      <w:bookmarkStart w:id="43" w:name="_Toc363266430"/>
      <w:bookmarkStart w:id="44" w:name="_Toc366643602"/>
      <w:bookmarkStart w:id="45" w:name="_Toc366645569"/>
      <w:r>
        <w:t>Sydney 2000 Games (Indicia and Images) Protection Act 1996</w:t>
      </w:r>
      <w:bookmarkEnd w:id="42"/>
      <w:bookmarkEnd w:id="43"/>
      <w:bookmarkEnd w:id="44"/>
      <w:bookmarkEnd w:id="45"/>
    </w:p>
    <w:p w:rsidR="0029668A" w:rsidRDefault="00F96F68">
      <w:pPr>
        <w:pStyle w:val="ItemHead"/>
      </w:pPr>
      <w:r>
        <w:t>1  Subsection 10(1)</w:t>
      </w:r>
    </w:p>
    <w:p w:rsidR="0029668A" w:rsidRDefault="00F96F68">
      <w:pPr>
        <w:pStyle w:val="Item"/>
      </w:pPr>
      <w:r>
        <w:t>Omit “indicia and images”, substitute “indicia or images”.</w:t>
      </w:r>
    </w:p>
    <w:p w:rsidR="0029668A" w:rsidRDefault="00F96F68">
      <w:pPr>
        <w:pStyle w:val="ItemHead"/>
      </w:pPr>
      <w:r>
        <w:t>2  Section 11</w:t>
      </w:r>
    </w:p>
    <w:p w:rsidR="0029668A" w:rsidRDefault="00F96F68">
      <w:pPr>
        <w:pStyle w:val="Item"/>
      </w:pPr>
      <w:r>
        <w:t>Repeal the section, substitute:</w:t>
      </w:r>
    </w:p>
    <w:p w:rsidR="0029668A" w:rsidRDefault="00F96F68">
      <w:pPr>
        <w:pStyle w:val="Heading5"/>
      </w:pPr>
      <w:bookmarkStart w:id="46" w:name="_Toc354908972"/>
      <w:bookmarkStart w:id="47" w:name="_Toc355425219"/>
      <w:bookmarkStart w:id="48" w:name="_Toc355425289"/>
      <w:bookmarkStart w:id="49" w:name="_Toc359826028"/>
      <w:bookmarkStart w:id="50" w:name="_Toc363266431"/>
      <w:bookmarkStart w:id="51" w:name="_Toc366643603"/>
      <w:bookmarkStart w:id="52" w:name="_Toc366645570"/>
      <w:r>
        <w:rPr>
          <w:rStyle w:val="CharSectno"/>
        </w:rPr>
        <w:t>11</w:t>
      </w:r>
      <w:r>
        <w:t xml:space="preserve">  Use for commercial purposes</w:t>
      </w:r>
      <w:bookmarkEnd w:id="46"/>
      <w:bookmarkEnd w:id="47"/>
      <w:bookmarkEnd w:id="48"/>
      <w:bookmarkEnd w:id="49"/>
      <w:bookmarkEnd w:id="50"/>
      <w:bookmarkEnd w:id="51"/>
      <w:bookmarkEnd w:id="52"/>
    </w:p>
    <w:p w:rsidR="0029668A" w:rsidRDefault="00F96F68">
      <w:pPr>
        <w:pStyle w:val="subsection"/>
      </w:pPr>
      <w:r>
        <w:tab/>
        <w:t>(1)</w:t>
      </w:r>
      <w:r>
        <w:tab/>
        <w:t>This section sets out the 2 situations in which a person is said to use Sydney 2000 Games indicia or images for commercial purposes.</w:t>
      </w:r>
    </w:p>
    <w:p w:rsidR="0029668A" w:rsidRDefault="00F96F68">
      <w:pPr>
        <w:pStyle w:val="subsection"/>
      </w:pPr>
      <w:r>
        <w:tab/>
        <w:t>(2)</w:t>
      </w:r>
      <w:r>
        <w:tab/>
        <w:t>For the purposes of this Act, if:</w:t>
      </w:r>
    </w:p>
    <w:p w:rsidR="0029668A" w:rsidRDefault="00F96F68">
      <w:pPr>
        <w:pStyle w:val="indenta"/>
      </w:pPr>
      <w:r>
        <w:tab/>
        <w:t>(a)</w:t>
      </w:r>
      <w:r>
        <w:tab/>
        <w:t xml:space="preserve">a person (the </w:t>
      </w:r>
      <w:r>
        <w:rPr>
          <w:b/>
          <w:bCs/>
          <w:i/>
          <w:iCs/>
        </w:rPr>
        <w:t>first person</w:t>
      </w:r>
      <w:r>
        <w:t>) causes Sydney 2000 Games indicia or images to be applied to goods or services of the first person; and</w:t>
      </w:r>
    </w:p>
    <w:p w:rsidR="0029668A" w:rsidRDefault="00F96F68">
      <w:pPr>
        <w:pStyle w:val="indenta"/>
      </w:pPr>
      <w:r>
        <w:tab/>
        <w:t>(b)</w:t>
      </w:r>
      <w:r>
        <w:tab/>
        <w:t>the application is for advertising or promotional purposes, or is likely to enhance the demand for the goods or services; and</w:t>
      </w:r>
    </w:p>
    <w:p w:rsidR="0029668A" w:rsidRDefault="00F96F68">
      <w:pPr>
        <w:pStyle w:val="indenta"/>
      </w:pPr>
      <w:r>
        <w:tab/>
        <w:t>(c)</w:t>
      </w:r>
      <w:r>
        <w:tab/>
        <w:t>the application, to a reasonable person, would suggest that the first person is or was a sponsor of, or is or was the provider of other support for:</w:t>
      </w:r>
    </w:p>
    <w:p w:rsidR="0029668A" w:rsidRDefault="00F96F68">
      <w:pPr>
        <w:pStyle w:val="indentii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the Sydney 2000 Olympic Games, the Sydney 2000 Paralympic Games, or both Games; or</w:t>
      </w:r>
    </w:p>
    <w:p w:rsidR="0029668A" w:rsidRDefault="00F96F68">
      <w:pPr>
        <w:pStyle w:val="indentii"/>
      </w:pPr>
      <w:r>
        <w:tab/>
        <w:t>(ii)</w:t>
      </w:r>
      <w:r>
        <w:tab/>
        <w:t xml:space="preserve">any event arranged by </w:t>
      </w:r>
      <w:proofErr w:type="spellStart"/>
      <w:r>
        <w:t>SOCOG</w:t>
      </w:r>
      <w:proofErr w:type="spellEnd"/>
      <w:r>
        <w:t>, the Australian Olympic Committee Inc., or the International Olympic Committee in connection with the Sydney 2000 Olympic Games; or</w:t>
      </w:r>
    </w:p>
    <w:p w:rsidR="0029668A" w:rsidRDefault="00F96F68">
      <w:pPr>
        <w:pStyle w:val="PageBreak"/>
      </w:pPr>
      <w:r>
        <w:br w:type="page"/>
      </w:r>
    </w:p>
    <w:p w:rsidR="0029668A" w:rsidRDefault="00F96F68">
      <w:pPr>
        <w:pStyle w:val="indentii"/>
      </w:pPr>
      <w:r>
        <w:lastRenderedPageBreak/>
        <w:tab/>
        <w:t>(iii)</w:t>
      </w:r>
      <w:r>
        <w:tab/>
        <w:t>any event arranged by SPOC, the Australian Paralympic Federation, or the International Paralympic Committee in connection with the Sydney 2000 Paralympic Games;</w:t>
      </w:r>
    </w:p>
    <w:p w:rsidR="0029668A" w:rsidRDefault="00F96F68">
      <w:pPr>
        <w:pStyle w:val="subsection2"/>
      </w:pPr>
      <w:r>
        <w:t>the application is use by the first person of the indicia or images for commercial purposes.</w:t>
      </w:r>
    </w:p>
    <w:p w:rsidR="0029668A" w:rsidRDefault="00F96F68">
      <w:pPr>
        <w:pStyle w:val="subsection"/>
      </w:pPr>
      <w:r>
        <w:tab/>
        <w:t>(3)</w:t>
      </w:r>
      <w:r>
        <w:tab/>
        <w:t>For the purposes of this Act, if:</w:t>
      </w:r>
    </w:p>
    <w:p w:rsidR="0029668A" w:rsidRDefault="00F96F68">
      <w:pPr>
        <w:pStyle w:val="indenta"/>
      </w:pPr>
      <w:r>
        <w:tab/>
        <w:t>(a)</w:t>
      </w:r>
      <w:r>
        <w:tab/>
        <w:t xml:space="preserve">a person (the </w:t>
      </w:r>
      <w:r>
        <w:rPr>
          <w:b/>
          <w:bCs/>
          <w:i/>
          <w:iCs/>
        </w:rPr>
        <w:t>first person</w:t>
      </w:r>
      <w:r>
        <w:t xml:space="preserve">), other than </w:t>
      </w:r>
      <w:proofErr w:type="spellStart"/>
      <w:r>
        <w:t>SOCOG</w:t>
      </w:r>
      <w:proofErr w:type="spellEnd"/>
      <w:r>
        <w:t>, SPOC or a licensed user, causes Sydney 2000 Games indicia or images to be applied to goods or services of the first person; and</w:t>
      </w:r>
    </w:p>
    <w:p w:rsidR="0029668A" w:rsidRDefault="00F96F68">
      <w:pPr>
        <w:pStyle w:val="indenta"/>
      </w:pPr>
      <w:r>
        <w:tab/>
        <w:t>(b)</w:t>
      </w:r>
      <w:r>
        <w:tab/>
        <w:t>the application is for advertising or promotional purposes, or is likely to enhance the demand for the goods or services; and</w:t>
      </w:r>
    </w:p>
    <w:p w:rsidR="0029668A" w:rsidRDefault="00F96F68">
      <w:pPr>
        <w:pStyle w:val="indenta"/>
      </w:pPr>
      <w:r>
        <w:tab/>
        <w:t>(c)</w:t>
      </w:r>
      <w:r>
        <w:tab/>
        <w:t>the application, to a reasonable person, would suggest that the first person is or was a sponsor of, or is or was the provider of other support for:</w:t>
      </w:r>
    </w:p>
    <w:p w:rsidR="0029668A" w:rsidRDefault="00F96F68">
      <w:pPr>
        <w:pStyle w:val="indentii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the Sydney 2000 Olympic Games, the Sydney 2000 Paralympic Games, or both Games; or</w:t>
      </w:r>
    </w:p>
    <w:p w:rsidR="0029668A" w:rsidRDefault="00F96F68">
      <w:pPr>
        <w:pStyle w:val="indentii"/>
      </w:pPr>
      <w:r>
        <w:tab/>
        <w:t>(ii)</w:t>
      </w:r>
      <w:r>
        <w:tab/>
        <w:t xml:space="preserve">any event arranged by </w:t>
      </w:r>
      <w:proofErr w:type="spellStart"/>
      <w:r>
        <w:t>SOCOG</w:t>
      </w:r>
      <w:proofErr w:type="spellEnd"/>
      <w:r>
        <w:t>, the Australian Olympic Committee Inc., or the International Olympic Committee in connection with the Sydney 2000 Olympic Games; or</w:t>
      </w:r>
    </w:p>
    <w:p w:rsidR="0029668A" w:rsidRDefault="00F96F68">
      <w:pPr>
        <w:pStyle w:val="indentii"/>
      </w:pPr>
      <w:r>
        <w:tab/>
        <w:t>(iii)</w:t>
      </w:r>
      <w:r>
        <w:tab/>
        <w:t>any event arranged by SPOC, the Australian Paralympic Federation, or the International Paralympic Committee in connection with the Sydney 2000 Paralympic Games; and</w:t>
      </w:r>
    </w:p>
    <w:p w:rsidR="0029668A" w:rsidRDefault="00F96F68">
      <w:pPr>
        <w:pStyle w:val="indenta"/>
      </w:pPr>
      <w:r>
        <w:tab/>
        <w:t>(d)</w:t>
      </w:r>
      <w:r>
        <w:tab/>
        <w:t xml:space="preserve">any of the following conditions are satisfied in relation to a person (the </w:t>
      </w:r>
      <w:r>
        <w:rPr>
          <w:b/>
          <w:bCs/>
          <w:i/>
          <w:iCs/>
        </w:rPr>
        <w:t>second person</w:t>
      </w:r>
      <w:r>
        <w:t>) other than the first person:</w:t>
      </w:r>
    </w:p>
    <w:p w:rsidR="0029668A" w:rsidRDefault="00F96F68">
      <w:pPr>
        <w:pStyle w:val="indentii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in the case of goods or services—the second person supplies, or offers to supply, the goods or services;</w:t>
      </w:r>
    </w:p>
    <w:p w:rsidR="0029668A" w:rsidRDefault="00F96F68">
      <w:pPr>
        <w:pStyle w:val="indentii"/>
      </w:pPr>
      <w:r>
        <w:tab/>
        <w:t>(ii)</w:t>
      </w:r>
      <w:r>
        <w:tab/>
        <w:t xml:space="preserve">in the case of goods—the second person exposes the goods for supply by the second person; </w:t>
      </w:r>
    </w:p>
    <w:p w:rsidR="0029668A" w:rsidRDefault="00F96F68">
      <w:pPr>
        <w:pStyle w:val="indentii"/>
      </w:pPr>
      <w:r>
        <w:br w:type="page"/>
      </w:r>
      <w:r>
        <w:lastRenderedPageBreak/>
        <w:tab/>
        <w:t>(iii)</w:t>
      </w:r>
      <w:r>
        <w:tab/>
        <w:t>in the case of goods—the second person keeps the goods for supply by the second person or by another person;</w:t>
      </w:r>
    </w:p>
    <w:p w:rsidR="0029668A" w:rsidRDefault="00F96F68">
      <w:pPr>
        <w:pStyle w:val="subsection2"/>
      </w:pPr>
      <w:r>
        <w:t>the supply, offer, exposure or keeping, as the case may be, by the second person is use by the second person of the indicia or images for commercial purposes.</w:t>
      </w:r>
    </w:p>
    <w:p w:rsidR="0029668A" w:rsidRDefault="00F96F68">
      <w:pPr>
        <w:pStyle w:val="subsection"/>
      </w:pPr>
      <w:r>
        <w:tab/>
        <w:t>(4)</w:t>
      </w:r>
      <w:r>
        <w:tab/>
        <w:t>In this section:</w:t>
      </w:r>
    </w:p>
    <w:p w:rsidR="0029668A" w:rsidRDefault="00F96F68">
      <w:pPr>
        <w:pStyle w:val="Definition"/>
      </w:pPr>
      <w:r>
        <w:rPr>
          <w:b/>
          <w:bCs/>
          <w:i/>
          <w:iCs/>
        </w:rPr>
        <w:t>supply</w:t>
      </w:r>
      <w:r>
        <w:t xml:space="preserve"> includes:</w:t>
      </w:r>
    </w:p>
    <w:p w:rsidR="0029668A" w:rsidRDefault="00F96F68">
      <w:pPr>
        <w:pStyle w:val="indenta"/>
      </w:pPr>
      <w:r>
        <w:tab/>
        <w:t>(a)</w:t>
      </w:r>
      <w:r>
        <w:tab/>
        <w:t>in the case of goods—supply (including re-supply) by way of sale, exchange, lease, hire or hire-purchase; and</w:t>
      </w:r>
    </w:p>
    <w:p w:rsidR="0029668A" w:rsidRDefault="00F96F68">
      <w:pPr>
        <w:pStyle w:val="indenta"/>
      </w:pPr>
      <w:r>
        <w:tab/>
        <w:t>(b)</w:t>
      </w:r>
      <w:r>
        <w:tab/>
        <w:t>in the case of services—provide, grant or confer.</w:t>
      </w:r>
    </w:p>
    <w:p w:rsidR="0029668A" w:rsidRDefault="00F96F68">
      <w:pPr>
        <w:pStyle w:val="ItemHead"/>
      </w:pPr>
      <w:r>
        <w:t>3  Subsection 12(1)</w:t>
      </w:r>
    </w:p>
    <w:p w:rsidR="0029668A" w:rsidRDefault="00F96F68">
      <w:pPr>
        <w:pStyle w:val="Item"/>
      </w:pPr>
      <w:r>
        <w:t>Omit “indicia and images”, substitute “indicia or images”.</w:t>
      </w:r>
    </w:p>
    <w:p w:rsidR="0029668A" w:rsidRDefault="00F96F68">
      <w:pPr>
        <w:pStyle w:val="ItemHead"/>
      </w:pPr>
      <w:r>
        <w:t>4  Subsection 12(4)</w:t>
      </w:r>
    </w:p>
    <w:p w:rsidR="0029668A" w:rsidRDefault="00F96F68">
      <w:pPr>
        <w:pStyle w:val="Item"/>
      </w:pPr>
      <w:r>
        <w:t>Omit “indicia and images” (wherever occurring), substitute “indicia or images”.</w:t>
      </w:r>
    </w:p>
    <w:p w:rsidR="0029668A" w:rsidRDefault="00F96F68">
      <w:pPr>
        <w:pStyle w:val="ItemHead"/>
      </w:pPr>
      <w:r>
        <w:t>5  After section 13</w:t>
      </w:r>
    </w:p>
    <w:p w:rsidR="0029668A" w:rsidRDefault="00F96F68">
      <w:pPr>
        <w:pStyle w:val="Item"/>
      </w:pPr>
      <w:r>
        <w:t>Insert:</w:t>
      </w:r>
    </w:p>
    <w:p w:rsidR="0029668A" w:rsidRDefault="00F96F68">
      <w:pPr>
        <w:pStyle w:val="Heading5"/>
      </w:pPr>
      <w:bookmarkStart w:id="53" w:name="_Toc359826030"/>
      <w:bookmarkStart w:id="54" w:name="_Toc363266432"/>
      <w:bookmarkStart w:id="55" w:name="_Toc366643604"/>
      <w:bookmarkStart w:id="56" w:name="_Toc366645571"/>
      <w:r>
        <w:rPr>
          <w:rStyle w:val="CharSectno"/>
        </w:rPr>
        <w:t>13A</w:t>
      </w:r>
      <w:r>
        <w:t xml:space="preserve">  Persons involved in contraventions of section 12</w:t>
      </w:r>
      <w:bookmarkEnd w:id="53"/>
      <w:bookmarkEnd w:id="54"/>
      <w:bookmarkEnd w:id="55"/>
      <w:bookmarkEnd w:id="56"/>
    </w:p>
    <w:p w:rsidR="0029668A" w:rsidRDefault="00F96F68">
      <w:pPr>
        <w:pStyle w:val="subsection"/>
      </w:pPr>
      <w:r>
        <w:tab/>
      </w:r>
      <w:r>
        <w:tab/>
        <w:t>For the purposes of this Act, a person is taken to have contravened section 12 if the person:</w:t>
      </w:r>
    </w:p>
    <w:p w:rsidR="0029668A" w:rsidRDefault="00F96F68">
      <w:pPr>
        <w:pStyle w:val="indenta"/>
      </w:pPr>
      <w:r>
        <w:tab/>
        <w:t>(a)</w:t>
      </w:r>
      <w:r>
        <w:tab/>
        <w:t>has attempted to contravene section 12; or</w:t>
      </w:r>
    </w:p>
    <w:p w:rsidR="0029668A" w:rsidRDefault="00F96F68">
      <w:pPr>
        <w:pStyle w:val="indenta"/>
      </w:pPr>
      <w:r>
        <w:tab/>
        <w:t>(b)</w:t>
      </w:r>
      <w:r>
        <w:tab/>
        <w:t>has aided, abetted, counselled or procured a person to contravene section 12; or</w:t>
      </w:r>
    </w:p>
    <w:p w:rsidR="0029668A" w:rsidRDefault="00F96F68">
      <w:pPr>
        <w:pStyle w:val="indenta"/>
      </w:pPr>
      <w:r>
        <w:tab/>
        <w:t>(c)</w:t>
      </w:r>
      <w:r>
        <w:tab/>
        <w:t>has induced, or attempted to induce, a person, whether by threats or promises or otherwise, to contravene section 12; or</w:t>
      </w:r>
    </w:p>
    <w:p w:rsidR="0029668A" w:rsidRDefault="00F96F68">
      <w:pPr>
        <w:pStyle w:val="indenta"/>
      </w:pPr>
      <w:r>
        <w:tab/>
        <w:t>(d)</w:t>
      </w:r>
      <w:r>
        <w:tab/>
        <w:t>has been in any way, directly or indirectly, knowingly concerned in, or party to, the contravention by a person of section 12; or</w:t>
      </w:r>
    </w:p>
    <w:p w:rsidR="0029668A" w:rsidRDefault="00F96F68">
      <w:pPr>
        <w:pStyle w:val="indenta"/>
      </w:pPr>
      <w:r>
        <w:tab/>
        <w:t>(e)</w:t>
      </w:r>
      <w:r>
        <w:tab/>
        <w:t>has conspired with others to contravene section 12.</w:t>
      </w:r>
    </w:p>
    <w:p w:rsidR="0029668A" w:rsidRDefault="00F96F68">
      <w:pPr>
        <w:pStyle w:val="ItemHead"/>
        <w:keepNext/>
        <w:ind w:left="708" w:hanging="708"/>
      </w:pPr>
      <w:r>
        <w:lastRenderedPageBreak/>
        <w:t>6  After section 14</w:t>
      </w:r>
    </w:p>
    <w:p w:rsidR="0029668A" w:rsidRDefault="00F96F68">
      <w:pPr>
        <w:pStyle w:val="Item"/>
      </w:pPr>
      <w:r>
        <w:t>Insert:</w:t>
      </w:r>
    </w:p>
    <w:p w:rsidR="0029668A" w:rsidRDefault="00F96F68">
      <w:pPr>
        <w:pStyle w:val="Heading5"/>
      </w:pPr>
      <w:bookmarkStart w:id="57" w:name="_Toc366643605"/>
      <w:bookmarkStart w:id="58" w:name="_Toc366645572"/>
      <w:r>
        <w:rPr>
          <w:rStyle w:val="CharSectno"/>
        </w:rPr>
        <w:t>14A</w:t>
      </w:r>
      <w:r>
        <w:t xml:space="preserve">  Limitation on licence</w:t>
      </w:r>
      <w:bookmarkEnd w:id="57"/>
      <w:bookmarkEnd w:id="58"/>
    </w:p>
    <w:p w:rsidR="0029668A" w:rsidRDefault="00F96F68">
      <w:pPr>
        <w:pStyle w:val="subsection"/>
      </w:pPr>
      <w:r>
        <w:tab/>
      </w:r>
      <w:r>
        <w:tab/>
        <w:t>A licence under section 14 does not authorise the use of indicia or images for commercial purposes if the use is covered by subsection 11(3).</w:t>
      </w:r>
    </w:p>
    <w:p w:rsidR="0029668A" w:rsidRDefault="00F96F68">
      <w:pPr>
        <w:pStyle w:val="ItemHead"/>
      </w:pPr>
      <w:r>
        <w:t>7  Paragraph 17(1)(b)</w:t>
      </w:r>
    </w:p>
    <w:p w:rsidR="0029668A" w:rsidRDefault="00F96F68">
      <w:pPr>
        <w:pStyle w:val="Item"/>
      </w:pPr>
      <w:r>
        <w:t>Omit “indicia and images” (wherever occurring), substitute “indicia or images”.</w:t>
      </w:r>
    </w:p>
    <w:p w:rsidR="0029668A" w:rsidRDefault="00F96F68">
      <w:pPr>
        <w:pStyle w:val="ItemHead"/>
      </w:pPr>
      <w:r>
        <w:t>8  Subsection 19(1)</w:t>
      </w:r>
    </w:p>
    <w:p w:rsidR="0029668A" w:rsidRDefault="00F96F68">
      <w:pPr>
        <w:pStyle w:val="Item"/>
      </w:pPr>
      <w:r>
        <w:t>Omit “indicia and images”, substitute “indicia or images”.</w:t>
      </w:r>
    </w:p>
    <w:p w:rsidR="0029668A" w:rsidRDefault="00F96F68">
      <w:pPr>
        <w:pStyle w:val="ItemHead"/>
      </w:pPr>
      <w:r>
        <w:t>9  Subsection 25(1)</w:t>
      </w:r>
    </w:p>
    <w:p w:rsidR="0029668A" w:rsidRDefault="00F96F68">
      <w:pPr>
        <w:pStyle w:val="Item"/>
      </w:pPr>
      <w:r>
        <w:t>Omit “indicia and images”, substitute “indicia or images”.</w:t>
      </w:r>
    </w:p>
    <w:p w:rsidR="0029668A" w:rsidRDefault="00F96F68">
      <w:pPr>
        <w:pStyle w:val="ItemHead"/>
      </w:pPr>
      <w:r>
        <w:t>10  Subsection 25(1)</w:t>
      </w:r>
    </w:p>
    <w:p w:rsidR="0029668A" w:rsidRDefault="00F96F68">
      <w:pPr>
        <w:pStyle w:val="Item"/>
      </w:pPr>
      <w:r>
        <w:t>Omit “paragraph 11(c)”, substitute “paragraph 11(2)(c) or (3)(c)”.</w:t>
      </w:r>
    </w:p>
    <w:p w:rsidR="0029668A" w:rsidRDefault="00F96F68">
      <w:pPr>
        <w:pStyle w:val="ItemHead"/>
      </w:pPr>
      <w:r>
        <w:t>11  Subsection 31(1)</w:t>
      </w:r>
    </w:p>
    <w:p w:rsidR="0029668A" w:rsidRDefault="00F96F68">
      <w:pPr>
        <w:pStyle w:val="Item"/>
      </w:pPr>
      <w:r>
        <w:t>Omit “indicia and images” (last occurring), substitute “indicia or images”.</w:t>
      </w:r>
    </w:p>
    <w:p w:rsidR="0029668A" w:rsidRDefault="00F96F68">
      <w:pPr>
        <w:pStyle w:val="ItemHead"/>
      </w:pPr>
      <w:r>
        <w:t>12  Subsection 31(2)</w:t>
      </w:r>
    </w:p>
    <w:p w:rsidR="0029668A" w:rsidRDefault="00F96F68">
      <w:pPr>
        <w:pStyle w:val="Item"/>
      </w:pPr>
      <w:r>
        <w:t>Omit “indicia and images” (last occurring), substitute “indicia or images”.</w:t>
      </w:r>
    </w:p>
    <w:p w:rsidR="0029668A" w:rsidRDefault="00F96F68">
      <w:pPr>
        <w:pStyle w:val="ItemHead"/>
      </w:pPr>
      <w:r>
        <w:t>13  Subsection 32(5)</w:t>
      </w:r>
    </w:p>
    <w:p w:rsidR="0029668A" w:rsidRDefault="00F96F68">
      <w:pPr>
        <w:pStyle w:val="Item"/>
      </w:pPr>
      <w:r>
        <w:t>Omit “indicia and images”, substitute “indicia or images”.</w:t>
      </w:r>
    </w:p>
    <w:p w:rsidR="0029668A" w:rsidRDefault="00F96F68">
      <w:pPr>
        <w:pStyle w:val="ItemHead"/>
      </w:pPr>
      <w:r>
        <w:t>14  At the end of section 32</w:t>
      </w:r>
    </w:p>
    <w:p w:rsidR="0029668A" w:rsidRDefault="00F96F68">
      <w:pPr>
        <w:pStyle w:val="Item"/>
      </w:pPr>
      <w:r>
        <w:t>Add:</w:t>
      </w:r>
    </w:p>
    <w:p w:rsidR="0029668A" w:rsidRDefault="00F96F68">
      <w:pPr>
        <w:pStyle w:val="subsection"/>
        <w:keepNext/>
        <w:spacing w:before="0"/>
        <w:ind w:left="1135" w:hanging="1135"/>
      </w:pPr>
      <w:r>
        <w:lastRenderedPageBreak/>
        <w:tab/>
        <w:t>(8)</w:t>
      </w:r>
      <w:r>
        <w:tab/>
        <w:t>A reference in this section to the use of indicia or images for commercial purposes does not include a reference to use covered by subsection 11(3).</w:t>
      </w:r>
    </w:p>
    <w:p w:rsidR="0029668A" w:rsidRDefault="00F96F68">
      <w:pPr>
        <w:pStyle w:val="ItemHead"/>
        <w:spacing w:before="180"/>
        <w:ind w:left="708" w:hanging="708"/>
      </w:pPr>
      <w:r>
        <w:t>15  At the end of section 33</w:t>
      </w:r>
    </w:p>
    <w:p w:rsidR="0029668A" w:rsidRDefault="00F96F68">
      <w:pPr>
        <w:pStyle w:val="Item"/>
        <w:spacing w:before="120"/>
      </w:pPr>
      <w:r>
        <w:t>Add:</w:t>
      </w:r>
    </w:p>
    <w:p w:rsidR="0029668A" w:rsidRDefault="00F96F68">
      <w:pPr>
        <w:pStyle w:val="subsection"/>
        <w:spacing w:before="120"/>
      </w:pPr>
      <w:r>
        <w:tab/>
        <w:t>(5)</w:t>
      </w:r>
      <w:r>
        <w:tab/>
        <w:t>A reference in this section to the use of indicia or images for commercial purposes does not include a reference to use covered by subsection 11(3).</w:t>
      </w:r>
    </w:p>
    <w:p w:rsidR="0029668A" w:rsidRDefault="00F96F68">
      <w:pPr>
        <w:pStyle w:val="ItemHead"/>
        <w:spacing w:before="180"/>
        <w:ind w:left="708" w:hanging="708"/>
      </w:pPr>
      <w:r>
        <w:t>16  Subsection 43(4)</w:t>
      </w:r>
    </w:p>
    <w:p w:rsidR="0029668A" w:rsidRDefault="00F96F68">
      <w:pPr>
        <w:pStyle w:val="Item"/>
      </w:pPr>
      <w:r>
        <w:t>Omit “conduct constituting use of”.</w:t>
      </w:r>
    </w:p>
    <w:p w:rsidR="0029668A" w:rsidRDefault="00F96F68">
      <w:pPr>
        <w:pStyle w:val="ItemHead"/>
        <w:spacing w:before="180"/>
        <w:ind w:left="708" w:hanging="708"/>
      </w:pPr>
      <w:r>
        <w:t>17  Subsection 43(5)</w:t>
      </w:r>
    </w:p>
    <w:p w:rsidR="0029668A" w:rsidRDefault="00F96F68">
      <w:pPr>
        <w:pStyle w:val="Item"/>
      </w:pPr>
      <w:r>
        <w:t>Omit “conduct constituting use of”.</w:t>
      </w:r>
    </w:p>
    <w:p w:rsidR="0029668A" w:rsidRDefault="00F96F68">
      <w:pPr>
        <w:pStyle w:val="ItemHead"/>
        <w:spacing w:before="180"/>
        <w:ind w:left="708" w:hanging="708"/>
      </w:pPr>
      <w:r>
        <w:t>18  Subsection 43(6)</w:t>
      </w:r>
    </w:p>
    <w:p w:rsidR="0029668A" w:rsidRDefault="00F96F68">
      <w:pPr>
        <w:pStyle w:val="Item"/>
      </w:pPr>
      <w:r>
        <w:t>Omit “conduct constituting a use of”.</w:t>
      </w:r>
    </w:p>
    <w:p w:rsidR="0029668A" w:rsidRDefault="00F96F68">
      <w:pPr>
        <w:pStyle w:val="ItemHead"/>
        <w:spacing w:before="180"/>
        <w:ind w:left="708" w:hanging="708"/>
      </w:pPr>
      <w:r>
        <w:t>19  Subsection 43(9)</w:t>
      </w:r>
    </w:p>
    <w:p w:rsidR="0029668A" w:rsidRDefault="00F96F68">
      <w:pPr>
        <w:pStyle w:val="Item"/>
      </w:pPr>
      <w:r>
        <w:t>Omit “the use of”, substitute “an”.</w:t>
      </w:r>
    </w:p>
    <w:p w:rsidR="0029668A" w:rsidRDefault="00F96F68">
      <w:pPr>
        <w:pStyle w:val="ItemHead"/>
        <w:spacing w:before="180"/>
        <w:ind w:left="708" w:hanging="708"/>
      </w:pPr>
      <w:r>
        <w:t>20  Subsection 43(9)</w:t>
      </w:r>
    </w:p>
    <w:p w:rsidR="0029668A" w:rsidRDefault="00F96F68">
      <w:pPr>
        <w:pStyle w:val="Item"/>
      </w:pPr>
      <w:r>
        <w:t>Omit “use of” (last occurring).</w:t>
      </w:r>
    </w:p>
    <w:p w:rsidR="0029668A" w:rsidRDefault="00F96F68">
      <w:pPr>
        <w:pStyle w:val="ItemHead"/>
        <w:spacing w:before="180"/>
        <w:ind w:left="708" w:hanging="708"/>
      </w:pPr>
      <w:r>
        <w:t>21  Transitional—pre-commencement licences</w:t>
      </w:r>
    </w:p>
    <w:p w:rsidR="0029668A" w:rsidRDefault="00F96F68">
      <w:pPr>
        <w:pStyle w:val="Subitem"/>
        <w:spacing w:before="120"/>
        <w:ind w:left="708" w:hanging="708"/>
      </w:pPr>
      <w:r>
        <w:t>(1)</w:t>
      </w:r>
      <w:r>
        <w:tab/>
        <w:t xml:space="preserve">This item applies to a licence in force under section 14 of the </w:t>
      </w:r>
      <w:r>
        <w:rPr>
          <w:i/>
          <w:iCs/>
        </w:rPr>
        <w:t>Sydney 2000 Games (Indicia and Images) Protection Act 1996</w:t>
      </w:r>
      <w:r>
        <w:t xml:space="preserve"> immediately before the commencement of this item.</w:t>
      </w:r>
    </w:p>
    <w:p w:rsidR="0029668A" w:rsidRDefault="00F96F68">
      <w:pPr>
        <w:pStyle w:val="Subitem"/>
        <w:spacing w:before="120"/>
        <w:ind w:left="708" w:hanging="708"/>
      </w:pPr>
      <w:r>
        <w:t>(2)</w:t>
      </w:r>
      <w:r>
        <w:tab/>
        <w:t>The amendments made by this Schedule do not affect the continuity of the licence.</w:t>
      </w:r>
    </w:p>
    <w:p w:rsidR="0029668A" w:rsidRDefault="0029668A">
      <w:pPr>
        <w:pStyle w:val="Subitem"/>
        <w:spacing w:before="0" w:line="240" w:lineRule="auto"/>
        <w:ind w:left="0" w:firstLine="0"/>
        <w:rPr>
          <w:sz w:val="18"/>
          <w:szCs w:val="18"/>
        </w:rPr>
      </w:pPr>
    </w:p>
    <w:p w:rsidR="0029668A" w:rsidRDefault="00F96F68">
      <w:pPr>
        <w:pStyle w:val="Subitem"/>
        <w:pBdr>
          <w:top w:val="single" w:sz="6" w:space="1" w:color="auto"/>
        </w:pBdr>
        <w:spacing w:before="0" w:line="240" w:lineRule="auto"/>
        <w:ind w:left="0" w:firstLine="0"/>
      </w:pPr>
      <w:r>
        <w:rPr>
          <w:sz w:val="20"/>
          <w:szCs w:val="20"/>
        </w:rPr>
        <w:br/>
      </w:r>
      <w:r>
        <w:t>[</w:t>
      </w:r>
      <w:r>
        <w:rPr>
          <w:i/>
          <w:iCs/>
        </w:rPr>
        <w:t>Minister’s second reading speech made in—</w:t>
      </w:r>
      <w:r>
        <w:rPr>
          <w:i/>
          <w:iCs/>
        </w:rPr>
        <w:br/>
        <w:t>House of Representatives on 18 September 1996</w:t>
      </w:r>
      <w:r>
        <w:rPr>
          <w:i/>
          <w:iCs/>
        </w:rPr>
        <w:br/>
        <w:t>Senate on 10 February 1997</w:t>
      </w:r>
      <w:r>
        <w:t>]</w:t>
      </w:r>
    </w:p>
    <w:p w:rsidR="0029668A" w:rsidRDefault="0029668A">
      <w:pPr>
        <w:pStyle w:val="Subitem"/>
        <w:pBdr>
          <w:top w:val="single" w:sz="6" w:space="1" w:color="auto"/>
        </w:pBdr>
        <w:spacing w:before="0" w:line="240" w:lineRule="auto"/>
        <w:ind w:left="0" w:firstLine="0"/>
        <w:rPr>
          <w:sz w:val="24"/>
          <w:szCs w:val="24"/>
        </w:rPr>
      </w:pPr>
    </w:p>
    <w:p w:rsidR="0029668A" w:rsidRDefault="00F96F68">
      <w:pPr>
        <w:pStyle w:val="Subitem"/>
        <w:pBdr>
          <w:top w:val="single" w:sz="6" w:space="1" w:color="auto"/>
        </w:pBdr>
        <w:spacing w:line="240" w:lineRule="auto"/>
        <w:ind w:left="0" w:firstLine="0"/>
      </w:pPr>
      <w:r>
        <w:rPr>
          <w:sz w:val="17"/>
          <w:szCs w:val="17"/>
        </w:rPr>
        <w:t>(110/96)</w:t>
      </w:r>
    </w:p>
    <w:sectPr w:rsidR="002966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31" w:right="2410" w:bottom="3545" w:left="2410" w:header="720" w:footer="411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68A" w:rsidRDefault="00F96F68">
      <w:pPr>
        <w:spacing w:line="240" w:lineRule="auto"/>
      </w:pPr>
      <w:r>
        <w:separator/>
      </w:r>
    </w:p>
  </w:endnote>
  <w:endnote w:type="continuationSeparator" w:id="0">
    <w:p w:rsidR="0029668A" w:rsidRDefault="00F96F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8A" w:rsidRDefault="0029668A">
    <w:pPr>
      <w:pStyle w:val="Footer"/>
      <w:pBdr>
        <w:top w:val="single" w:sz="6" w:space="1" w:color="auto"/>
      </w:pBdr>
      <w:ind w:right="-1" w:firstLine="360"/>
      <w:rPr>
        <w:i/>
        <w:iCs/>
        <w:sz w:val="18"/>
        <w:szCs w:val="18"/>
      </w:rPr>
    </w:pPr>
  </w:p>
  <w:p w:rsidR="0029668A" w:rsidRDefault="00F96F68">
    <w:pPr>
      <w:pStyle w:val="Footer"/>
      <w:ind w:right="-1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</w:instrText>
    </w:r>
    <w:r>
      <w:rPr>
        <w:i/>
        <w:iCs/>
        <w:sz w:val="18"/>
        <w:szCs w:val="18"/>
      </w:rPr>
      <w:fldChar w:fldCharType="separate"/>
    </w:r>
    <w:r w:rsidR="00236DA1">
      <w:rPr>
        <w:i/>
        <w:iCs/>
        <w:noProof/>
        <w:sz w:val="18"/>
        <w:szCs w:val="18"/>
      </w:rPr>
      <w:t>Sydney 2000 Games (Indicia and Images) Protection Amendment Act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</w:instrText>
    </w:r>
    <w:r>
      <w:rPr>
        <w:i/>
        <w:iCs/>
        <w:sz w:val="18"/>
        <w:szCs w:val="18"/>
      </w:rPr>
      <w:fldChar w:fldCharType="separate"/>
    </w:r>
    <w:r w:rsidR="00236DA1">
      <w:rPr>
        <w:i/>
        <w:iCs/>
        <w:noProof/>
        <w:sz w:val="18"/>
        <w:szCs w:val="18"/>
      </w:rPr>
      <w:t>No. 24,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6</w:t>
    </w:r>
    <w:r>
      <w:rPr>
        <w:i/>
        <w:i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8A" w:rsidRDefault="0029668A">
    <w:pPr>
      <w:pStyle w:val="Footer"/>
      <w:pBdr>
        <w:top w:val="single" w:sz="6" w:space="1" w:color="auto"/>
      </w:pBdr>
      <w:ind w:right="-1" w:firstLine="360"/>
      <w:jc w:val="right"/>
      <w:rPr>
        <w:i/>
        <w:iCs/>
        <w:sz w:val="18"/>
        <w:szCs w:val="18"/>
      </w:rPr>
    </w:pPr>
  </w:p>
  <w:p w:rsidR="0029668A" w:rsidRDefault="00F96F68">
    <w:pPr>
      <w:pStyle w:val="Footer"/>
      <w:ind w:right="-1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i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</w:instrTex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</w:instrText>
    </w:r>
    <w:r>
      <w:rPr>
        <w:i/>
        <w:iCs/>
        <w:sz w:val="18"/>
        <w:szCs w:val="18"/>
      </w:rPr>
      <w:fldChar w:fldCharType="separate"/>
    </w:r>
    <w:r w:rsidR="00236DA1">
      <w:rPr>
        <w:i/>
        <w:iCs/>
        <w:noProof/>
        <w:sz w:val="18"/>
        <w:szCs w:val="18"/>
      </w:rPr>
      <w:t>No. 24,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</w:instrText>
    </w:r>
    <w:r>
      <w:rPr>
        <w:i/>
        <w:i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8A" w:rsidRDefault="0029668A">
    <w:pPr>
      <w:pStyle w:val="Footer"/>
      <w:pBdr>
        <w:top w:val="single" w:sz="6" w:space="1" w:color="auto"/>
      </w:pBdr>
      <w:spacing w:line="240" w:lineRule="auto"/>
      <w:rPr>
        <w:i/>
        <w:iCs/>
        <w:sz w:val="18"/>
        <w:szCs w:val="18"/>
      </w:rPr>
    </w:pPr>
  </w:p>
  <w:p w:rsidR="0029668A" w:rsidRDefault="00F96F68">
    <w:pPr>
      <w:pStyle w:val="Footer"/>
      <w:spacing w:line="240" w:lineRule="auto"/>
      <w:rPr>
        <w:i/>
        <w:iCs/>
        <w:sz w:val="18"/>
        <w:szCs w:val="18"/>
      </w:rPr>
    </w:pPr>
    <w:r>
      <w:rPr>
        <w:rStyle w:val="PageNumber"/>
        <w:i/>
        <w:iCs/>
        <w:sz w:val="18"/>
        <w:szCs w:val="18"/>
      </w:rPr>
      <w:fldChar w:fldCharType="begin"/>
    </w:r>
    <w:r>
      <w:rPr>
        <w:rStyle w:val="PageNumber"/>
        <w:i/>
        <w:iCs/>
        <w:sz w:val="18"/>
        <w:szCs w:val="18"/>
      </w:rPr>
      <w:instrText xml:space="preserve"> PAGE </w:instrText>
    </w:r>
    <w:r>
      <w:rPr>
        <w:rStyle w:val="PageNumber"/>
        <w:i/>
        <w:iCs/>
        <w:sz w:val="18"/>
        <w:szCs w:val="18"/>
      </w:rPr>
      <w:fldChar w:fldCharType="separate"/>
    </w:r>
    <w:r>
      <w:rPr>
        <w:rStyle w:val="PageNumber"/>
        <w:i/>
        <w:iCs/>
        <w:sz w:val="18"/>
        <w:szCs w:val="18"/>
      </w:rPr>
      <w:t>4</w:t>
    </w:r>
    <w:r>
      <w:rPr>
        <w:rStyle w:val="PageNumber"/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 </w:instrTex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 </w:instrText>
    </w:r>
    <w:r>
      <w:rPr>
        <w:i/>
        <w:iCs/>
        <w:sz w:val="18"/>
        <w:szCs w:val="18"/>
      </w:rPr>
      <w:fldChar w:fldCharType="separate"/>
    </w:r>
    <w:r w:rsidR="00236DA1">
      <w:rPr>
        <w:i/>
        <w:iCs/>
        <w:noProof/>
        <w:sz w:val="18"/>
        <w:szCs w:val="18"/>
      </w:rPr>
      <w:t>No. 24, 1997</w:t>
    </w:r>
    <w:r>
      <w:rPr>
        <w:i/>
        <w:iCs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8A" w:rsidRDefault="0029668A">
    <w:pPr>
      <w:pStyle w:val="Footer"/>
      <w:pBdr>
        <w:top w:val="single" w:sz="6" w:space="1" w:color="auto"/>
      </w:pBdr>
      <w:ind w:right="-1" w:firstLine="360"/>
      <w:rPr>
        <w:i/>
        <w:iCs/>
        <w:sz w:val="18"/>
        <w:szCs w:val="18"/>
      </w:rPr>
    </w:pPr>
  </w:p>
  <w:p w:rsidR="0029668A" w:rsidRDefault="00F96F68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 </w:instrTex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 </w:instrText>
    </w:r>
    <w:r>
      <w:rPr>
        <w:i/>
        <w:iCs/>
        <w:sz w:val="18"/>
        <w:szCs w:val="18"/>
      </w:rPr>
      <w:fldChar w:fldCharType="separate"/>
    </w:r>
    <w:r w:rsidR="00236DA1">
      <w:rPr>
        <w:i/>
        <w:iCs/>
        <w:noProof/>
        <w:sz w:val="18"/>
        <w:szCs w:val="18"/>
      </w:rPr>
      <w:t>No. 24,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 </w:t>
    </w:r>
    <w:r>
      <w:rPr>
        <w:rStyle w:val="PageNumber"/>
        <w:i/>
        <w:iCs/>
        <w:sz w:val="18"/>
        <w:szCs w:val="18"/>
      </w:rPr>
      <w:fldChar w:fldCharType="begin"/>
    </w:r>
    <w:r>
      <w:rPr>
        <w:rStyle w:val="PageNumber"/>
        <w:i/>
        <w:iCs/>
        <w:sz w:val="18"/>
        <w:szCs w:val="18"/>
      </w:rPr>
      <w:instrText xml:space="preserve"> PAGE </w:instrText>
    </w:r>
    <w:r>
      <w:rPr>
        <w:rStyle w:val="PageNumber"/>
        <w:i/>
        <w:iCs/>
        <w:sz w:val="18"/>
        <w:szCs w:val="18"/>
      </w:rPr>
      <w:fldChar w:fldCharType="separate"/>
    </w:r>
    <w:r>
      <w:rPr>
        <w:rStyle w:val="PageNumber"/>
        <w:i/>
        <w:iCs/>
        <w:sz w:val="18"/>
        <w:szCs w:val="18"/>
      </w:rPr>
      <w:t>3</w:t>
    </w:r>
    <w:r>
      <w:rPr>
        <w:rStyle w:val="PageNumber"/>
        <w:i/>
        <w:iCs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8A" w:rsidRDefault="0029668A">
    <w:pPr>
      <w:pStyle w:val="Footer"/>
      <w:pBdr>
        <w:top w:val="single" w:sz="6" w:space="1" w:color="auto"/>
      </w:pBdr>
      <w:rPr>
        <w:i/>
        <w:iCs/>
        <w:sz w:val="18"/>
        <w:szCs w:val="18"/>
      </w:rPr>
    </w:pPr>
  </w:p>
  <w:p w:rsidR="0029668A" w:rsidRDefault="00F96F68">
    <w:pPr>
      <w:pStyle w:val="Footer"/>
      <w:spacing w:line="240" w:lineRule="auto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</w:instrTex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 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Actno</w:instrText>
    </w:r>
    <w:r>
      <w:rPr>
        <w:i/>
        <w:iCs/>
        <w:sz w:val="18"/>
        <w:szCs w:val="18"/>
      </w:rPr>
      <w:fldChar w:fldCharType="separate"/>
    </w:r>
    <w:r w:rsidR="00236DA1">
      <w:rPr>
        <w:i/>
        <w:iCs/>
        <w:noProof/>
        <w:sz w:val="18"/>
        <w:szCs w:val="18"/>
      </w:rPr>
      <w:t>No. 24, 1997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 </w:instrTex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STYLEREF ShortT</w:instrTex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68A" w:rsidRDefault="00F96F68">
      <w:pPr>
        <w:spacing w:line="240" w:lineRule="auto"/>
      </w:pPr>
      <w:r>
        <w:separator/>
      </w:r>
    </w:p>
  </w:footnote>
  <w:footnote w:type="continuationSeparator" w:id="0">
    <w:p w:rsidR="0029668A" w:rsidRDefault="00F96F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8A" w:rsidRDefault="0029668A">
    <w:pPr>
      <w:pStyle w:val="headerpart"/>
      <w:rPr>
        <w:b w:val="0"/>
        <w:bCs w:val="0"/>
      </w:rPr>
    </w:pPr>
  </w:p>
  <w:p w:rsidR="0029668A" w:rsidRDefault="0029668A">
    <w:pPr>
      <w:pStyle w:val="headerpart"/>
    </w:pPr>
  </w:p>
  <w:p w:rsidR="0029668A" w:rsidRDefault="0029668A">
    <w:pPr>
      <w:pStyle w:val="headerpart"/>
    </w:pPr>
  </w:p>
  <w:p w:rsidR="0029668A" w:rsidRDefault="0029668A">
    <w:pPr>
      <w:pStyle w:val="headerpart"/>
      <w:pBdr>
        <w:bottom w:val="single" w:sz="12" w:space="1" w:color="auto"/>
      </w:pBdr>
      <w:rPr>
        <w:sz w:val="24"/>
        <w:szCs w:val="24"/>
      </w:rPr>
    </w:pPr>
  </w:p>
  <w:p w:rsidR="0029668A" w:rsidRDefault="0029668A">
    <w:pPr>
      <w:pBdr>
        <w:bottom w:val="single" w:sz="6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8A" w:rsidRDefault="0029668A">
    <w:pPr>
      <w:pStyle w:val="headerpartodd"/>
      <w:ind w:left="0" w:firstLine="0"/>
    </w:pPr>
  </w:p>
  <w:p w:rsidR="0029668A" w:rsidRDefault="0029668A">
    <w:pPr>
      <w:pStyle w:val="headerpartodd"/>
      <w:ind w:left="0" w:firstLine="0"/>
      <w:rPr>
        <w:i/>
        <w:iCs/>
      </w:rPr>
    </w:pPr>
  </w:p>
  <w:p w:rsidR="0029668A" w:rsidRDefault="0029668A">
    <w:pPr>
      <w:pStyle w:val="headerpartodd"/>
      <w:ind w:left="0" w:firstLine="0"/>
    </w:pPr>
  </w:p>
  <w:p w:rsidR="0029668A" w:rsidRDefault="0029668A">
    <w:pPr>
      <w:pStyle w:val="headerpartodd"/>
      <w:ind w:left="0" w:firstLine="0"/>
    </w:pPr>
  </w:p>
  <w:p w:rsidR="0029668A" w:rsidRDefault="0029668A">
    <w:pPr>
      <w:pStyle w:val="headerpartodd"/>
      <w:pBdr>
        <w:bottom w:val="single" w:sz="12" w:space="1" w:color="auto"/>
      </w:pBdr>
      <w:ind w:left="0" w:firstLine="0"/>
      <w:jc w:val="right"/>
      <w:rPr>
        <w:i/>
        <w:iCs/>
      </w:rPr>
    </w:pPr>
  </w:p>
  <w:p w:rsidR="0029668A" w:rsidRDefault="0029668A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8A" w:rsidRDefault="00F96F68">
    <w:pPr>
      <w:pStyle w:val="headerpart"/>
      <w:rPr>
        <w:b w:val="0"/>
        <w:bCs w:val="0"/>
        <w:sz w:val="24"/>
        <w:szCs w:val="24"/>
      </w:rPr>
    </w:pPr>
    <w:r>
      <w:fldChar w:fldCharType="begin"/>
    </w:r>
    <w:r>
      <w:instrText xml:space="preserve"> STYLEREF CharAmSchNo </w:instrText>
    </w:r>
    <w:r>
      <w:fldChar w:fldCharType="separate"/>
    </w:r>
    <w:r w:rsidR="00236DA1">
      <w:rPr>
        <w:noProof/>
      </w:rPr>
      <w:t>Schedule 1</w:t>
    </w:r>
    <w:r>
      <w:fldChar w:fldCharType="end"/>
    </w:r>
    <w:r>
      <w:t xml:space="preserve"> </w:t>
    </w:r>
    <w:r>
      <w:rPr>
        <w:b w:val="0"/>
        <w:bCs w:val="0"/>
      </w:rPr>
      <w:t xml:space="preserve"> </w:t>
    </w:r>
    <w:r>
      <w:rPr>
        <w:b w:val="0"/>
        <w:bCs w:val="0"/>
      </w:rPr>
      <w:fldChar w:fldCharType="begin"/>
    </w:r>
    <w:r>
      <w:rPr>
        <w:b w:val="0"/>
        <w:bCs w:val="0"/>
      </w:rPr>
      <w:instrText xml:space="preserve"> STYLEREF CharAmSchText </w:instrText>
    </w:r>
    <w:r>
      <w:rPr>
        <w:b w:val="0"/>
        <w:bCs w:val="0"/>
      </w:rPr>
      <w:fldChar w:fldCharType="separate"/>
    </w:r>
    <w:r w:rsidR="00236DA1">
      <w:rPr>
        <w:b w:val="0"/>
        <w:bCs w:val="0"/>
        <w:noProof/>
      </w:rPr>
      <w:t>Amendments</w:t>
    </w:r>
    <w:r>
      <w:rPr>
        <w:b w:val="0"/>
        <w:bCs w:val="0"/>
      </w:rPr>
      <w:fldChar w:fldCharType="end"/>
    </w:r>
  </w:p>
  <w:p w:rsidR="0029668A" w:rsidRDefault="0029668A">
    <w:pPr>
      <w:pBdr>
        <w:bottom w:val="single" w:sz="6" w:space="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8A" w:rsidRDefault="00F96F68">
    <w:pPr>
      <w:pStyle w:val="headerpart"/>
      <w:jc w:val="right"/>
      <w:rPr>
        <w:sz w:val="24"/>
        <w:szCs w:val="24"/>
      </w:rPr>
    </w:pPr>
    <w:r>
      <w:rPr>
        <w:b w:val="0"/>
        <w:bCs w:val="0"/>
      </w:rPr>
      <w:fldChar w:fldCharType="begin"/>
    </w:r>
    <w:r>
      <w:rPr>
        <w:b w:val="0"/>
        <w:bCs w:val="0"/>
      </w:rPr>
      <w:instrText xml:space="preserve"> STYLEREF CharAmSchText </w:instrText>
    </w:r>
    <w:r>
      <w:rPr>
        <w:b w:val="0"/>
        <w:bCs w:val="0"/>
      </w:rPr>
      <w:fldChar w:fldCharType="separate"/>
    </w:r>
    <w:r w:rsidR="00236DA1">
      <w:rPr>
        <w:b w:val="0"/>
        <w:bCs w:val="0"/>
        <w:noProof/>
      </w:rPr>
      <w:t>Amendments</w:t>
    </w:r>
    <w:r>
      <w:rPr>
        <w:b w:val="0"/>
        <w:bCs w:val="0"/>
      </w:rPr>
      <w:fldChar w:fldCharType="end"/>
    </w:r>
    <w:r>
      <w:rPr>
        <w:b w:val="0"/>
        <w:bCs w:val="0"/>
      </w:rPr>
      <w:t xml:space="preserve">  </w:t>
    </w:r>
    <w:r>
      <w:fldChar w:fldCharType="begin"/>
    </w:r>
    <w:r>
      <w:instrText xml:space="preserve"> STYLEREF CharAmSchNo </w:instrText>
    </w:r>
    <w:r>
      <w:fldChar w:fldCharType="separate"/>
    </w:r>
    <w:r w:rsidR="00236DA1">
      <w:rPr>
        <w:noProof/>
      </w:rPr>
      <w:t>Schedule 1</w:t>
    </w:r>
    <w:r>
      <w:fldChar w:fldCharType="end"/>
    </w:r>
  </w:p>
  <w:p w:rsidR="0029668A" w:rsidRDefault="0029668A">
    <w:pPr>
      <w:pBdr>
        <w:bottom w:val="single" w:sz="6" w:space="1" w:color="auto"/>
      </w:pBd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8A" w:rsidRDefault="0029668A">
    <w:pPr>
      <w:tabs>
        <w:tab w:val="center" w:pos="368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bordersDoNotSurroundHeader/>
  <w:bordersDoNotSurroundFooter/>
  <w:proofState w:spelling="clean"/>
  <w:defaultTabStop w:val="1134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E5"/>
    <w:rsid w:val="001A045E"/>
    <w:rsid w:val="00236DA1"/>
    <w:rsid w:val="0029668A"/>
    <w:rsid w:val="007F6AE5"/>
    <w:rsid w:val="00F96F68"/>
    <w:rsid w:val="00F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60" w:lineRule="atLeast"/>
    </w:pPr>
    <w:rPr>
      <w:rFonts w:ascii="Times" w:hAnsi="Times" w:cs="Times"/>
      <w:lang w:val="en-AU"/>
    </w:rPr>
  </w:style>
  <w:style w:type="paragraph" w:styleId="Heading1">
    <w:name w:val="heading 1"/>
    <w:aliases w:val="c"/>
    <w:basedOn w:val="Normal"/>
    <w:next w:val="Heading2"/>
    <w:link w:val="Heading1Char"/>
    <w:uiPriority w:val="99"/>
    <w:qFormat/>
    <w:pPr>
      <w:keepNext/>
      <w:keepLines/>
      <w:tabs>
        <w:tab w:val="left" w:pos="1247"/>
      </w:tabs>
      <w:spacing w:line="240" w:lineRule="auto"/>
      <w:ind w:left="1134" w:hanging="1134"/>
      <w:outlineLvl w:val="0"/>
    </w:pPr>
    <w:rPr>
      <w:b/>
      <w:bCs/>
      <w:kern w:val="28"/>
      <w:sz w:val="36"/>
      <w:szCs w:val="36"/>
    </w:rPr>
  </w:style>
  <w:style w:type="paragraph" w:styleId="Heading2">
    <w:name w:val="heading 2"/>
    <w:aliases w:val="p"/>
    <w:basedOn w:val="Heading1"/>
    <w:next w:val="Heading3"/>
    <w:link w:val="Heading2Char"/>
    <w:uiPriority w:val="99"/>
    <w:qFormat/>
    <w:pPr>
      <w:spacing w:before="280"/>
      <w:outlineLvl w:val="1"/>
    </w:pPr>
    <w:rPr>
      <w:sz w:val="32"/>
      <w:szCs w:val="32"/>
    </w:rPr>
  </w:style>
  <w:style w:type="paragraph" w:styleId="Heading3">
    <w:name w:val="heading 3"/>
    <w:aliases w:val="d"/>
    <w:basedOn w:val="Heading1"/>
    <w:next w:val="Heading4"/>
    <w:link w:val="Heading3Char"/>
    <w:uiPriority w:val="99"/>
    <w:qFormat/>
    <w:pPr>
      <w:spacing w:before="240"/>
      <w:outlineLvl w:val="2"/>
    </w:pPr>
    <w:rPr>
      <w:sz w:val="28"/>
      <w:szCs w:val="28"/>
    </w:rPr>
  </w:style>
  <w:style w:type="paragraph" w:styleId="Heading4">
    <w:name w:val="heading 4"/>
    <w:aliases w:val="sd"/>
    <w:basedOn w:val="Heading1"/>
    <w:next w:val="Heading5"/>
    <w:link w:val="Heading4Char"/>
    <w:uiPriority w:val="99"/>
    <w:qFormat/>
    <w:pPr>
      <w:spacing w:before="220"/>
      <w:outlineLvl w:val="3"/>
    </w:pPr>
    <w:rPr>
      <w:sz w:val="26"/>
      <w:szCs w:val="26"/>
    </w:rPr>
  </w:style>
  <w:style w:type="paragraph" w:styleId="Heading5">
    <w:name w:val="heading 5"/>
    <w:aliases w:val="s"/>
    <w:basedOn w:val="Heading1"/>
    <w:next w:val="subsection"/>
    <w:link w:val="Heading5Char"/>
    <w:uiPriority w:val="99"/>
    <w:qFormat/>
    <w:pPr>
      <w:tabs>
        <w:tab w:val="clear" w:pos="1247"/>
        <w:tab w:val="right" w:pos="1032"/>
        <w:tab w:val="left" w:pos="1134"/>
      </w:tabs>
      <w:spacing w:before="280"/>
      <w:outlineLvl w:val="4"/>
    </w:pPr>
    <w:rPr>
      <w:sz w:val="24"/>
      <w:szCs w:val="24"/>
    </w:rPr>
  </w:style>
  <w:style w:type="paragraph" w:styleId="Heading6">
    <w:name w:val="heading 6"/>
    <w:aliases w:val="as"/>
    <w:basedOn w:val="Heading1"/>
    <w:next w:val="ItemHead"/>
    <w:link w:val="Heading6Char"/>
    <w:uiPriority w:val="99"/>
    <w:qFormat/>
    <w:pPr>
      <w:outlineLvl w:val="5"/>
    </w:pPr>
    <w:rPr>
      <w:rFonts w:ascii="Helvetica" w:hAnsi="Helvetica" w:cs="Helvetica"/>
      <w:sz w:val="32"/>
      <w:szCs w:val="32"/>
    </w:rPr>
  </w:style>
  <w:style w:type="paragraph" w:styleId="Heading7">
    <w:name w:val="heading 7"/>
    <w:aliases w:val="ap"/>
    <w:basedOn w:val="Heading6"/>
    <w:next w:val="ItemHead"/>
    <w:link w:val="Heading7Char"/>
    <w:uiPriority w:val="99"/>
    <w:qFormat/>
    <w:pPr>
      <w:spacing w:before="280"/>
      <w:outlineLvl w:val="6"/>
    </w:pPr>
    <w:rPr>
      <w:sz w:val="28"/>
      <w:szCs w:val="28"/>
    </w:rPr>
  </w:style>
  <w:style w:type="paragraph" w:styleId="Heading8">
    <w:name w:val="heading 8"/>
    <w:aliases w:val="ad"/>
    <w:basedOn w:val="Heading6"/>
    <w:next w:val="Normal"/>
    <w:link w:val="Heading8Char"/>
    <w:uiPriority w:val="99"/>
    <w:qFormat/>
    <w:pPr>
      <w:spacing w:before="240"/>
      <w:outlineLvl w:val="7"/>
    </w:pPr>
    <w:rPr>
      <w:sz w:val="26"/>
      <w:szCs w:val="26"/>
    </w:rPr>
  </w:style>
  <w:style w:type="paragraph" w:styleId="Heading9">
    <w:name w:val="heading 9"/>
    <w:aliases w:val="aat"/>
    <w:basedOn w:val="Heading1"/>
    <w:next w:val="ItemHead"/>
    <w:link w:val="Heading9Char"/>
    <w:uiPriority w:val="99"/>
    <w:qFormat/>
    <w:pPr>
      <w:keepNext w:val="0"/>
      <w:spacing w:before="280"/>
      <w:outlineLvl w:val="8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aliases w:val="p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aliases w:val="d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aliases w:val="sd Char"/>
    <w:basedOn w:val="DefaultParagraphFont"/>
    <w:link w:val="Heading4"/>
    <w:uiPriority w:val="9"/>
    <w:semiHidden/>
    <w:rPr>
      <w:b/>
      <w:bCs/>
      <w:sz w:val="28"/>
      <w:szCs w:val="28"/>
      <w:lang w:val="en-AU"/>
    </w:rPr>
  </w:style>
  <w:style w:type="character" w:customStyle="1" w:styleId="Heading5Char">
    <w:name w:val="Heading 5 Char"/>
    <w:aliases w:val="s Char"/>
    <w:basedOn w:val="DefaultParagraphFont"/>
    <w:link w:val="Heading5"/>
    <w:uiPriority w:val="9"/>
    <w:semiHidden/>
    <w:rPr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aliases w:val="as Char"/>
    <w:basedOn w:val="DefaultParagraphFont"/>
    <w:link w:val="Heading6"/>
    <w:uiPriority w:val="9"/>
    <w:semiHidden/>
    <w:rPr>
      <w:b/>
      <w:bCs/>
      <w:lang w:val="en-AU"/>
    </w:rPr>
  </w:style>
  <w:style w:type="character" w:customStyle="1" w:styleId="Heading7Char">
    <w:name w:val="Heading 7 Char"/>
    <w:aliases w:val="ap Char"/>
    <w:basedOn w:val="DefaultParagraphFont"/>
    <w:link w:val="Heading7"/>
    <w:uiPriority w:val="9"/>
    <w:semiHidden/>
    <w:rPr>
      <w:sz w:val="24"/>
      <w:szCs w:val="24"/>
      <w:lang w:val="en-AU"/>
    </w:rPr>
  </w:style>
  <w:style w:type="character" w:customStyle="1" w:styleId="Heading8Char">
    <w:name w:val="Heading 8 Char"/>
    <w:aliases w:val="ad Char"/>
    <w:basedOn w:val="DefaultParagraphFont"/>
    <w:link w:val="Heading8"/>
    <w:uiPriority w:val="9"/>
    <w:semiHidden/>
    <w:rPr>
      <w:i/>
      <w:iCs/>
      <w:sz w:val="24"/>
      <w:szCs w:val="24"/>
      <w:lang w:val="en-AU"/>
    </w:rPr>
  </w:style>
  <w:style w:type="character" w:customStyle="1" w:styleId="Heading9Char">
    <w:name w:val="Heading 9 Char"/>
    <w:aliases w:val="aat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lang w:val="en-AU"/>
    </w:rPr>
  </w:style>
  <w:style w:type="paragraph" w:customStyle="1" w:styleId="subsection">
    <w:name w:val="subsection"/>
    <w:aliases w:val="ss"/>
    <w:basedOn w:val="Normal"/>
    <w:uiPriority w:val="99"/>
    <w:pPr>
      <w:tabs>
        <w:tab w:val="right" w:pos="1021"/>
      </w:tabs>
      <w:spacing w:before="180"/>
      <w:ind w:left="1134" w:hanging="1134"/>
    </w:pPr>
  </w:style>
  <w:style w:type="paragraph" w:customStyle="1" w:styleId="ItemHead">
    <w:name w:val="ItemHead"/>
    <w:aliases w:val="ih"/>
    <w:basedOn w:val="Heading1"/>
    <w:next w:val="Item"/>
    <w:uiPriority w:val="99"/>
    <w:pPr>
      <w:keepNext w:val="0"/>
      <w:tabs>
        <w:tab w:val="clear" w:pos="1247"/>
      </w:tabs>
      <w:spacing w:before="220"/>
      <w:ind w:left="709" w:hanging="709"/>
      <w:outlineLvl w:val="9"/>
    </w:pPr>
    <w:rPr>
      <w:rFonts w:ascii="Helvetica" w:hAnsi="Helvetica" w:cs="Helvetica"/>
      <w:sz w:val="24"/>
      <w:szCs w:val="24"/>
    </w:rPr>
  </w:style>
  <w:style w:type="paragraph" w:customStyle="1" w:styleId="Item">
    <w:name w:val="Item"/>
    <w:aliases w:val="i"/>
    <w:basedOn w:val="subsection"/>
    <w:uiPriority w:val="99"/>
    <w:pPr>
      <w:keepLines/>
      <w:tabs>
        <w:tab w:val="clear" w:pos="1021"/>
      </w:tabs>
      <w:spacing w:before="80"/>
      <w:ind w:left="709" w:firstLine="0"/>
    </w:pPr>
  </w:style>
  <w:style w:type="character" w:customStyle="1" w:styleId="CharSubdNo">
    <w:name w:val="CharSubdNo"/>
    <w:basedOn w:val="DefaultParagraphFont"/>
    <w:uiPriority w:val="99"/>
  </w:style>
  <w:style w:type="character" w:styleId="LineNumber">
    <w:name w:val="line number"/>
    <w:basedOn w:val="DefaultParagraphFont"/>
    <w:uiPriority w:val="99"/>
    <w:rPr>
      <w:rFonts w:ascii="Times" w:hAnsi="Times" w:cs="Times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lang w:val="en-AU"/>
    </w:rPr>
  </w:style>
  <w:style w:type="paragraph" w:styleId="Header">
    <w:name w:val="header"/>
    <w:basedOn w:val="Normal"/>
    <w:next w:val="Heading5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lang w:val="en-AU"/>
    </w:rPr>
  </w:style>
  <w:style w:type="paragraph" w:customStyle="1" w:styleId="headerpart">
    <w:name w:val="header.part"/>
    <w:basedOn w:val="Normal"/>
    <w:uiPriority w:val="99"/>
    <w:pPr>
      <w:keepNext/>
    </w:pPr>
    <w:rPr>
      <w:b/>
      <w:bCs/>
      <w:sz w:val="20"/>
      <w:szCs w:val="20"/>
    </w:rPr>
  </w:style>
  <w:style w:type="paragraph" w:customStyle="1" w:styleId="parabullet">
    <w:name w:val="para bullet"/>
    <w:aliases w:val="b"/>
    <w:basedOn w:val="Normal"/>
    <w:uiPriority w:val="99"/>
    <w:pPr>
      <w:spacing w:before="240"/>
      <w:ind w:left="1843" w:hanging="283"/>
    </w:pPr>
  </w:style>
  <w:style w:type="paragraph" w:customStyle="1" w:styleId="headerpartodd">
    <w:name w:val="header.part.odd"/>
    <w:basedOn w:val="headerpart"/>
    <w:uiPriority w:val="99"/>
    <w:pPr>
      <w:ind w:left="5387" w:hanging="1134"/>
    </w:pPr>
  </w:style>
  <w:style w:type="paragraph" w:customStyle="1" w:styleId="indenta">
    <w:name w:val="indent(a)"/>
    <w:aliases w:val="a"/>
    <w:basedOn w:val="Normal"/>
    <w:uiPriority w:val="99"/>
    <w:pPr>
      <w:tabs>
        <w:tab w:val="right" w:pos="1531"/>
      </w:tabs>
      <w:spacing w:before="40"/>
      <w:ind w:left="1644" w:hanging="1644"/>
    </w:pPr>
  </w:style>
  <w:style w:type="paragraph" w:customStyle="1" w:styleId="indentii">
    <w:name w:val="indent(ii)"/>
    <w:aliases w:val="aa"/>
    <w:basedOn w:val="indenta"/>
    <w:uiPriority w:val="99"/>
    <w:pPr>
      <w:tabs>
        <w:tab w:val="clear" w:pos="1531"/>
        <w:tab w:val="right" w:pos="1985"/>
      </w:tabs>
      <w:ind w:left="2098" w:hanging="2098"/>
    </w:pPr>
  </w:style>
  <w:style w:type="paragraph" w:customStyle="1" w:styleId="notetext">
    <w:name w:val="note(text)"/>
    <w:aliases w:val="n"/>
    <w:basedOn w:val="Normal"/>
    <w:uiPriority w:val="99"/>
    <w:pPr>
      <w:spacing w:before="122" w:line="198" w:lineRule="exact"/>
      <w:ind w:left="1985" w:hanging="851"/>
    </w:pPr>
    <w:rPr>
      <w:sz w:val="18"/>
      <w:szCs w:val="18"/>
    </w:rPr>
  </w:style>
  <w:style w:type="paragraph" w:customStyle="1" w:styleId="Definition">
    <w:name w:val="Definition"/>
    <w:aliases w:val="dd"/>
    <w:basedOn w:val="subsection"/>
    <w:uiPriority w:val="99"/>
    <w:pPr>
      <w:tabs>
        <w:tab w:val="clear" w:pos="1021"/>
      </w:tabs>
      <w:ind w:firstLine="0"/>
    </w:pPr>
  </w:style>
  <w:style w:type="paragraph" w:customStyle="1" w:styleId="Penalty">
    <w:name w:val="Penalty"/>
    <w:basedOn w:val="Normal"/>
    <w:uiPriority w:val="99"/>
    <w:pPr>
      <w:tabs>
        <w:tab w:val="left" w:pos="2977"/>
      </w:tabs>
      <w:spacing w:before="180"/>
      <w:ind w:left="1985" w:hanging="851"/>
    </w:pPr>
  </w:style>
  <w:style w:type="paragraph" w:customStyle="1" w:styleId="indentA0">
    <w:name w:val="indent(A)"/>
    <w:aliases w:val="aaa"/>
    <w:basedOn w:val="indenta"/>
    <w:uiPriority w:val="99"/>
    <w:pPr>
      <w:tabs>
        <w:tab w:val="clear" w:pos="1531"/>
        <w:tab w:val="right" w:pos="2722"/>
      </w:tabs>
      <w:ind w:left="2835" w:hanging="2835"/>
    </w:pPr>
  </w:style>
  <w:style w:type="paragraph" w:customStyle="1" w:styleId="SubsectionHead">
    <w:name w:val="SubsectionHead"/>
    <w:aliases w:val="ssh"/>
    <w:basedOn w:val="subsection"/>
    <w:next w:val="subsection"/>
    <w:uiPriority w:val="99"/>
    <w:pPr>
      <w:keepNext/>
      <w:keepLines/>
      <w:tabs>
        <w:tab w:val="clear" w:pos="1021"/>
      </w:tabs>
      <w:spacing w:before="240"/>
      <w:ind w:firstLine="0"/>
    </w:pPr>
    <w:rPr>
      <w:i/>
      <w:iCs/>
    </w:rPr>
  </w:style>
  <w:style w:type="paragraph" w:customStyle="1" w:styleId="subsection2">
    <w:name w:val="subsection2"/>
    <w:aliases w:val="ss2"/>
    <w:basedOn w:val="subsection"/>
    <w:next w:val="subsection"/>
    <w:uiPriority w:val="99"/>
    <w:pPr>
      <w:tabs>
        <w:tab w:val="clear" w:pos="1021"/>
      </w:tabs>
      <w:spacing w:before="40"/>
      <w:ind w:firstLine="0"/>
    </w:pPr>
  </w:style>
  <w:style w:type="character" w:styleId="PageNumber">
    <w:name w:val="page number"/>
    <w:basedOn w:val="DefaultParagraphFont"/>
    <w:uiPriority w:val="99"/>
  </w:style>
  <w:style w:type="paragraph" w:customStyle="1" w:styleId="LongT">
    <w:name w:val="LongT"/>
    <w:basedOn w:val="Normal"/>
    <w:uiPriority w:val="99"/>
    <w:pPr>
      <w:spacing w:line="240" w:lineRule="auto"/>
    </w:pPr>
    <w:rPr>
      <w:b/>
      <w:bCs/>
      <w:sz w:val="32"/>
      <w:szCs w:val="32"/>
    </w:rPr>
  </w:style>
  <w:style w:type="paragraph" w:customStyle="1" w:styleId="ShortT">
    <w:name w:val="ShortT"/>
    <w:basedOn w:val="Normal"/>
    <w:next w:val="Normal"/>
    <w:uiPriority w:val="99"/>
    <w:pPr>
      <w:spacing w:line="240" w:lineRule="auto"/>
    </w:pPr>
    <w:rPr>
      <w:b/>
      <w:bCs/>
      <w:sz w:val="40"/>
      <w:szCs w:val="40"/>
    </w:rPr>
  </w:style>
  <w:style w:type="paragraph" w:styleId="TOC1">
    <w:name w:val="toc 1"/>
    <w:basedOn w:val="Heading1"/>
    <w:next w:val="Normal"/>
    <w:uiPriority w:val="99"/>
    <w:pPr>
      <w:tabs>
        <w:tab w:val="clear" w:pos="1247"/>
        <w:tab w:val="right" w:pos="7087"/>
      </w:tabs>
      <w:spacing w:before="120"/>
      <w:ind w:left="1474" w:right="567" w:hanging="1474"/>
      <w:outlineLvl w:val="9"/>
    </w:pPr>
    <w:rPr>
      <w:sz w:val="28"/>
      <w:szCs w:val="28"/>
    </w:rPr>
  </w:style>
  <w:style w:type="paragraph" w:styleId="TOC9">
    <w:name w:val="toc 9"/>
    <w:basedOn w:val="Heading9"/>
    <w:next w:val="Normal"/>
    <w:uiPriority w:val="99"/>
    <w:pPr>
      <w:tabs>
        <w:tab w:val="clear" w:pos="1247"/>
        <w:tab w:val="right" w:pos="7087"/>
      </w:tabs>
      <w:spacing w:before="80"/>
      <w:ind w:left="851" w:right="567" w:firstLine="0"/>
      <w:outlineLvl w:val="9"/>
    </w:pPr>
    <w:rPr>
      <w:b w:val="0"/>
      <w:bCs w:val="0"/>
      <w:sz w:val="20"/>
      <w:szCs w:val="20"/>
    </w:rPr>
  </w:style>
  <w:style w:type="paragraph" w:styleId="TOC2">
    <w:name w:val="toc 2"/>
    <w:basedOn w:val="Heading2"/>
    <w:next w:val="Normal"/>
    <w:uiPriority w:val="99"/>
    <w:pPr>
      <w:tabs>
        <w:tab w:val="clear" w:pos="1247"/>
        <w:tab w:val="right" w:pos="7087"/>
      </w:tabs>
      <w:spacing w:before="120"/>
      <w:ind w:left="879" w:right="567" w:hanging="879"/>
      <w:outlineLvl w:val="9"/>
    </w:pPr>
    <w:rPr>
      <w:sz w:val="24"/>
      <w:szCs w:val="24"/>
    </w:rPr>
  </w:style>
  <w:style w:type="paragraph" w:styleId="TOC3">
    <w:name w:val="toc 3"/>
    <w:basedOn w:val="Heading3"/>
    <w:next w:val="Normal"/>
    <w:uiPriority w:val="99"/>
    <w:pPr>
      <w:tabs>
        <w:tab w:val="clear" w:pos="1247"/>
        <w:tab w:val="right" w:pos="7087"/>
      </w:tabs>
      <w:spacing w:before="80"/>
      <w:ind w:left="1604" w:right="567" w:hanging="1179"/>
      <w:outlineLvl w:val="9"/>
    </w:pPr>
    <w:rPr>
      <w:sz w:val="22"/>
      <w:szCs w:val="22"/>
    </w:rPr>
  </w:style>
  <w:style w:type="paragraph" w:styleId="TOC4">
    <w:name w:val="toc 4"/>
    <w:basedOn w:val="Heading4"/>
    <w:next w:val="Normal"/>
    <w:uiPriority w:val="99"/>
    <w:pPr>
      <w:tabs>
        <w:tab w:val="clear" w:pos="1247"/>
        <w:tab w:val="right" w:pos="7087"/>
      </w:tabs>
      <w:spacing w:before="80"/>
      <w:ind w:left="2183" w:right="567" w:hanging="1332"/>
      <w:outlineLvl w:val="9"/>
    </w:pPr>
    <w:rPr>
      <w:sz w:val="20"/>
      <w:szCs w:val="20"/>
    </w:rPr>
  </w:style>
  <w:style w:type="paragraph" w:styleId="TOC5">
    <w:name w:val="toc 5"/>
    <w:basedOn w:val="Heading5"/>
    <w:next w:val="Normal"/>
    <w:uiPriority w:val="99"/>
    <w:pPr>
      <w:keepNext w:val="0"/>
      <w:tabs>
        <w:tab w:val="clear" w:pos="1032"/>
        <w:tab w:val="right" w:leader="dot" w:pos="7087"/>
      </w:tabs>
      <w:spacing w:before="40"/>
      <w:ind w:left="2098" w:right="567" w:hanging="680"/>
      <w:outlineLvl w:val="9"/>
    </w:pPr>
    <w:rPr>
      <w:b w:val="0"/>
      <w:bCs w:val="0"/>
      <w:sz w:val="18"/>
      <w:szCs w:val="18"/>
    </w:rPr>
  </w:style>
  <w:style w:type="paragraph" w:styleId="TOC6">
    <w:name w:val="toc 6"/>
    <w:basedOn w:val="TOC1"/>
    <w:next w:val="Normal"/>
    <w:uiPriority w:val="99"/>
    <w:pPr>
      <w:keepNext w:val="0"/>
      <w:ind w:left="1344" w:hanging="1344"/>
    </w:pPr>
    <w:rPr>
      <w:sz w:val="24"/>
      <w:szCs w:val="24"/>
    </w:rPr>
  </w:style>
  <w:style w:type="paragraph" w:styleId="TOC7">
    <w:name w:val="toc 7"/>
    <w:basedOn w:val="TOC2"/>
    <w:next w:val="Normal"/>
    <w:uiPriority w:val="99"/>
    <w:pPr>
      <w:keepNext w:val="0"/>
      <w:ind w:left="1253" w:hanging="828"/>
    </w:pPr>
    <w:rPr>
      <w:b w:val="0"/>
      <w:bCs w:val="0"/>
    </w:rPr>
  </w:style>
  <w:style w:type="paragraph" w:styleId="TOC8">
    <w:name w:val="toc 8"/>
    <w:basedOn w:val="TOC3"/>
    <w:next w:val="Normal"/>
    <w:uiPriority w:val="99"/>
    <w:pPr>
      <w:keepNext w:val="0"/>
      <w:ind w:left="1900" w:hanging="1049"/>
    </w:pPr>
    <w:rPr>
      <w:b w:val="0"/>
      <w:bCs w:val="0"/>
      <w:sz w:val="20"/>
      <w:szCs w:val="20"/>
    </w:rPr>
  </w:style>
  <w:style w:type="paragraph" w:customStyle="1" w:styleId="hdrsection">
    <w:name w:val="hdrsection"/>
    <w:basedOn w:val="Normal"/>
    <w:uiPriority w:val="99"/>
    <w:pPr>
      <w:keepNext/>
      <w:spacing w:line="240" w:lineRule="auto"/>
    </w:pPr>
    <w:rPr>
      <w:b/>
      <w:bCs/>
      <w:sz w:val="24"/>
      <w:szCs w:val="24"/>
    </w:rPr>
  </w:style>
  <w:style w:type="paragraph" w:customStyle="1" w:styleId="Actno">
    <w:name w:val="Actno"/>
    <w:basedOn w:val="ShortT"/>
    <w:next w:val="Normal"/>
    <w:uiPriority w:val="99"/>
    <w:pPr>
      <w:jc w:val="center"/>
    </w:pPr>
  </w:style>
  <w:style w:type="paragraph" w:customStyle="1" w:styleId="Table">
    <w:name w:val="Table"/>
    <w:aliases w:val="t"/>
    <w:basedOn w:val="Normal"/>
    <w:uiPriority w:val="99"/>
    <w:pPr>
      <w:spacing w:before="60" w:line="240" w:lineRule="atLeast"/>
    </w:pPr>
    <w:rPr>
      <w:sz w:val="20"/>
      <w:szCs w:val="20"/>
    </w:rPr>
  </w:style>
  <w:style w:type="paragraph" w:customStyle="1" w:styleId="BoxHeadBold">
    <w:name w:val="BoxHeadBold"/>
    <w:aliases w:val="bhb"/>
    <w:basedOn w:val="BoxText"/>
    <w:next w:val="BoxText"/>
    <w:uiPriority w:val="99"/>
    <w:rPr>
      <w:b/>
      <w:bCs/>
    </w:rPr>
  </w:style>
  <w:style w:type="paragraph" w:customStyle="1" w:styleId="BoxText">
    <w:name w:val="BoxText"/>
    <w:aliases w:val="bt"/>
    <w:basedOn w:val="Normal"/>
    <w:uiPriority w:val="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</w:style>
  <w:style w:type="paragraph" w:customStyle="1" w:styleId="Subitem">
    <w:name w:val="Subitem"/>
    <w:aliases w:val="iss"/>
    <w:basedOn w:val="Normal"/>
    <w:uiPriority w:val="99"/>
    <w:pPr>
      <w:tabs>
        <w:tab w:val="left" w:pos="0"/>
      </w:tabs>
      <w:spacing w:before="180"/>
      <w:ind w:left="709" w:hanging="709"/>
    </w:pPr>
  </w:style>
  <w:style w:type="paragraph" w:customStyle="1" w:styleId="notemargin">
    <w:name w:val="note(margin)"/>
    <w:aliases w:val="nm"/>
    <w:basedOn w:val="notetext"/>
    <w:uiPriority w:val="99"/>
    <w:pPr>
      <w:tabs>
        <w:tab w:val="left" w:pos="709"/>
      </w:tabs>
      <w:ind w:left="709" w:hanging="709"/>
    </w:pPr>
  </w:style>
  <w:style w:type="paragraph" w:customStyle="1" w:styleId="notepara">
    <w:name w:val="note(para)"/>
    <w:aliases w:val="na"/>
    <w:basedOn w:val="notetext"/>
    <w:uiPriority w:val="99"/>
    <w:pPr>
      <w:ind w:left="2353" w:hanging="709"/>
    </w:pPr>
  </w:style>
  <w:style w:type="paragraph" w:customStyle="1" w:styleId="Page1">
    <w:name w:val="Page1"/>
    <w:basedOn w:val="Normal"/>
    <w:uiPriority w:val="99"/>
    <w:pPr>
      <w:spacing w:before="400" w:line="240" w:lineRule="auto"/>
    </w:pPr>
    <w:rPr>
      <w:b/>
      <w:bCs/>
      <w:sz w:val="32"/>
      <w:szCs w:val="32"/>
    </w:rPr>
  </w:style>
  <w:style w:type="paragraph" w:customStyle="1" w:styleId="BoxHeadItalic">
    <w:name w:val="BoxHeadItalic"/>
    <w:aliases w:val="bhi"/>
    <w:basedOn w:val="BoxHeadBold"/>
    <w:next w:val="BoxText"/>
    <w:uiPriority w:val="99"/>
    <w:rPr>
      <w:b w:val="0"/>
      <w:bCs w:val="0"/>
      <w:i/>
      <w:iCs/>
    </w:rPr>
  </w:style>
  <w:style w:type="paragraph" w:customStyle="1" w:styleId="BoxList">
    <w:name w:val="BoxList"/>
    <w:aliases w:val="bl"/>
    <w:basedOn w:val="BoxText"/>
    <w:uiPriority w:val="99"/>
    <w:pPr>
      <w:ind w:left="1560" w:hanging="426"/>
    </w:pPr>
  </w:style>
  <w:style w:type="paragraph" w:customStyle="1" w:styleId="BoxPara">
    <w:name w:val="BoxPara"/>
    <w:aliases w:val="bp"/>
    <w:basedOn w:val="BoxText"/>
    <w:uiPriority w:val="9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uiPriority w:val="99"/>
    <w:pPr>
      <w:ind w:left="1985" w:hanging="851"/>
    </w:pPr>
  </w:style>
  <w:style w:type="paragraph" w:customStyle="1" w:styleId="Formula">
    <w:name w:val="Formula"/>
    <w:basedOn w:val="Normal"/>
    <w:uiPriority w:val="99"/>
    <w:pPr>
      <w:spacing w:before="240" w:line="240" w:lineRule="auto"/>
      <w:ind w:left="1134"/>
    </w:pPr>
  </w:style>
  <w:style w:type="character" w:customStyle="1" w:styleId="CharSectno">
    <w:name w:val="CharSectno"/>
    <w:basedOn w:val="DefaultParagraphFont"/>
    <w:uiPriority w:val="99"/>
  </w:style>
  <w:style w:type="paragraph" w:customStyle="1" w:styleId="notedraft">
    <w:name w:val="note(draft)"/>
    <w:aliases w:val="nd"/>
    <w:basedOn w:val="Normal"/>
    <w:uiPriority w:val="99"/>
    <w:pPr>
      <w:spacing w:before="240"/>
      <w:ind w:left="284" w:hanging="284"/>
    </w:pPr>
    <w:rPr>
      <w:i/>
      <w:iCs/>
      <w:sz w:val="24"/>
      <w:szCs w:val="24"/>
    </w:rPr>
  </w:style>
  <w:style w:type="paragraph" w:customStyle="1" w:styleId="PageBreak">
    <w:name w:val="PageBreak"/>
    <w:aliases w:val="pb"/>
    <w:basedOn w:val="Normal"/>
    <w:next w:val="Heading2"/>
    <w:uiPriority w:val="99"/>
    <w:pPr>
      <w:spacing w:line="240" w:lineRule="auto"/>
    </w:pPr>
    <w:rPr>
      <w:sz w:val="2"/>
      <w:szCs w:val="2"/>
    </w:rPr>
  </w:style>
  <w:style w:type="character" w:customStyle="1" w:styleId="CharAmSchNo">
    <w:name w:val="CharAmSchNo"/>
    <w:basedOn w:val="DefaultParagraphFont"/>
    <w:uiPriority w:val="99"/>
  </w:style>
  <w:style w:type="character" w:customStyle="1" w:styleId="CharAmSchText">
    <w:name w:val="CharAmSchText"/>
    <w:basedOn w:val="DefaultParagraphFont"/>
    <w:uiPriority w:val="99"/>
  </w:style>
  <w:style w:type="character" w:customStyle="1" w:styleId="CharChapNo">
    <w:name w:val="CharChapNo"/>
    <w:basedOn w:val="DefaultParagraphFont"/>
    <w:uiPriority w:val="99"/>
  </w:style>
  <w:style w:type="character" w:customStyle="1" w:styleId="CharChapText">
    <w:name w:val="CharChapText"/>
    <w:basedOn w:val="DefaultParagraphFont"/>
    <w:uiPriority w:val="99"/>
  </w:style>
  <w:style w:type="character" w:customStyle="1" w:styleId="CharDivNo">
    <w:name w:val="CharDivNo"/>
    <w:basedOn w:val="DefaultParagraphFont"/>
    <w:uiPriority w:val="99"/>
  </w:style>
  <w:style w:type="character" w:customStyle="1" w:styleId="CharDivText">
    <w:name w:val="CharDivText"/>
    <w:basedOn w:val="DefaultParagraphFont"/>
    <w:uiPriority w:val="99"/>
  </w:style>
  <w:style w:type="character" w:customStyle="1" w:styleId="CharPartNo">
    <w:name w:val="CharPartNo"/>
    <w:basedOn w:val="DefaultParagraphFont"/>
    <w:uiPriority w:val="99"/>
  </w:style>
  <w:style w:type="character" w:customStyle="1" w:styleId="CharPartText">
    <w:name w:val="CharPartText"/>
    <w:basedOn w:val="DefaultParagraphFont"/>
    <w:uiPriority w:val="99"/>
  </w:style>
  <w:style w:type="paragraph" w:customStyle="1" w:styleId="SubitemHead">
    <w:name w:val="SubitemHead"/>
    <w:aliases w:val="issh"/>
    <w:basedOn w:val="Normal"/>
    <w:next w:val="Subitem"/>
    <w:uiPriority w:val="99"/>
    <w:pPr>
      <w:keepNext/>
      <w:keepLines/>
      <w:spacing w:before="220"/>
      <w:ind w:left="709"/>
    </w:pPr>
    <w:rPr>
      <w:rFonts w:ascii="Helvetica" w:hAnsi="Helvetica" w:cs="Helvetica"/>
      <w:i/>
      <w:iCs/>
      <w:kern w:val="28"/>
    </w:rPr>
  </w:style>
  <w:style w:type="paragraph" w:customStyle="1" w:styleId="Preamble">
    <w:name w:val="Preamble"/>
    <w:basedOn w:val="Heading5"/>
    <w:next w:val="Normal"/>
    <w:uiPriority w:val="99"/>
    <w:pPr>
      <w:tabs>
        <w:tab w:val="center" w:pos="4513"/>
      </w:tabs>
      <w:outlineLvl w:val="9"/>
    </w:pPr>
    <w:rPr>
      <w:sz w:val="28"/>
      <w:szCs w:val="28"/>
    </w:rPr>
  </w:style>
  <w:style w:type="character" w:customStyle="1" w:styleId="CharSubdText">
    <w:name w:val="CharSubdText"/>
    <w:basedOn w:val="DefaultParagraphFont"/>
    <w:uiPriority w:val="99"/>
  </w:style>
  <w:style w:type="paragraph" w:customStyle="1" w:styleId="Tablea">
    <w:name w:val="Table(a)"/>
    <w:aliases w:val="ta"/>
    <w:basedOn w:val="Normal"/>
    <w:uiPriority w:val="99"/>
    <w:pPr>
      <w:spacing w:line="240" w:lineRule="auto"/>
      <w:ind w:left="284" w:hanging="284"/>
    </w:pPr>
    <w:rPr>
      <w:sz w:val="20"/>
      <w:szCs w:val="20"/>
    </w:rPr>
  </w:style>
  <w:style w:type="paragraph" w:customStyle="1" w:styleId="Tablei">
    <w:name w:val="Table(i)"/>
    <w:aliases w:val="taa"/>
    <w:basedOn w:val="Normal"/>
    <w:uiPriority w:val="99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sz w:val="20"/>
      <w:szCs w:val="20"/>
    </w:rPr>
  </w:style>
  <w:style w:type="paragraph" w:customStyle="1" w:styleId="TLPBoxTextnote">
    <w:name w:val="TLPBoxText(note"/>
    <w:aliases w:val="right)"/>
    <w:basedOn w:val="Normal"/>
    <w:uiPriority w:val="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  <w:szCs w:val="18"/>
    </w:rPr>
  </w:style>
  <w:style w:type="paragraph" w:customStyle="1" w:styleId="TLPNotebullet">
    <w:name w:val="TLPNote(bullet)"/>
    <w:basedOn w:val="Normal"/>
    <w:uiPriority w:val="99"/>
    <w:pPr>
      <w:spacing w:before="122" w:line="198" w:lineRule="exact"/>
      <w:ind w:left="2551" w:hanging="283"/>
    </w:pPr>
    <w:rPr>
      <w:sz w:val="18"/>
      <w:szCs w:val="18"/>
    </w:rPr>
  </w:style>
  <w:style w:type="paragraph" w:customStyle="1" w:styleId="TLPnoteright">
    <w:name w:val="TLPnote(right)"/>
    <w:aliases w:val="nr"/>
    <w:basedOn w:val="Normal"/>
    <w:uiPriority w:val="99"/>
    <w:pPr>
      <w:spacing w:before="122" w:line="198" w:lineRule="exact"/>
      <w:ind w:left="1985" w:hanging="851"/>
      <w:jc w:val="right"/>
    </w:pPr>
    <w:rPr>
      <w:sz w:val="18"/>
      <w:szCs w:val="18"/>
    </w:rPr>
  </w:style>
  <w:style w:type="paragraph" w:customStyle="1" w:styleId="TLPTableBullet">
    <w:name w:val="TLPTableBullet"/>
    <w:aliases w:val="ttb"/>
    <w:basedOn w:val="Normal"/>
    <w:uiPriority w:val="99"/>
    <w:pPr>
      <w:spacing w:line="240" w:lineRule="exact"/>
      <w:ind w:left="284" w:hanging="284"/>
    </w:pPr>
    <w:rPr>
      <w:sz w:val="20"/>
      <w:szCs w:val="20"/>
    </w:rPr>
  </w:style>
  <w:style w:type="paragraph" w:customStyle="1" w:styleId="TofSectsGroupHeading">
    <w:name w:val="TofSects(GroupHeading)"/>
    <w:basedOn w:val="TOC4"/>
    <w:uiPriority w:val="99"/>
    <w:pPr>
      <w:spacing w:before="240" w:after="120"/>
      <w:ind w:left="794" w:firstLine="0"/>
    </w:pPr>
  </w:style>
  <w:style w:type="paragraph" w:customStyle="1" w:styleId="TofSectsHeading">
    <w:name w:val="TofSects(Heading)"/>
    <w:basedOn w:val="TOC5"/>
    <w:uiPriority w:val="99"/>
    <w:pPr>
      <w:keepLines w:val="0"/>
      <w:tabs>
        <w:tab w:val="clear" w:pos="1134"/>
        <w:tab w:val="clear" w:pos="7087"/>
      </w:tabs>
      <w:spacing w:before="240" w:after="120"/>
      <w:ind w:left="794" w:right="851" w:hanging="794"/>
    </w:pPr>
    <w:rPr>
      <w:b/>
      <w:bCs/>
      <w:kern w:val="0"/>
      <w:sz w:val="24"/>
      <w:szCs w:val="24"/>
    </w:rPr>
  </w:style>
  <w:style w:type="paragraph" w:customStyle="1" w:styleId="TofSectsSection">
    <w:name w:val="TofSects(Section)"/>
    <w:basedOn w:val="TOC5"/>
    <w:uiPriority w:val="99"/>
    <w:pPr>
      <w:tabs>
        <w:tab w:val="clear" w:pos="1134"/>
        <w:tab w:val="left" w:pos="851"/>
      </w:tabs>
      <w:ind w:left="1588" w:hanging="794"/>
    </w:pPr>
  </w:style>
  <w:style w:type="paragraph" w:customStyle="1" w:styleId="TofSectsSubdiv">
    <w:name w:val="TofSects(Subdiv)"/>
    <w:basedOn w:val="TOC4"/>
    <w:uiPriority w:val="99"/>
    <w:pPr>
      <w:tabs>
        <w:tab w:val="left" w:pos="1560"/>
      </w:tabs>
      <w:ind w:left="1588" w:hanging="794"/>
    </w:pPr>
    <w:rPr>
      <w:b w:val="0"/>
      <w:bCs w:val="0"/>
      <w:sz w:val="22"/>
      <w:szCs w:val="22"/>
    </w:rPr>
  </w:style>
  <w:style w:type="paragraph" w:customStyle="1" w:styleId="BoxNote">
    <w:name w:val="BoxNote"/>
    <w:aliases w:val="bn"/>
    <w:basedOn w:val="BoxText"/>
    <w:uiPriority w:val="99"/>
    <w:pPr>
      <w:tabs>
        <w:tab w:val="left" w:pos="1985"/>
      </w:tabs>
      <w:spacing w:before="120"/>
      <w:ind w:left="2948" w:hanging="1814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1126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2023-09-19T22:00:00Z</dcterms:created>
  <dcterms:modified xsi:type="dcterms:W3CDTF">2023-09-19T23:27:00Z</dcterms:modified>
</cp:coreProperties>
</file>