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81A" w:rsidRDefault="0038681A" w:rsidP="0038681A">
      <w:pPr>
        <w:rPr>
          <w:sz w:val="28"/>
          <w:szCs w:val="28"/>
        </w:rPr>
      </w:pPr>
      <w:r>
        <w:rPr>
          <w:noProof/>
          <w:sz w:val="28"/>
        </w:rPr>
        <w:drawing>
          <wp:inline distT="0" distB="0" distL="0" distR="0" wp14:anchorId="7083E2E7" wp14:editId="0EA49A74">
            <wp:extent cx="1352550" cy="9906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ln>
                      <a:noFill/>
                    </a:ln>
                  </pic:spPr>
                </pic:pic>
              </a:graphicData>
            </a:graphic>
          </wp:inline>
        </w:drawing>
      </w:r>
    </w:p>
    <w:p w:rsidR="0038681A" w:rsidRDefault="0038681A" w:rsidP="0038681A">
      <w:pPr>
        <w:rPr>
          <w:sz w:val="28"/>
          <w:szCs w:val="28"/>
        </w:rPr>
      </w:pPr>
    </w:p>
    <w:p w:rsidR="0038681A" w:rsidRDefault="0038681A" w:rsidP="0038681A">
      <w:pPr>
        <w:rPr>
          <w:sz w:val="28"/>
          <w:szCs w:val="28"/>
        </w:rPr>
      </w:pPr>
    </w:p>
    <w:p w:rsidR="00DC58BB" w:rsidRDefault="00C378CB">
      <w:pPr>
        <w:pStyle w:val="ShortT"/>
      </w:pPr>
      <w:r>
        <w:t>Radiocommunications (Receiver Licence Tax) Amendment Act 1997</w:t>
      </w:r>
    </w:p>
    <w:p w:rsidR="00DC58BB" w:rsidRDefault="00DC58BB"/>
    <w:p w:rsidR="00DC58BB" w:rsidRDefault="00C378CB">
      <w:pPr>
        <w:pStyle w:val="Actno"/>
        <w:spacing w:before="400"/>
        <w:jc w:val="left"/>
      </w:pPr>
      <w:r>
        <w:t>No. 42, 1997</w:t>
      </w:r>
    </w:p>
    <w:p w:rsidR="00CE1FC7" w:rsidRPr="00CE1FC7" w:rsidRDefault="00CE1FC7" w:rsidP="00CE1FC7">
      <w:pPr>
        <w:pStyle w:val="LongT"/>
        <w:spacing w:before="240"/>
      </w:pPr>
      <w:r>
        <w:t xml:space="preserve">An Act to amend the Radiocommunications (Receiver Licence Tax) Act 1983, and for related </w:t>
      </w:r>
    </w:p>
    <w:p w:rsidR="00DC58BB" w:rsidRDefault="00DC58BB"/>
    <w:p w:rsidR="0038681A" w:rsidRDefault="0038681A" w:rsidP="0038681A">
      <w:pPr>
        <w:pStyle w:val="Header"/>
      </w:pPr>
      <w:r>
        <w:rPr>
          <w:rStyle w:val="CharAmSchNo"/>
        </w:rPr>
        <w:t xml:space="preserve"> </w:t>
      </w:r>
      <w:r>
        <w:rPr>
          <w:rStyle w:val="CharAmSchText"/>
        </w:rPr>
        <w:t xml:space="preserve"> </w:t>
      </w:r>
    </w:p>
    <w:p w:rsidR="0038681A" w:rsidRDefault="0038681A" w:rsidP="0038681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38681A" w:rsidSect="0038681A">
          <w:headerReference w:type="even" r:id="rId7"/>
          <w:headerReference w:type="default" r:id="rId8"/>
          <w:footerReference w:type="even" r:id="rId9"/>
          <w:footerReference w:type="default" r:id="rId10"/>
          <w:headerReference w:type="first" r:id="rId11"/>
          <w:pgSz w:w="11907" w:h="16840" w:code="9"/>
          <w:pgMar w:top="1418" w:right="2410" w:bottom="3544" w:left="2410" w:header="720" w:footer="4111" w:gutter="0"/>
          <w:pgNumType w:start="1"/>
          <w:cols w:space="720"/>
          <w:titlePg/>
        </w:sectPr>
      </w:pPr>
    </w:p>
    <w:p w:rsidR="00DC58BB" w:rsidRDefault="00DC58BB"/>
    <w:p w:rsidR="00DC58BB" w:rsidRDefault="00C378CB">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t>Contents</w:t>
      </w:r>
    </w:p>
    <w:p w:rsidR="00DC58BB" w:rsidRDefault="00C378CB">
      <w:pPr>
        <w:pStyle w:val="TOC5"/>
      </w:pPr>
      <w:r>
        <w:rPr>
          <w:sz w:val="36"/>
          <w:szCs w:val="36"/>
        </w:rPr>
        <w:fldChar w:fldCharType="begin"/>
      </w:r>
      <w:r>
        <w:rPr>
          <w:sz w:val="36"/>
          <w:szCs w:val="36"/>
        </w:rPr>
        <w:instrText xml:space="preserve"> TOC \t "Heading 1,1,Heading 2,2,Heading 3,3,Heading 4,4,Heading 5,5, Heading 6,6,Heading 7,7,Heading 8,8, Heading 9,9" </w:instrText>
      </w:r>
      <w:r>
        <w:rPr>
          <w:sz w:val="36"/>
          <w:szCs w:val="36"/>
        </w:rPr>
        <w:fldChar w:fldCharType="separate"/>
      </w:r>
      <w:r>
        <w:t>1</w:t>
      </w:r>
      <w:r>
        <w:tab/>
        <w:t>Short title</w:t>
      </w:r>
      <w:r>
        <w:tab/>
      </w:r>
      <w:r>
        <w:fldChar w:fldCharType="begin"/>
      </w:r>
      <w:r>
        <w:instrText xml:space="preserve"> GOTOBUTTON _Toc371236931  </w:instrText>
      </w:r>
      <w:r>
        <w:fldChar w:fldCharType="begin"/>
      </w:r>
      <w:r>
        <w:instrText xml:space="preserve"> PAGEREF _Toc371236931 </w:instrText>
      </w:r>
      <w:r>
        <w:fldChar w:fldCharType="separate"/>
      </w:r>
      <w:r>
        <w:instrText>1</w:instrText>
      </w:r>
      <w:r>
        <w:fldChar w:fldCharType="end"/>
      </w:r>
      <w:r>
        <w:fldChar w:fldCharType="end"/>
      </w:r>
    </w:p>
    <w:p w:rsidR="00DC58BB" w:rsidRDefault="00C378CB">
      <w:pPr>
        <w:pStyle w:val="TOC5"/>
      </w:pPr>
      <w:r>
        <w:t>2</w:t>
      </w:r>
      <w:r>
        <w:tab/>
        <w:t>Commencement</w:t>
      </w:r>
      <w:r>
        <w:tab/>
      </w:r>
      <w:r>
        <w:fldChar w:fldCharType="begin"/>
      </w:r>
      <w:r>
        <w:instrText xml:space="preserve"> GOTOBUTTON _Toc371236932  </w:instrText>
      </w:r>
      <w:r>
        <w:fldChar w:fldCharType="begin"/>
      </w:r>
      <w:r>
        <w:instrText xml:space="preserve"> PAGEREF _Toc371236932 </w:instrText>
      </w:r>
      <w:r>
        <w:fldChar w:fldCharType="separate"/>
      </w:r>
      <w:r>
        <w:instrText>1</w:instrText>
      </w:r>
      <w:r>
        <w:fldChar w:fldCharType="end"/>
      </w:r>
      <w:r>
        <w:fldChar w:fldCharType="end"/>
      </w:r>
    </w:p>
    <w:p w:rsidR="00DC58BB" w:rsidRDefault="00C378CB">
      <w:pPr>
        <w:pStyle w:val="TOC5"/>
      </w:pPr>
      <w:r>
        <w:t>3</w:t>
      </w:r>
      <w:r>
        <w:tab/>
        <w:t>Schedule(s)</w:t>
      </w:r>
      <w:r>
        <w:tab/>
      </w:r>
      <w:r>
        <w:fldChar w:fldCharType="begin"/>
      </w:r>
      <w:r>
        <w:instrText xml:space="preserve"> GOTOBUTTON _Toc371236933  </w:instrText>
      </w:r>
      <w:r>
        <w:fldChar w:fldCharType="begin"/>
      </w:r>
      <w:r>
        <w:instrText xml:space="preserve"> PAGEREF _Toc371236933 </w:instrText>
      </w:r>
      <w:r>
        <w:fldChar w:fldCharType="separate"/>
      </w:r>
      <w:r>
        <w:instrText>2</w:instrText>
      </w:r>
      <w:r>
        <w:fldChar w:fldCharType="end"/>
      </w:r>
      <w:r>
        <w:fldChar w:fldCharType="end"/>
      </w:r>
    </w:p>
    <w:p w:rsidR="00DC58BB" w:rsidRDefault="00C378CB">
      <w:pPr>
        <w:pStyle w:val="TOC6"/>
      </w:pPr>
      <w:r>
        <w:t>Schedule 1—Amendments</w:t>
      </w:r>
      <w:r>
        <w:rPr>
          <w:b w:val="0"/>
          <w:bCs w:val="0"/>
          <w:sz w:val="18"/>
          <w:szCs w:val="18"/>
        </w:rPr>
        <w:tab/>
      </w:r>
      <w:r>
        <w:rPr>
          <w:b w:val="0"/>
          <w:bCs w:val="0"/>
          <w:sz w:val="18"/>
          <w:szCs w:val="18"/>
        </w:rPr>
        <w:fldChar w:fldCharType="begin"/>
      </w:r>
      <w:r>
        <w:rPr>
          <w:b w:val="0"/>
          <w:bCs w:val="0"/>
          <w:sz w:val="18"/>
          <w:szCs w:val="18"/>
        </w:rPr>
        <w:instrText xml:space="preserve"> GOTOBUTTON _Toc371236934  </w:instrText>
      </w:r>
      <w:r>
        <w:rPr>
          <w:b w:val="0"/>
          <w:bCs w:val="0"/>
          <w:sz w:val="18"/>
          <w:szCs w:val="18"/>
        </w:rPr>
        <w:fldChar w:fldCharType="begin"/>
      </w:r>
      <w:r>
        <w:rPr>
          <w:b w:val="0"/>
          <w:bCs w:val="0"/>
          <w:sz w:val="18"/>
          <w:szCs w:val="18"/>
        </w:rPr>
        <w:instrText xml:space="preserve"> PAGEREF _Toc371236934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DC58BB" w:rsidRDefault="00C378CB">
      <w:pPr>
        <w:pStyle w:val="TOC9"/>
      </w:pPr>
      <w:r>
        <w:t>Radiocommunications (Receiver Licence Tax) Act 1983</w:t>
      </w:r>
      <w:r>
        <w:tab/>
      </w:r>
      <w:r>
        <w:rPr>
          <w:i w:val="0"/>
          <w:iCs w:val="0"/>
          <w:sz w:val="18"/>
          <w:szCs w:val="18"/>
        </w:rPr>
        <w:fldChar w:fldCharType="begin"/>
      </w:r>
      <w:r>
        <w:rPr>
          <w:i w:val="0"/>
          <w:iCs w:val="0"/>
          <w:sz w:val="18"/>
          <w:szCs w:val="18"/>
        </w:rPr>
        <w:instrText xml:space="preserve"> GOTOBUTTON _Toc371236935  </w:instrText>
      </w:r>
      <w:r>
        <w:rPr>
          <w:i w:val="0"/>
          <w:iCs w:val="0"/>
          <w:sz w:val="18"/>
          <w:szCs w:val="18"/>
        </w:rPr>
        <w:fldChar w:fldCharType="begin"/>
      </w:r>
      <w:r>
        <w:rPr>
          <w:i w:val="0"/>
          <w:iCs w:val="0"/>
          <w:sz w:val="18"/>
          <w:szCs w:val="18"/>
        </w:rPr>
        <w:instrText xml:space="preserve"> PAGEREF _Toc371236935 </w:instrText>
      </w:r>
      <w:r>
        <w:rPr>
          <w:i w:val="0"/>
          <w:iCs w:val="0"/>
          <w:sz w:val="18"/>
          <w:szCs w:val="18"/>
        </w:rPr>
        <w:fldChar w:fldCharType="separate"/>
      </w:r>
      <w:r>
        <w:rPr>
          <w:i w:val="0"/>
          <w:iCs w:val="0"/>
          <w:sz w:val="18"/>
          <w:szCs w:val="18"/>
        </w:rPr>
        <w:instrText>3</w:instrText>
      </w:r>
      <w:r>
        <w:rPr>
          <w:i w:val="0"/>
          <w:iCs w:val="0"/>
          <w:sz w:val="18"/>
          <w:szCs w:val="18"/>
        </w:rPr>
        <w:fldChar w:fldCharType="end"/>
      </w:r>
      <w:r>
        <w:rPr>
          <w:i w:val="0"/>
          <w:iCs w:val="0"/>
          <w:sz w:val="18"/>
          <w:szCs w:val="18"/>
        </w:rPr>
        <w:fldChar w:fldCharType="end"/>
      </w:r>
    </w:p>
    <w:p w:rsidR="00DC58BB" w:rsidRDefault="00C378CB">
      <w:pPr>
        <w:sectPr w:rsidR="00DC58BB">
          <w:headerReference w:type="even" r:id="rId12"/>
          <w:headerReference w:type="default" r:id="rId13"/>
          <w:footerReference w:type="even" r:id="rId14"/>
          <w:footerReference w:type="default" r:id="rId15"/>
          <w:pgSz w:w="11907" w:h="16840" w:code="9"/>
          <w:pgMar w:top="1418" w:right="2410" w:bottom="3544" w:left="2410" w:header="720" w:footer="4111" w:gutter="0"/>
          <w:pgNumType w:fmt="lowerRoman" w:start="1"/>
          <w:cols w:space="720"/>
        </w:sectPr>
      </w:pPr>
      <w:r>
        <w:rPr>
          <w:sz w:val="36"/>
          <w:szCs w:val="36"/>
        </w:rPr>
        <w:fldChar w:fldCharType="end"/>
      </w:r>
    </w:p>
    <w:p w:rsidR="0038681A" w:rsidRDefault="0038681A" w:rsidP="0038681A">
      <w:pPr>
        <w:rPr>
          <w:sz w:val="28"/>
          <w:szCs w:val="28"/>
        </w:rPr>
      </w:pPr>
      <w:r>
        <w:rPr>
          <w:noProof/>
          <w:sz w:val="28"/>
        </w:rPr>
        <w:lastRenderedPageBreak/>
        <w:drawing>
          <wp:inline distT="0" distB="0" distL="0" distR="0" wp14:anchorId="712846F8" wp14:editId="313798AC">
            <wp:extent cx="1352550"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ln>
                      <a:noFill/>
                    </a:ln>
                  </pic:spPr>
                </pic:pic>
              </a:graphicData>
            </a:graphic>
          </wp:inline>
        </w:drawing>
      </w:r>
    </w:p>
    <w:p w:rsidR="0038681A" w:rsidRDefault="0038681A" w:rsidP="0038681A">
      <w:pPr>
        <w:rPr>
          <w:sz w:val="28"/>
          <w:szCs w:val="28"/>
        </w:rPr>
      </w:pPr>
    </w:p>
    <w:p w:rsidR="0038681A" w:rsidRDefault="0038681A" w:rsidP="0038681A">
      <w:pPr>
        <w:rPr>
          <w:sz w:val="28"/>
          <w:szCs w:val="28"/>
        </w:rPr>
      </w:pPr>
    </w:p>
    <w:p w:rsidR="0038681A" w:rsidRDefault="0038681A" w:rsidP="0038681A">
      <w:pPr>
        <w:pStyle w:val="ShortT"/>
      </w:pPr>
      <w:r>
        <w:t>Radiocommunications (Receiver Licence Tax) Amendment Act 1997</w:t>
      </w:r>
    </w:p>
    <w:p w:rsidR="0038681A" w:rsidRPr="0031135A" w:rsidRDefault="0038681A" w:rsidP="0038681A">
      <w:pPr>
        <w:pStyle w:val="Actno"/>
        <w:spacing w:before="240"/>
        <w:jc w:val="left"/>
        <w:rPr>
          <w:sz w:val="28"/>
          <w:szCs w:val="28"/>
        </w:rPr>
      </w:pPr>
      <w:r w:rsidRPr="0031135A">
        <w:rPr>
          <w:sz w:val="28"/>
          <w:szCs w:val="28"/>
        </w:rPr>
        <w:t>No. 42, 1997</w:t>
      </w:r>
    </w:p>
    <w:p w:rsidR="00CE1FC7" w:rsidRDefault="00CE1FC7" w:rsidP="00CE1FC7">
      <w:pPr>
        <w:pBdr>
          <w:bottom w:val="single" w:sz="6" w:space="1" w:color="auto"/>
        </w:pBdr>
        <w:spacing w:before="400"/>
        <w:rPr>
          <w:b/>
          <w:bCs/>
          <w:sz w:val="28"/>
          <w:szCs w:val="28"/>
        </w:rPr>
      </w:pPr>
      <w:bookmarkStart w:id="0" w:name="_GoBack"/>
      <w:bookmarkEnd w:id="0"/>
    </w:p>
    <w:p w:rsidR="00CE1FC7" w:rsidRDefault="00CE1FC7" w:rsidP="00CE1FC7">
      <w:pPr>
        <w:spacing w:line="40" w:lineRule="exact"/>
        <w:rPr>
          <w:b/>
          <w:bCs/>
          <w:sz w:val="28"/>
          <w:szCs w:val="28"/>
        </w:rPr>
      </w:pPr>
    </w:p>
    <w:p w:rsidR="00CE1FC7" w:rsidRDefault="00CE1FC7" w:rsidP="00CE1FC7">
      <w:pPr>
        <w:pBdr>
          <w:top w:val="single" w:sz="12" w:space="1" w:color="auto"/>
        </w:pBdr>
      </w:pPr>
    </w:p>
    <w:p w:rsidR="00DC58BB" w:rsidRDefault="0031135A" w:rsidP="0038681A">
      <w:pPr>
        <w:pStyle w:val="Page1"/>
        <w:spacing w:before="240"/>
      </w:pPr>
      <w:r>
        <w:fldChar w:fldCharType="begin"/>
      </w:r>
      <w:r>
        <w:instrText xml:space="preserve"> STYLEREF LongT \* MERGEFORMAT </w:instrText>
      </w:r>
      <w:r>
        <w:fldChar w:fldCharType="separate"/>
      </w:r>
      <w:r w:rsidR="00C378CB">
        <w:t xml:space="preserve">An Act to amend the </w:t>
      </w:r>
      <w:r w:rsidR="00C378CB">
        <w:rPr>
          <w:i/>
          <w:iCs/>
        </w:rPr>
        <w:t>Radiocommunications (Receiver Licence Tax) Act 1983,</w:t>
      </w:r>
      <w:r w:rsidR="00C378CB">
        <w:t xml:space="preserve"> and for related purposes</w:t>
      </w:r>
      <w:r>
        <w:fldChar w:fldCharType="end"/>
      </w:r>
    </w:p>
    <w:p w:rsidR="00DC58BB" w:rsidRDefault="00C378CB">
      <w:pPr>
        <w:keepLines/>
        <w:suppressLineNumbers/>
        <w:spacing w:before="240"/>
        <w:rPr>
          <w:sz w:val="24"/>
          <w:szCs w:val="24"/>
        </w:rPr>
      </w:pPr>
      <w:r>
        <w:rPr>
          <w:sz w:val="24"/>
          <w:szCs w:val="24"/>
        </w:rPr>
        <w:t>[</w:t>
      </w:r>
      <w:r>
        <w:rPr>
          <w:i/>
          <w:iCs/>
          <w:sz w:val="24"/>
          <w:szCs w:val="24"/>
        </w:rPr>
        <w:t>Assented to 22 April 1997</w:t>
      </w:r>
      <w:r>
        <w:rPr>
          <w:sz w:val="24"/>
          <w:szCs w:val="24"/>
        </w:rPr>
        <w:t>]</w:t>
      </w:r>
    </w:p>
    <w:p w:rsidR="00DC58BB" w:rsidRDefault="00C378CB">
      <w:pPr>
        <w:spacing w:before="240" w:line="240" w:lineRule="auto"/>
        <w:rPr>
          <w:sz w:val="32"/>
          <w:szCs w:val="32"/>
        </w:rPr>
      </w:pPr>
      <w:r>
        <w:rPr>
          <w:sz w:val="32"/>
          <w:szCs w:val="32"/>
        </w:rPr>
        <w:t>The Parliament of Australia enacts:</w:t>
      </w:r>
    </w:p>
    <w:p w:rsidR="00DC58BB" w:rsidRDefault="00C378CB">
      <w:pPr>
        <w:pStyle w:val="Heading5"/>
      </w:pPr>
      <w:bookmarkStart w:id="1" w:name="_Toc313538257"/>
      <w:bookmarkStart w:id="2" w:name="_Toc313693988"/>
      <w:bookmarkStart w:id="3" w:name="_Toc317143067"/>
      <w:bookmarkStart w:id="4" w:name="_Toc317251939"/>
      <w:bookmarkStart w:id="5" w:name="_Toc348770014"/>
      <w:bookmarkStart w:id="6" w:name="_Toc348770104"/>
      <w:bookmarkStart w:id="7" w:name="_Toc359138288"/>
      <w:bookmarkStart w:id="8" w:name="_Toc363264792"/>
      <w:bookmarkStart w:id="9" w:name="_Toc371236931"/>
      <w:bookmarkStart w:id="10" w:name="_Toc318795567"/>
      <w:r>
        <w:rPr>
          <w:rStyle w:val="CharSectno"/>
        </w:rPr>
        <w:t>1</w:t>
      </w:r>
      <w:r>
        <w:t xml:space="preserve">  </w:t>
      </w:r>
      <w:r>
        <w:tab/>
        <w:t>Short title</w:t>
      </w:r>
      <w:bookmarkEnd w:id="1"/>
      <w:bookmarkEnd w:id="2"/>
      <w:bookmarkEnd w:id="3"/>
      <w:bookmarkEnd w:id="4"/>
      <w:bookmarkEnd w:id="5"/>
      <w:bookmarkEnd w:id="6"/>
      <w:bookmarkEnd w:id="7"/>
      <w:bookmarkEnd w:id="8"/>
      <w:bookmarkEnd w:id="9"/>
    </w:p>
    <w:p w:rsidR="00DC58BB" w:rsidRDefault="00C378CB">
      <w:pPr>
        <w:pStyle w:val="subsection"/>
      </w:pPr>
      <w:r>
        <w:tab/>
      </w:r>
      <w:r>
        <w:tab/>
        <w:t xml:space="preserve">This Act may be cited as the </w:t>
      </w:r>
      <w:r>
        <w:rPr>
          <w:i/>
          <w:iCs/>
        </w:rPr>
        <w:t>Radiocommunications (Receiver Licence Tax) Amendment Act 1997</w:t>
      </w:r>
      <w:r>
        <w:t>.</w:t>
      </w:r>
    </w:p>
    <w:p w:rsidR="00DC58BB" w:rsidRDefault="00C378CB">
      <w:pPr>
        <w:pStyle w:val="Heading5"/>
      </w:pPr>
      <w:bookmarkStart w:id="11" w:name="_FOPNextObject"/>
      <w:bookmarkStart w:id="12" w:name="StopNumberingHere"/>
      <w:bookmarkStart w:id="13" w:name="_Toc313692954"/>
      <w:bookmarkStart w:id="14" w:name="_Toc313695428"/>
      <w:bookmarkStart w:id="15" w:name="_Toc317653189"/>
      <w:bookmarkStart w:id="16" w:name="_Toc318795378"/>
      <w:bookmarkStart w:id="17" w:name="_Toc320629538"/>
      <w:bookmarkStart w:id="18" w:name="_Toc320629619"/>
      <w:bookmarkStart w:id="19" w:name="_Toc320629673"/>
      <w:bookmarkStart w:id="20" w:name="_Toc320629808"/>
      <w:bookmarkStart w:id="21" w:name="_Toc348770015"/>
      <w:bookmarkStart w:id="22" w:name="_Toc348770105"/>
      <w:bookmarkStart w:id="23" w:name="_Toc359138289"/>
      <w:bookmarkStart w:id="24" w:name="_Toc363264793"/>
      <w:bookmarkStart w:id="25" w:name="_Toc371236932"/>
      <w:bookmarkEnd w:id="10"/>
      <w:bookmarkEnd w:id="11"/>
      <w:bookmarkEnd w:id="12"/>
      <w:r>
        <w:rPr>
          <w:rStyle w:val="CharSectno"/>
        </w:rPr>
        <w:t>2</w:t>
      </w:r>
      <w:r>
        <w:t xml:space="preserve">  Commencement</w:t>
      </w:r>
      <w:bookmarkEnd w:id="13"/>
      <w:bookmarkEnd w:id="14"/>
      <w:bookmarkEnd w:id="15"/>
      <w:bookmarkEnd w:id="16"/>
      <w:bookmarkEnd w:id="17"/>
      <w:bookmarkEnd w:id="18"/>
      <w:bookmarkEnd w:id="19"/>
      <w:bookmarkEnd w:id="20"/>
      <w:bookmarkEnd w:id="21"/>
      <w:bookmarkEnd w:id="22"/>
      <w:bookmarkEnd w:id="23"/>
      <w:bookmarkEnd w:id="24"/>
      <w:bookmarkEnd w:id="25"/>
    </w:p>
    <w:p w:rsidR="00DC58BB" w:rsidRDefault="00C378CB">
      <w:pPr>
        <w:pStyle w:val="subsection"/>
      </w:pPr>
      <w:r>
        <w:tab/>
      </w:r>
      <w:r>
        <w:tab/>
        <w:t>This Act commences on 1 July 1997.</w:t>
      </w:r>
    </w:p>
    <w:p w:rsidR="00DC58BB" w:rsidRDefault="00C378CB">
      <w:pPr>
        <w:pStyle w:val="Heading5"/>
      </w:pPr>
      <w:bookmarkStart w:id="26" w:name="_Toc313692955"/>
      <w:bookmarkStart w:id="27" w:name="_Toc313695429"/>
      <w:bookmarkStart w:id="28" w:name="_Toc317653190"/>
      <w:bookmarkStart w:id="29" w:name="_Toc318795379"/>
      <w:bookmarkStart w:id="30" w:name="_Toc320629539"/>
      <w:bookmarkStart w:id="31" w:name="_Toc320629620"/>
      <w:bookmarkStart w:id="32" w:name="_Toc320629674"/>
      <w:bookmarkStart w:id="33" w:name="_Toc320629809"/>
      <w:bookmarkStart w:id="34" w:name="_Toc352474228"/>
      <w:bookmarkStart w:id="35" w:name="_Toc353185125"/>
      <w:bookmarkStart w:id="36" w:name="_Toc354995686"/>
      <w:bookmarkStart w:id="37" w:name="_Toc359138290"/>
      <w:bookmarkStart w:id="38" w:name="_Toc363264794"/>
      <w:bookmarkStart w:id="39" w:name="_Toc371236933"/>
      <w:r>
        <w:rPr>
          <w:rStyle w:val="CharSectno"/>
        </w:rPr>
        <w:lastRenderedPageBreak/>
        <w:t>3</w:t>
      </w:r>
      <w:r>
        <w:t xml:space="preserve">  </w:t>
      </w:r>
      <w:bookmarkEnd w:id="26"/>
      <w:bookmarkEnd w:id="27"/>
      <w:bookmarkEnd w:id="28"/>
      <w:bookmarkEnd w:id="29"/>
      <w:bookmarkEnd w:id="30"/>
      <w:bookmarkEnd w:id="31"/>
      <w:bookmarkEnd w:id="32"/>
      <w:bookmarkEnd w:id="33"/>
      <w:r>
        <w:t>Schedule</w:t>
      </w:r>
      <w:bookmarkEnd w:id="34"/>
      <w:bookmarkEnd w:id="35"/>
      <w:r>
        <w:t>(s)</w:t>
      </w:r>
      <w:bookmarkEnd w:id="36"/>
      <w:bookmarkEnd w:id="37"/>
      <w:bookmarkEnd w:id="38"/>
      <w:bookmarkEnd w:id="39"/>
    </w:p>
    <w:p w:rsidR="00DC58BB" w:rsidRDefault="00C378CB">
      <w:pPr>
        <w:pStyle w:val="subsection"/>
      </w:pPr>
      <w:r>
        <w:tab/>
      </w:r>
      <w:r>
        <w:tab/>
        <w:t>Each Act that is specified in a Schedule to this Act is amended as set out in the applicable items in the Schedule concerned, and any other item in a Schedule to this Act has effect according to its terms.</w:t>
      </w:r>
    </w:p>
    <w:p w:rsidR="00DC58BB" w:rsidRDefault="00C378CB">
      <w:pPr>
        <w:pStyle w:val="PageBreak"/>
      </w:pPr>
      <w:r>
        <w:br w:type="page"/>
      </w:r>
    </w:p>
    <w:p w:rsidR="00DC58BB" w:rsidRDefault="00C378CB">
      <w:pPr>
        <w:pStyle w:val="Heading6"/>
      </w:pPr>
      <w:bookmarkStart w:id="40" w:name="_Toc348770017"/>
      <w:bookmarkStart w:id="41" w:name="_Toc348770107"/>
      <w:bookmarkStart w:id="42" w:name="_Toc359138291"/>
      <w:bookmarkStart w:id="43" w:name="_Toc363264795"/>
      <w:bookmarkStart w:id="44" w:name="_Toc371236934"/>
      <w:r>
        <w:rPr>
          <w:rStyle w:val="CharAmSchNo"/>
        </w:rPr>
        <w:lastRenderedPageBreak/>
        <w:t>Schedule</w:t>
      </w:r>
      <w:bookmarkEnd w:id="40"/>
      <w:bookmarkEnd w:id="41"/>
      <w:r>
        <w:rPr>
          <w:rStyle w:val="CharAmSchNo"/>
        </w:rPr>
        <w:t xml:space="preserve"> 1</w:t>
      </w:r>
      <w:r>
        <w:t>—</w:t>
      </w:r>
      <w:r>
        <w:rPr>
          <w:rStyle w:val="CharAmSchText"/>
        </w:rPr>
        <w:t>Amendments</w:t>
      </w:r>
      <w:bookmarkEnd w:id="42"/>
      <w:bookmarkEnd w:id="43"/>
      <w:bookmarkEnd w:id="44"/>
    </w:p>
    <w:p w:rsidR="00DC58BB" w:rsidRDefault="00C378CB">
      <w:pPr>
        <w:pStyle w:val="Heading9"/>
      </w:pPr>
      <w:bookmarkStart w:id="45" w:name="_Toc359138292"/>
      <w:bookmarkStart w:id="46" w:name="_Toc363264796"/>
      <w:bookmarkStart w:id="47" w:name="_Toc371236935"/>
      <w:r>
        <w:t>Radiocommunications (Receiver Licence Tax) Act 1983</w:t>
      </w:r>
      <w:bookmarkEnd w:id="45"/>
      <w:bookmarkEnd w:id="46"/>
      <w:bookmarkEnd w:id="47"/>
    </w:p>
    <w:p w:rsidR="00DC58BB" w:rsidRDefault="00C378CB">
      <w:pPr>
        <w:pStyle w:val="ItemHead"/>
      </w:pPr>
      <w:r>
        <w:t>1  Paragraph 6(5)(b)</w:t>
      </w:r>
    </w:p>
    <w:p w:rsidR="00DC58BB" w:rsidRDefault="00C378CB">
      <w:pPr>
        <w:pStyle w:val="Item"/>
      </w:pPr>
      <w:r>
        <w:t xml:space="preserve">Omit “the </w:t>
      </w:r>
      <w:proofErr w:type="spellStart"/>
      <w:r>
        <w:t>SMA</w:t>
      </w:r>
      <w:proofErr w:type="spellEnd"/>
      <w:r>
        <w:t>,”, substitute “the ACA,”.</w:t>
      </w:r>
    </w:p>
    <w:p w:rsidR="00DC58BB" w:rsidRDefault="00C378CB">
      <w:pPr>
        <w:pStyle w:val="ItemHead"/>
      </w:pPr>
      <w:r>
        <w:t>2  Subsections 7(1) and (3)</w:t>
      </w:r>
    </w:p>
    <w:p w:rsidR="00DC58BB" w:rsidRDefault="00C378CB">
      <w:pPr>
        <w:pStyle w:val="Item"/>
      </w:pPr>
      <w:r>
        <w:t xml:space="preserve">Omit “the </w:t>
      </w:r>
      <w:proofErr w:type="spellStart"/>
      <w:r>
        <w:t>SMA</w:t>
      </w:r>
      <w:proofErr w:type="spellEnd"/>
      <w:r>
        <w:t>”, substitute “the ACA”.</w:t>
      </w:r>
    </w:p>
    <w:p w:rsidR="00DC58BB" w:rsidRDefault="00C378CB">
      <w:pPr>
        <w:pStyle w:val="ItemHead"/>
      </w:pPr>
      <w:r>
        <w:t>3  Transitional—notifications</w:t>
      </w:r>
    </w:p>
    <w:p w:rsidR="00DC58BB" w:rsidRDefault="00C378CB">
      <w:pPr>
        <w:pStyle w:val="Subitem"/>
      </w:pPr>
      <w:r>
        <w:t>(1)</w:t>
      </w:r>
      <w:r>
        <w:tab/>
        <w:t xml:space="preserve">This item applies to a notification that was given to the </w:t>
      </w:r>
      <w:proofErr w:type="spellStart"/>
      <w:r>
        <w:t>SMA</w:t>
      </w:r>
      <w:proofErr w:type="spellEnd"/>
      <w:r>
        <w:t xml:space="preserve"> under paragraph 6(5)(b) of the </w:t>
      </w:r>
      <w:r>
        <w:rPr>
          <w:i/>
          <w:iCs/>
        </w:rPr>
        <w:t>Radiocommunications (Receiver Licence Tax) Act 1983</w:t>
      </w:r>
      <w:r>
        <w:t xml:space="preserve"> before the commencement of this item.</w:t>
      </w:r>
    </w:p>
    <w:p w:rsidR="00DC58BB" w:rsidRDefault="00C378CB">
      <w:pPr>
        <w:pStyle w:val="Subitem"/>
      </w:pPr>
      <w:r>
        <w:t>(2)</w:t>
      </w:r>
      <w:r>
        <w:tab/>
        <w:t xml:space="preserve">The </w:t>
      </w:r>
      <w:r>
        <w:rPr>
          <w:i/>
          <w:iCs/>
        </w:rPr>
        <w:t>Radiocommunications (Receiver Licence Tax) Act 1983</w:t>
      </w:r>
      <w:r>
        <w:t xml:space="preserve"> has effect, after the commencement of this item, as if the notification had been given to the ACA under paragraph 6(5)(b) of the </w:t>
      </w:r>
      <w:r>
        <w:rPr>
          <w:i/>
          <w:iCs/>
        </w:rPr>
        <w:t>Radiocommunications (Receiver Licence Tax) Act 1983</w:t>
      </w:r>
      <w:r>
        <w:t xml:space="preserve"> as amended by this Act.</w:t>
      </w:r>
    </w:p>
    <w:p w:rsidR="00DC58BB" w:rsidRDefault="00C378CB">
      <w:pPr>
        <w:pStyle w:val="ItemHead"/>
      </w:pPr>
      <w:r>
        <w:t>4  Transitional—determinations</w:t>
      </w:r>
    </w:p>
    <w:p w:rsidR="00DC58BB" w:rsidRDefault="00C378CB">
      <w:pPr>
        <w:pStyle w:val="Subitem"/>
      </w:pPr>
      <w:r>
        <w:t>(1)</w:t>
      </w:r>
      <w:r>
        <w:tab/>
        <w:t xml:space="preserve">This item applies to a determination that was in force under section 7 of the </w:t>
      </w:r>
      <w:r>
        <w:rPr>
          <w:i/>
          <w:iCs/>
        </w:rPr>
        <w:t>Radiocommunications (Receiver Licence Tax) Act 1983</w:t>
      </w:r>
      <w:r>
        <w:t xml:space="preserve"> immediately before the commencement of this item.</w:t>
      </w:r>
    </w:p>
    <w:p w:rsidR="00DC58BB" w:rsidRDefault="00C378CB">
      <w:pPr>
        <w:pStyle w:val="Subitem"/>
      </w:pPr>
      <w:r>
        <w:t>(2)</w:t>
      </w:r>
      <w:r>
        <w:tab/>
        <w:t xml:space="preserve">The </w:t>
      </w:r>
      <w:r>
        <w:rPr>
          <w:i/>
          <w:iCs/>
        </w:rPr>
        <w:t>Radiocommunications (Receiver Licence Tax) Act 1983</w:t>
      </w:r>
      <w:r>
        <w:t xml:space="preserve"> has effect, after the commencement of this item, as if the determination had been made by the ACA under section 7 of the </w:t>
      </w:r>
      <w:r>
        <w:rPr>
          <w:i/>
          <w:iCs/>
        </w:rPr>
        <w:t xml:space="preserve">Radiocommunications (Receiver Licence Tax) Act 1983 </w:t>
      </w:r>
      <w:r>
        <w:t>as amended by this Act.</w:t>
      </w:r>
    </w:p>
    <w:p w:rsidR="00DC58BB" w:rsidRDefault="00C378CB">
      <w:pPr>
        <w:pStyle w:val="Subitem"/>
      </w:pPr>
      <w:r>
        <w:t>(3)</w:t>
      </w:r>
      <w:r>
        <w:tab/>
        <w:t>This item does not prevent the variation or revocation of the determination.</w:t>
      </w:r>
    </w:p>
    <w:p w:rsidR="00DC58BB" w:rsidRDefault="00DC58BB">
      <w:pPr>
        <w:pStyle w:val="Subitem"/>
      </w:pPr>
    </w:p>
    <w:p w:rsidR="00DC58BB" w:rsidRDefault="00C378CB">
      <w:pPr>
        <w:keepLines/>
        <w:suppressLineNumbers/>
      </w:pPr>
      <w:r>
        <w:br w:type="page"/>
      </w:r>
    </w:p>
    <w:p w:rsidR="00DC58BB" w:rsidRDefault="00DC58BB">
      <w:pPr>
        <w:keepLines/>
        <w:suppressLineNumbers/>
        <w:pBdr>
          <w:top w:val="single" w:sz="6" w:space="1" w:color="auto"/>
        </w:pBdr>
      </w:pPr>
    </w:p>
    <w:p w:rsidR="00DC58BB" w:rsidRDefault="00C378CB">
      <w:pPr>
        <w:keepLines/>
        <w:suppressLineNumbers/>
        <w:rPr>
          <w:i/>
          <w:iCs/>
        </w:rPr>
      </w:pPr>
      <w:r>
        <w:t>[</w:t>
      </w:r>
      <w:r>
        <w:rPr>
          <w:i/>
          <w:iCs/>
        </w:rPr>
        <w:t>Minister’s second reading speech made in—</w:t>
      </w:r>
    </w:p>
    <w:p w:rsidR="00DC58BB" w:rsidRDefault="00C378CB">
      <w:pPr>
        <w:keepLines/>
        <w:suppressLineNumbers/>
        <w:tabs>
          <w:tab w:val="left" w:pos="600"/>
        </w:tabs>
        <w:rPr>
          <w:i/>
          <w:iCs/>
        </w:rPr>
      </w:pPr>
      <w:r>
        <w:rPr>
          <w:i/>
          <w:iCs/>
        </w:rPr>
        <w:t>House of Representatives on 5 December 1996</w:t>
      </w:r>
    </w:p>
    <w:p w:rsidR="00DC58BB" w:rsidRDefault="00C378CB">
      <w:pPr>
        <w:keepLines/>
        <w:suppressLineNumbers/>
        <w:tabs>
          <w:tab w:val="left" w:pos="600"/>
        </w:tabs>
      </w:pPr>
      <w:r>
        <w:rPr>
          <w:i/>
          <w:iCs/>
        </w:rPr>
        <w:t>Senate on 25 February 1997</w:t>
      </w:r>
      <w:r>
        <w:t>]</w:t>
      </w:r>
    </w:p>
    <w:p w:rsidR="00DC58BB" w:rsidRDefault="00DC58BB">
      <w:pPr>
        <w:keepLines/>
        <w:suppressLineNumbers/>
        <w:tabs>
          <w:tab w:val="left" w:pos="600"/>
        </w:tabs>
      </w:pPr>
    </w:p>
    <w:p w:rsidR="00DC58BB" w:rsidRDefault="00C378CB">
      <w:pPr>
        <w:framePr w:w="947" w:h="325" w:hSpace="181" w:wrap="notBeside" w:vAnchor="page" w:hAnchor="margin" w:y="11341"/>
      </w:pPr>
      <w:r>
        <w:t>(154/96)</w:t>
      </w:r>
    </w:p>
    <w:p w:rsidR="00DC58BB" w:rsidRDefault="00DC58BB">
      <w:pPr>
        <w:keepLines/>
        <w:suppressLineNumbers/>
        <w:tabs>
          <w:tab w:val="left" w:pos="600"/>
        </w:tabs>
      </w:pPr>
    </w:p>
    <w:p w:rsidR="00DC58BB" w:rsidRDefault="00DC58BB">
      <w:pPr>
        <w:pStyle w:val="Subitem"/>
        <w:sectPr w:rsidR="00DC58BB">
          <w:headerReference w:type="even" r:id="rId16"/>
          <w:headerReference w:type="default" r:id="rId17"/>
          <w:footerReference w:type="even" r:id="rId18"/>
          <w:footerReference w:type="default" r:id="rId19"/>
          <w:headerReference w:type="first" r:id="rId20"/>
          <w:footerReference w:type="first" r:id="rId21"/>
          <w:pgSz w:w="11907" w:h="16840" w:code="9"/>
          <w:pgMar w:top="1531" w:right="2410" w:bottom="3544" w:left="2410" w:header="720" w:footer="4111" w:gutter="0"/>
          <w:pgNumType w:start="1"/>
          <w:cols w:space="720"/>
          <w:titlePg/>
        </w:sectPr>
      </w:pPr>
    </w:p>
    <w:p w:rsidR="00DC58BB" w:rsidRDefault="00C378CB">
      <w:pPr>
        <w:pBdr>
          <w:top w:val="single" w:sz="12" w:space="1" w:color="auto"/>
        </w:pBdr>
      </w:pPr>
      <w:r>
        <w:rPr>
          <w:rStyle w:val="CharAmSchNo"/>
        </w:rPr>
        <w:lastRenderedPageBreak/>
        <w:t xml:space="preserve"> </w:t>
      </w:r>
      <w:r>
        <w:rPr>
          <w:rStyle w:val="CharAmSchText"/>
        </w:rPr>
        <w:t xml:space="preserve"> </w:t>
      </w:r>
    </w:p>
    <w:p w:rsidR="00DC58BB" w:rsidRDefault="00C378CB">
      <w:r>
        <w:t>I HEREBY CERTIFY that the above is a fair print of the Radiocommunications (Receiver Licence Tax) Amendment Bill 1997 which originated in the House of Representatives as the Radiocommunications (Receiver Licence Tax) Amendment Bill 1996 and has been finally passed by the Senate and the House of Representatives.</w:t>
      </w:r>
    </w:p>
    <w:p w:rsidR="00DC58BB" w:rsidRDefault="00DC58BB"/>
    <w:p w:rsidR="00DC58BB" w:rsidRDefault="00DC58BB"/>
    <w:p w:rsidR="00DC58BB" w:rsidRDefault="00DC58BB"/>
    <w:p w:rsidR="00DC58BB" w:rsidRDefault="00C378CB">
      <w:pPr>
        <w:jc w:val="right"/>
      </w:pPr>
      <w:r>
        <w:rPr>
          <w:i/>
          <w:iCs/>
        </w:rPr>
        <w:t>Clerk of the House of Representatives</w:t>
      </w:r>
    </w:p>
    <w:p w:rsidR="00DC58BB" w:rsidRDefault="00DC58BB">
      <w:pPr>
        <w:jc w:val="right"/>
      </w:pPr>
    </w:p>
    <w:p w:rsidR="00DC58BB" w:rsidRDefault="00C378CB">
      <w:r>
        <w:t>IN THE NAME OF HER MAJESTY, I assent to this Act.</w:t>
      </w:r>
    </w:p>
    <w:p w:rsidR="00DC58BB" w:rsidRDefault="00DC58BB"/>
    <w:p w:rsidR="00DC58BB" w:rsidRDefault="00DC58BB"/>
    <w:p w:rsidR="00DC58BB" w:rsidRDefault="00DC58BB"/>
    <w:p w:rsidR="00DC58BB" w:rsidRDefault="00C378CB">
      <w:pPr>
        <w:jc w:val="right"/>
      </w:pPr>
      <w:r>
        <w:rPr>
          <w:i/>
          <w:iCs/>
        </w:rPr>
        <w:t>Governor-General</w:t>
      </w:r>
    </w:p>
    <w:p w:rsidR="00DC58BB" w:rsidRDefault="00C378CB">
      <w:pPr>
        <w:jc w:val="right"/>
      </w:pPr>
      <w:r>
        <w:t>1997</w:t>
      </w:r>
    </w:p>
    <w:p w:rsidR="00DC58BB" w:rsidRDefault="00DC58BB"/>
    <w:p w:rsidR="00DC58BB" w:rsidRDefault="00DC58BB"/>
    <w:p w:rsidR="00DC58BB" w:rsidRDefault="00DC58BB">
      <w:pPr>
        <w:pStyle w:val="Subitem"/>
      </w:pPr>
    </w:p>
    <w:sectPr w:rsidR="00DC58BB">
      <w:pgSz w:w="11907" w:h="16840" w:code="9"/>
      <w:pgMar w:top="1531" w:right="2410" w:bottom="3544" w:left="2410" w:header="720" w:footer="41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BB" w:rsidRDefault="00C378CB">
      <w:pPr>
        <w:spacing w:line="240" w:lineRule="auto"/>
      </w:pPr>
      <w:r>
        <w:separator/>
      </w:r>
    </w:p>
  </w:endnote>
  <w:endnote w:type="continuationSeparator" w:id="0">
    <w:p w:rsidR="00DC58BB" w:rsidRDefault="00C3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1A" w:rsidRDefault="0038681A">
    <w:pPr>
      <w:pStyle w:val="Footer"/>
      <w:pBdr>
        <w:top w:val="single" w:sz="6" w:space="1" w:color="auto"/>
      </w:pBdr>
      <w:ind w:right="-1" w:firstLine="360"/>
      <w:rPr>
        <w:i/>
        <w:iCs/>
        <w:sz w:val="18"/>
        <w:szCs w:val="18"/>
      </w:rPr>
    </w:pPr>
  </w:p>
  <w:p w:rsidR="0038681A" w:rsidRDefault="0038681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Social Security and Veterans’ Affairs Legislation Amendment (Male Total Average Weekly Earnings Benchmark)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7</w:t>
    </w:r>
    <w:r>
      <w:rPr>
        <w:i/>
        <w:iCs/>
        <w:sz w:val="18"/>
        <w:szCs w:val="18"/>
      </w:rPr>
      <w:fldChar w:fldCharType="end"/>
    </w:r>
  </w:p>
  <w:p w:rsidR="0038681A" w:rsidRDefault="0038681A">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HD:Comact:acts 173 to 179:Act 175/97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31135A">
      <w:rPr>
        <w:i/>
        <w:iCs/>
        <w:noProof/>
        <w:sz w:val="18"/>
        <w:szCs w:val="18"/>
      </w:rPr>
      <w:t>20/9/23 9:27 AM</w:t>
    </w:r>
    <w:r>
      <w:rPr>
        <w:i/>
        <w:iCs/>
        <w:sz w:val="18"/>
        <w:szCs w:val="18"/>
      </w:rPr>
      <w:fldChar w:fldCharType="end"/>
    </w:r>
  </w:p>
  <w:p w:rsidR="0038681A" w:rsidRDefault="0038681A">
    <w:pPr>
      <w:pStyle w:val="Footer"/>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1A" w:rsidRDefault="0038681A">
    <w:pPr>
      <w:pStyle w:val="Footer"/>
      <w:pBdr>
        <w:top w:val="single" w:sz="6" w:space="1" w:color="auto"/>
      </w:pBdr>
      <w:ind w:right="-1" w:firstLine="360"/>
      <w:jc w:val="right"/>
      <w:rPr>
        <w:i/>
        <w:iCs/>
        <w:sz w:val="18"/>
        <w:szCs w:val="18"/>
      </w:rPr>
    </w:pPr>
  </w:p>
  <w:p w:rsidR="0038681A" w:rsidRDefault="0038681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Social Security and Veterans’ Affairs Legislation Amendment (Male Total Average Weekly Earnings Benchmark)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175, 1997</w:t>
    </w:r>
    <w:r>
      <w:rPr>
        <w:i/>
        <w:iCs/>
        <w:sz w:val="18"/>
        <w:szCs w:val="18"/>
      </w:rPr>
      <w:fldChar w:fldCharType="end"/>
    </w:r>
    <w:r>
      <w:rPr>
        <w:i/>
        <w:iCs/>
        <w:sz w:val="18"/>
        <w:szCs w:val="18"/>
      </w:rPr>
      <w:t xml:space="preserve">     </w:t>
    </w:r>
  </w:p>
  <w:p w:rsidR="0038681A" w:rsidRDefault="0038681A">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HD:Comact:acts 173 to 179:Act 175/97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31135A">
      <w:rPr>
        <w:i/>
        <w:iCs/>
        <w:noProof/>
        <w:sz w:val="18"/>
        <w:szCs w:val="18"/>
      </w:rPr>
      <w:t>20/9/23 9:27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pStyle w:val="Footer"/>
      <w:pBdr>
        <w:top w:val="single" w:sz="6" w:space="1" w:color="auto"/>
      </w:pBdr>
      <w:ind w:right="-1" w:firstLine="360"/>
      <w:rPr>
        <w:i/>
        <w:iCs/>
        <w:sz w:val="18"/>
        <w:szCs w:val="18"/>
      </w:rPr>
    </w:pPr>
  </w:p>
  <w:p w:rsidR="00DC58BB" w:rsidRDefault="00C378CB">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Radiocommunications (Receiver Licence Tax)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42,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p>
  <w:p w:rsidR="00DC58BB" w:rsidRDefault="00C378CB">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 numbered 1997 Acts from AGPS:Acts 41 to 46, 48 to 59 of 97:ACT42/97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31135A">
      <w:rPr>
        <w:i/>
        <w:iCs/>
        <w:noProof/>
        <w:sz w:val="18"/>
        <w:szCs w:val="18"/>
      </w:rPr>
      <w:t>20/9/23 9:27 AM</w:t>
    </w:r>
    <w:r>
      <w:rPr>
        <w:i/>
        <w:iCs/>
        <w:sz w:val="18"/>
        <w:szCs w:val="18"/>
      </w:rPr>
      <w:fldChar w:fldCharType="end"/>
    </w:r>
  </w:p>
  <w:p w:rsidR="00DC58BB" w:rsidRDefault="00DC58BB">
    <w:pPr>
      <w:pStyle w:val="Footer"/>
      <w:rPr>
        <w:i/>
        <w:i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pStyle w:val="Footer"/>
      <w:pBdr>
        <w:top w:val="single" w:sz="6" w:space="1" w:color="auto"/>
      </w:pBdr>
      <w:ind w:right="-1" w:firstLine="360"/>
      <w:jc w:val="right"/>
      <w:rPr>
        <w:i/>
        <w:iCs/>
        <w:sz w:val="18"/>
        <w:szCs w:val="18"/>
      </w:rPr>
    </w:pPr>
  </w:p>
  <w:p w:rsidR="00DC58BB" w:rsidRDefault="00C378CB">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31135A">
      <w:rPr>
        <w:i/>
        <w:iCs/>
        <w:noProof/>
        <w:sz w:val="18"/>
        <w:szCs w:val="18"/>
      </w:rPr>
      <w:t>Radiocommunications (Receiver Licence Tax)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1135A">
      <w:rPr>
        <w:i/>
        <w:iCs/>
        <w:noProof/>
        <w:sz w:val="18"/>
        <w:szCs w:val="18"/>
      </w:rPr>
      <w:t>No. 42, 1997</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pStyle w:val="Footer"/>
      <w:pBdr>
        <w:top w:val="single" w:sz="6" w:space="1" w:color="auto"/>
      </w:pBdr>
      <w:ind w:right="-1" w:firstLine="360"/>
      <w:jc w:val="right"/>
      <w:rPr>
        <w:i/>
        <w:iCs/>
        <w:sz w:val="18"/>
        <w:szCs w:val="18"/>
      </w:rPr>
    </w:pPr>
  </w:p>
  <w:p w:rsidR="00DC58BB" w:rsidRDefault="00C378CB">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31135A">
      <w:rPr>
        <w:i/>
        <w:iCs/>
        <w:noProof/>
        <w:sz w:val="18"/>
        <w:szCs w:val="18"/>
      </w:rPr>
      <w:t>Radiocommunications (Receiver Licence Tax)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31135A">
      <w:rPr>
        <w:i/>
        <w:iCs/>
        <w:noProof/>
        <w:sz w:val="18"/>
        <w:szCs w:val="18"/>
      </w:rPr>
      <w:t>No. 42, 1997</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pStyle w:val="Footer"/>
      <w:pBdr>
        <w:top w:val="single" w:sz="6" w:space="1" w:color="auto"/>
      </w:pBdr>
      <w:ind w:right="-1" w:firstLine="360"/>
      <w:rPr>
        <w:i/>
        <w:iCs/>
        <w:sz w:val="18"/>
        <w:szCs w:val="18"/>
      </w:rPr>
    </w:pPr>
  </w:p>
  <w:p w:rsidR="00DC58BB" w:rsidRDefault="00C378CB">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31135A">
      <w:rPr>
        <w:i/>
        <w:iCs/>
        <w:noProof/>
        <w:sz w:val="18"/>
        <w:szCs w:val="18"/>
      </w:rPr>
      <w:t>Radiocommunications (Receiver Licence Tax)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31135A">
      <w:rPr>
        <w:i/>
        <w:iCs/>
        <w:noProof/>
        <w:sz w:val="18"/>
        <w:szCs w:val="18"/>
      </w:rPr>
      <w:t>No. 42,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pStyle w:val="Footer"/>
      <w:pBdr>
        <w:top w:val="single" w:sz="6" w:space="1" w:color="auto"/>
      </w:pBdr>
      <w:ind w:right="-1" w:firstLine="360"/>
      <w:rPr>
        <w:i/>
        <w:iCs/>
        <w:sz w:val="18"/>
        <w:szCs w:val="18"/>
      </w:rPr>
    </w:pPr>
  </w:p>
  <w:p w:rsidR="00DC58BB" w:rsidRDefault="00C378CB">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31135A">
      <w:rPr>
        <w:i/>
        <w:iCs/>
        <w:noProof/>
        <w:sz w:val="18"/>
        <w:szCs w:val="18"/>
      </w:rPr>
      <w:t>Radiocommunications (Receiver Licence Tax) Amendment Act 1997</w:t>
    </w:r>
    <w:r>
      <w:rPr>
        <w:i/>
        <w:iCs/>
        <w:sz w:val="18"/>
        <w:szCs w:val="18"/>
      </w:rPr>
      <w:fldChar w:fldCharType="end"/>
    </w:r>
    <w:r>
      <w:rPr>
        <w:i/>
        <w:iCs/>
        <w:sz w:val="18"/>
        <w:szCs w:val="18"/>
      </w:rPr>
      <w:t xml:space="preserve">  </w:t>
    </w:r>
    <w:r w:rsidR="005F1DA2">
      <w:rPr>
        <w:i/>
        <w:iCs/>
        <w:sz w:val="18"/>
        <w:szCs w:val="18"/>
      </w:rPr>
      <w:t xml:space="preserve"> </w:t>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1135A">
      <w:rPr>
        <w:i/>
        <w:iCs/>
        <w:noProof/>
        <w:sz w:val="18"/>
        <w:szCs w:val="18"/>
      </w:rPr>
      <w:t>No. 42,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BB" w:rsidRDefault="00C378CB">
      <w:pPr>
        <w:spacing w:line="240" w:lineRule="auto"/>
      </w:pPr>
      <w:r>
        <w:separator/>
      </w:r>
    </w:p>
  </w:footnote>
  <w:footnote w:type="continuationSeparator" w:id="0">
    <w:p w:rsidR="00DC58BB" w:rsidRDefault="00C3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1A" w:rsidRDefault="0038681A">
    <w:pPr>
      <w:pStyle w:val="headerpart"/>
      <w:rPr>
        <w:b w:val="0"/>
        <w:bCs w:val="0"/>
      </w:rPr>
    </w:pPr>
  </w:p>
  <w:p w:rsidR="0038681A" w:rsidRDefault="0038681A">
    <w:pPr>
      <w:pStyle w:val="headerpart"/>
    </w:pPr>
  </w:p>
  <w:p w:rsidR="0038681A" w:rsidRDefault="0038681A">
    <w:pPr>
      <w:pStyle w:val="headerpart"/>
    </w:pPr>
  </w:p>
  <w:p w:rsidR="0038681A" w:rsidRDefault="0038681A">
    <w:pPr>
      <w:pStyle w:val="headerpart"/>
      <w:pBdr>
        <w:bottom w:val="single" w:sz="12" w:space="1" w:color="auto"/>
      </w:pBdr>
      <w:rPr>
        <w:sz w:val="24"/>
        <w:szCs w:val="24"/>
      </w:rPr>
    </w:pPr>
  </w:p>
  <w:p w:rsidR="0038681A" w:rsidRDefault="0038681A">
    <w:pP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1A" w:rsidRDefault="0038681A">
    <w:pPr>
      <w:pStyle w:val="headerpartodd"/>
      <w:ind w:left="0" w:firstLine="0"/>
      <w:jc w:val="right"/>
    </w:pPr>
  </w:p>
  <w:p w:rsidR="0038681A" w:rsidRDefault="0038681A">
    <w:pPr>
      <w:pStyle w:val="headerpartodd"/>
      <w:ind w:left="0" w:firstLine="0"/>
      <w:jc w:val="right"/>
      <w:rPr>
        <w:i/>
        <w:iCs/>
      </w:rPr>
    </w:pPr>
  </w:p>
  <w:p w:rsidR="0038681A" w:rsidRDefault="0038681A">
    <w:pPr>
      <w:pStyle w:val="headerpartodd"/>
      <w:ind w:left="0" w:firstLine="0"/>
      <w:jc w:val="right"/>
    </w:pPr>
  </w:p>
  <w:p w:rsidR="0038681A" w:rsidRDefault="0038681A">
    <w:pPr>
      <w:pStyle w:val="headerpartodd"/>
      <w:ind w:left="0" w:firstLine="0"/>
      <w:jc w:val="right"/>
    </w:pPr>
  </w:p>
  <w:p w:rsidR="0038681A" w:rsidRDefault="0038681A">
    <w:pPr>
      <w:pStyle w:val="headerpartodd"/>
      <w:pBdr>
        <w:bottom w:val="single" w:sz="12" w:space="1" w:color="auto"/>
      </w:pBdr>
      <w:ind w:left="0" w:firstLine="0"/>
      <w:jc w:val="right"/>
      <w:rPr>
        <w:i/>
        <w:iCs/>
      </w:rPr>
    </w:pPr>
  </w:p>
  <w:p w:rsidR="0038681A" w:rsidRDefault="0038681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1A" w:rsidRDefault="0038681A">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pStyle w:val="headerpart"/>
      <w:rPr>
        <w:b w:val="0"/>
        <w:bCs w:val="0"/>
      </w:rPr>
    </w:pPr>
  </w:p>
  <w:p w:rsidR="00DC58BB" w:rsidRDefault="00DC58BB">
    <w:pPr>
      <w:pStyle w:val="headerpart"/>
    </w:pPr>
  </w:p>
  <w:p w:rsidR="00DC58BB" w:rsidRDefault="00DC58BB">
    <w:pPr>
      <w:pStyle w:val="headerpart"/>
    </w:pPr>
  </w:p>
  <w:p w:rsidR="00DC58BB" w:rsidRDefault="00DC58BB">
    <w:pPr>
      <w:pStyle w:val="headerpart"/>
      <w:pBdr>
        <w:bottom w:val="single" w:sz="12" w:space="1" w:color="auto"/>
      </w:pBdr>
      <w:rPr>
        <w:sz w:val="24"/>
        <w:szCs w:val="24"/>
      </w:rPr>
    </w:pPr>
  </w:p>
  <w:p w:rsidR="00DC58BB" w:rsidRDefault="00DC58BB">
    <w:pPr>
      <w:pBdr>
        <w:bottom w:val="single" w:sz="6"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pStyle w:val="headerpartodd"/>
      <w:ind w:left="0" w:firstLine="0"/>
    </w:pPr>
  </w:p>
  <w:p w:rsidR="00DC58BB" w:rsidRDefault="00DC58BB">
    <w:pPr>
      <w:pStyle w:val="headerpartodd"/>
      <w:ind w:left="0" w:firstLine="0"/>
      <w:rPr>
        <w:i/>
        <w:iCs/>
      </w:rPr>
    </w:pPr>
  </w:p>
  <w:p w:rsidR="00DC58BB" w:rsidRDefault="00DC58BB">
    <w:pPr>
      <w:pStyle w:val="headerpartodd"/>
      <w:ind w:left="0" w:firstLine="0"/>
    </w:pPr>
  </w:p>
  <w:p w:rsidR="00DC58BB" w:rsidRDefault="00DC58BB">
    <w:pPr>
      <w:pStyle w:val="headerpartodd"/>
      <w:ind w:left="0" w:firstLine="0"/>
    </w:pPr>
  </w:p>
  <w:p w:rsidR="00DC58BB" w:rsidRDefault="00DC58BB">
    <w:pPr>
      <w:pStyle w:val="headerpartodd"/>
      <w:pBdr>
        <w:bottom w:val="single" w:sz="12" w:space="1" w:color="auto"/>
      </w:pBdr>
      <w:ind w:left="0" w:firstLine="0"/>
      <w:jc w:val="right"/>
      <w:rPr>
        <w:i/>
        <w:iCs/>
      </w:rPr>
    </w:pPr>
  </w:p>
  <w:p w:rsidR="00DC58BB" w:rsidRDefault="00DC58B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C378CB">
    <w:pPr>
      <w:pStyle w:val="headerpart"/>
      <w:rPr>
        <w:b w:val="0"/>
        <w:bCs w:val="0"/>
        <w:sz w:val="24"/>
        <w:szCs w:val="24"/>
      </w:rPr>
    </w:pPr>
    <w:r>
      <w:fldChar w:fldCharType="begin"/>
    </w:r>
    <w:r>
      <w:instrText xml:space="preserve"> STYLEREF CharAmSchNo </w:instrText>
    </w:r>
    <w:r w:rsidR="0031135A">
      <w:fldChar w:fldCharType="separate"/>
    </w:r>
    <w:r w:rsidR="0031135A">
      <w:rPr>
        <w:noProof/>
      </w:rPr>
      <w:t>Schedule 1</w:t>
    </w:r>
    <w:r>
      <w:fldChar w:fldCharType="end"/>
    </w:r>
    <w:r>
      <w:t xml:space="preserve"> </w:t>
    </w:r>
    <w:r>
      <w:rPr>
        <w:b w:val="0"/>
        <w:bCs w:val="0"/>
      </w:rPr>
      <w:t xml:space="preserve"> </w:t>
    </w:r>
    <w:r>
      <w:rPr>
        <w:b w:val="0"/>
        <w:bCs w:val="0"/>
      </w:rPr>
      <w:fldChar w:fldCharType="begin"/>
    </w:r>
    <w:r>
      <w:rPr>
        <w:b w:val="0"/>
        <w:bCs w:val="0"/>
      </w:rPr>
      <w:instrText xml:space="preserve"> STYLEREF CharAmSchText </w:instrText>
    </w:r>
    <w:r w:rsidR="0031135A">
      <w:rPr>
        <w:b w:val="0"/>
        <w:bCs w:val="0"/>
      </w:rPr>
      <w:fldChar w:fldCharType="separate"/>
    </w:r>
    <w:r w:rsidR="0031135A">
      <w:rPr>
        <w:b w:val="0"/>
        <w:bCs w:val="0"/>
        <w:noProof/>
      </w:rPr>
      <w:t>Amendments</w:t>
    </w:r>
    <w:r>
      <w:rPr>
        <w:b w:val="0"/>
        <w:bCs w:val="0"/>
      </w:rPr>
      <w:fldChar w:fldCharType="end"/>
    </w:r>
  </w:p>
  <w:p w:rsidR="00DC58BB" w:rsidRDefault="00DC58BB">
    <w:pPr>
      <w:pBdr>
        <w:bottom w:val="single" w:sz="6"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C378CB">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separate"/>
    </w:r>
    <w:r w:rsidR="0031135A">
      <w:rPr>
        <w:b w:val="0"/>
        <w:bCs w:val="0"/>
        <w:noProof/>
      </w:rPr>
      <w:t>Amendments</w:t>
    </w:r>
    <w:r>
      <w:rPr>
        <w:b w:val="0"/>
        <w:bCs w:val="0"/>
      </w:rPr>
      <w:fldChar w:fldCharType="end"/>
    </w:r>
    <w:r>
      <w:rPr>
        <w:b w:val="0"/>
        <w:bCs w:val="0"/>
      </w:rPr>
      <w:t xml:space="preserve">  </w:t>
    </w:r>
    <w:r>
      <w:fldChar w:fldCharType="begin"/>
    </w:r>
    <w:r>
      <w:instrText xml:space="preserve"> STYLEREF CharAmSchNo </w:instrText>
    </w:r>
    <w:r>
      <w:fldChar w:fldCharType="separate"/>
    </w:r>
    <w:r w:rsidR="0031135A">
      <w:rPr>
        <w:noProof/>
      </w:rPr>
      <w:t>Schedule 1</w:t>
    </w:r>
    <w:r>
      <w:fldChar w:fldCharType="end"/>
    </w:r>
  </w:p>
  <w:p w:rsidR="00DC58BB" w:rsidRDefault="00DC58BB">
    <w:pPr>
      <w:pBdr>
        <w:bottom w:val="single" w:sz="6" w:space="1"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BB" w:rsidRDefault="00DC58BB">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DA"/>
    <w:rsid w:val="001831DA"/>
    <w:rsid w:val="0031135A"/>
    <w:rsid w:val="0038681A"/>
    <w:rsid w:val="005F1DA2"/>
    <w:rsid w:val="00C378CB"/>
    <w:rsid w:val="00CE1FC7"/>
    <w:rsid w:val="00DC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pPr>
      <w:jc w:val="center"/>
    </w:pPr>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before="240"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426</Words>
  <Characters>2754</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2023-09-19T22:24:00Z</dcterms:created>
  <dcterms:modified xsi:type="dcterms:W3CDTF">2023-09-19T23:27:00Z</dcterms:modified>
</cp:coreProperties>
</file>