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2F0">
      <w:pPr>
        <w:rPr>
          <w:sz w:val="28"/>
          <w:szCs w:val="28"/>
        </w:rPr>
      </w:pPr>
    </w:p>
    <w:p w:rsidR="00000000" w:rsidRDefault="00B852F0">
      <w:pPr>
        <w:rPr>
          <w:sz w:val="28"/>
          <w:szCs w:val="28"/>
        </w:rPr>
      </w:pPr>
    </w:p>
    <w:p w:rsidR="00000000" w:rsidRDefault="00B852F0">
      <w:pPr>
        <w:rPr>
          <w:sz w:val="28"/>
          <w:szCs w:val="28"/>
        </w:rPr>
      </w:pPr>
    </w:p>
    <w:p w:rsidR="00000000" w:rsidRDefault="00B852F0">
      <w:pPr>
        <w:rPr>
          <w:i/>
          <w:iCs/>
          <w:sz w:val="19"/>
          <w:szCs w:val="19"/>
        </w:rPr>
      </w:pPr>
    </w:p>
    <w:p w:rsidR="00000000" w:rsidRDefault="00B852F0">
      <w:pPr>
        <w:pStyle w:val="ShortT"/>
      </w:pPr>
      <w:r>
        <w:t>States Grants (General P</w:t>
      </w:r>
      <w:r>
        <w:t>urposes) Amendment Act 1997</w:t>
      </w:r>
    </w:p>
    <w:p w:rsidR="00000000" w:rsidRDefault="00B852F0"/>
    <w:p w:rsidR="00000000" w:rsidRDefault="00B852F0">
      <w:pPr>
        <w:pStyle w:val="Actno"/>
        <w:spacing w:before="400"/>
      </w:pPr>
      <w:r>
        <w:t>No. 131, 1997</w:t>
      </w:r>
      <w:bookmarkStart w:id="0" w:name="_GoBack"/>
      <w:bookmarkEnd w:id="0"/>
    </w:p>
    <w:p w:rsidR="00000000" w:rsidRDefault="00B852F0"/>
    <w:p w:rsidR="00000000" w:rsidRDefault="00B852F0"/>
    <w:p w:rsidR="00000000" w:rsidRDefault="00B852F0"/>
    <w:p w:rsidR="00000000" w:rsidRDefault="00B852F0"/>
    <w:p w:rsidR="00000000" w:rsidRDefault="00B852F0">
      <w:pPr>
        <w:pStyle w:val="Header"/>
      </w:pPr>
      <w:r>
        <w:rPr>
          <w:rStyle w:val="CharAmSchNo"/>
        </w:rPr>
        <w:t xml:space="preserve"> </w:t>
      </w:r>
      <w:r>
        <w:rPr>
          <w:rStyle w:val="CharAmSchText"/>
        </w:rPr>
        <w:t xml:space="preserve"> </w:t>
      </w:r>
    </w:p>
    <w:p w:rsidR="00000000" w:rsidRDefault="00B852F0">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7"/>
          <w:headerReference w:type="default" r:id="rId8"/>
          <w:footerReference w:type="even" r:id="rId9"/>
          <w:footerReference w:type="default" r:id="rId10"/>
          <w:headerReference w:type="first" r:id="rId11"/>
          <w:type w:val="nextColumn"/>
          <w:pgSz w:w="11907" w:h="16840" w:code="9"/>
          <w:pgMar w:top="1418" w:right="2410" w:bottom="3544" w:left="2410" w:header="720" w:footer="4111" w:gutter="0"/>
          <w:pgNumType w:start="1"/>
          <w:cols w:space="720"/>
          <w:titlePg/>
        </w:sectPr>
      </w:pPr>
    </w:p>
    <w:p w:rsidR="00000000" w:rsidRDefault="00B852F0">
      <w:pPr>
        <w:rPr>
          <w:sz w:val="28"/>
          <w:szCs w:val="28"/>
        </w:rPr>
      </w:pPr>
    </w:p>
    <w:p w:rsidR="00000000" w:rsidRDefault="00B852F0">
      <w:pPr>
        <w:rPr>
          <w:sz w:val="28"/>
          <w:szCs w:val="28"/>
        </w:rPr>
      </w:pPr>
    </w:p>
    <w:p w:rsidR="00000000" w:rsidRDefault="00B852F0">
      <w:pPr>
        <w:rPr>
          <w:sz w:val="28"/>
          <w:szCs w:val="28"/>
        </w:rPr>
      </w:pPr>
    </w:p>
    <w:p w:rsidR="00000000" w:rsidRDefault="00B852F0">
      <w:pPr>
        <w:rPr>
          <w:i/>
          <w:iCs/>
          <w:sz w:val="19"/>
          <w:szCs w:val="19"/>
        </w:rPr>
      </w:pPr>
    </w:p>
    <w:p w:rsidR="00000000" w:rsidRDefault="00B852F0">
      <w:pPr>
        <w:pStyle w:val="ShortT"/>
      </w:pPr>
      <w:r>
        <w:t>States Grants (General Purposes) Amendment Act 1997</w:t>
      </w:r>
    </w:p>
    <w:p w:rsidR="00000000" w:rsidRDefault="00B852F0"/>
    <w:p w:rsidR="00000000" w:rsidRDefault="00B852F0">
      <w:pPr>
        <w:pStyle w:val="Actno"/>
        <w:spacing w:before="400"/>
      </w:pPr>
      <w:r>
        <w:t>No. 131, 1997</w:t>
      </w:r>
    </w:p>
    <w:p w:rsidR="00000000" w:rsidRDefault="00B852F0"/>
    <w:p w:rsidR="00000000" w:rsidRDefault="00B852F0"/>
    <w:p w:rsidR="00000000" w:rsidRDefault="00B852F0"/>
    <w:p w:rsidR="00000000" w:rsidRDefault="00B852F0"/>
    <w:p w:rsidR="00000000" w:rsidRDefault="00B852F0">
      <w:pPr>
        <w:pStyle w:val="LongT"/>
      </w:pPr>
      <w:r>
        <w:t xml:space="preserve">An Act to amend the </w:t>
      </w:r>
      <w:r>
        <w:rPr>
          <w:i/>
          <w:iCs/>
        </w:rPr>
        <w:t>States Grants (General Purposes) Act 199</w:t>
      </w:r>
      <w:r>
        <w:rPr>
          <w:i/>
          <w:iCs/>
        </w:rPr>
        <w:t>4</w:t>
      </w:r>
      <w:r>
        <w:t>, and for related purposes</w:t>
      </w:r>
    </w:p>
    <w:p w:rsidR="00000000" w:rsidRDefault="00B852F0">
      <w:pPr>
        <w:pStyle w:val="Header"/>
      </w:pPr>
      <w:r>
        <w:rPr>
          <w:rStyle w:val="CharAmSchNo"/>
        </w:rPr>
        <w:t xml:space="preserve"> </w:t>
      </w:r>
      <w:r>
        <w:rPr>
          <w:rStyle w:val="CharAmSchText"/>
        </w:rPr>
        <w:t xml:space="preserve"> </w:t>
      </w:r>
    </w:p>
    <w:p w:rsidR="00000000" w:rsidRDefault="00B852F0">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12"/>
          <w:headerReference w:type="default" r:id="rId13"/>
          <w:footerReference w:type="even" r:id="rId14"/>
          <w:footerReference w:type="default" r:id="rId15"/>
          <w:headerReference w:type="first" r:id="rId16"/>
          <w:type w:val="nextColumn"/>
          <w:pgSz w:w="11907" w:h="16840" w:code="9"/>
          <w:pgMar w:top="1418" w:right="2410" w:bottom="3544" w:left="2410" w:header="720" w:footer="4111" w:gutter="0"/>
          <w:pgNumType w:start="1"/>
          <w:cols w:space="720"/>
          <w:titlePg/>
        </w:sectPr>
      </w:pPr>
    </w:p>
    <w:p w:rsidR="00000000" w:rsidRDefault="00B852F0">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000000" w:rsidRDefault="00B852F0">
      <w:pPr>
        <w:pStyle w:val="TOC5"/>
      </w:pPr>
      <w:r>
        <w:rPr>
          <w:sz w:val="36"/>
          <w:szCs w:val="36"/>
        </w:rPr>
        <w:fldChar w:fldCharType="begin"/>
      </w:r>
      <w:r>
        <w:rPr>
          <w:sz w:val="36"/>
          <w:szCs w:val="36"/>
        </w:rPr>
        <w:instrText xml:space="preserve"> TOC \t "Heading 1,1,Heading 2,2,Heading 3,3,Heading 4,4,Heading 5,5, Heading 6,6,Heading 7,7,Heading 8,8, Heading 9,9" </w:instrText>
      </w:r>
      <w:r>
        <w:rPr>
          <w:sz w:val="36"/>
          <w:szCs w:val="36"/>
        </w:rPr>
        <w:fldChar w:fldCharType="separate"/>
      </w:r>
      <w:r>
        <w:t>1</w:t>
      </w:r>
      <w:r>
        <w:tab/>
        <w:t>Short title</w:t>
      </w:r>
      <w:r>
        <w:tab/>
      </w:r>
      <w:r>
        <w:fldChar w:fldCharType="begin"/>
      </w:r>
      <w:r>
        <w:instrText xml:space="preserve"> GOTOBUTTON _Toc397315925  </w:instrText>
      </w:r>
      <w:r>
        <w:fldChar w:fldCharType="begin"/>
      </w:r>
      <w:r>
        <w:instrText xml:space="preserve"> PAGEREF _Toc397315925 </w:instrText>
      </w:r>
      <w:r>
        <w:fldChar w:fldCharType="separate"/>
      </w:r>
      <w:r>
        <w:instrText>1</w:instrText>
      </w:r>
      <w:r>
        <w:fldChar w:fldCharType="end"/>
      </w:r>
      <w:r>
        <w:fldChar w:fldCharType="end"/>
      </w:r>
    </w:p>
    <w:p w:rsidR="00000000" w:rsidRDefault="00B852F0">
      <w:pPr>
        <w:pStyle w:val="TOC5"/>
      </w:pPr>
      <w:r>
        <w:t>2</w:t>
      </w:r>
      <w:r>
        <w:tab/>
        <w:t>Commencement</w:t>
      </w:r>
      <w:r>
        <w:tab/>
      </w:r>
      <w:r>
        <w:fldChar w:fldCharType="begin"/>
      </w:r>
      <w:r>
        <w:instrText xml:space="preserve"> GOTOBUTTON _Toc397315926  </w:instrText>
      </w:r>
      <w:r>
        <w:fldChar w:fldCharType="begin"/>
      </w:r>
      <w:r>
        <w:instrText xml:space="preserve"> PAGEREF _Toc397315926 </w:instrText>
      </w:r>
      <w:r>
        <w:fldChar w:fldCharType="separate"/>
      </w:r>
      <w:r>
        <w:instrText>1</w:instrText>
      </w:r>
      <w:r>
        <w:fldChar w:fldCharType="end"/>
      </w:r>
      <w:r>
        <w:fldChar w:fldCharType="end"/>
      </w:r>
    </w:p>
    <w:p w:rsidR="00000000" w:rsidRDefault="00B852F0">
      <w:pPr>
        <w:pStyle w:val="TOC5"/>
      </w:pPr>
      <w:r>
        <w:t>3</w:t>
      </w:r>
      <w:r>
        <w:tab/>
        <w:t>Schedule(s)</w:t>
      </w:r>
      <w:r>
        <w:tab/>
      </w:r>
      <w:r>
        <w:fldChar w:fldCharType="begin"/>
      </w:r>
      <w:r>
        <w:instrText xml:space="preserve"> GOTOBUTTON _Toc397315927  </w:instrText>
      </w:r>
      <w:r>
        <w:fldChar w:fldCharType="begin"/>
      </w:r>
      <w:r>
        <w:instrText xml:space="preserve"> PAGEREF _Toc397315927 </w:instrText>
      </w:r>
      <w:r>
        <w:fldChar w:fldCharType="separate"/>
      </w:r>
      <w:r>
        <w:instrText>2</w:instrText>
      </w:r>
      <w:r>
        <w:fldChar w:fldCharType="end"/>
      </w:r>
      <w:r>
        <w:fldChar w:fldCharType="end"/>
      </w:r>
    </w:p>
    <w:p w:rsidR="00000000" w:rsidRDefault="00B852F0">
      <w:pPr>
        <w:pStyle w:val="TOC6"/>
      </w:pPr>
      <w:r>
        <w:t>Schedule 1—Amendment of the States Grants (General Purpo</w:t>
      </w:r>
      <w:r>
        <w:t>ses) Act 1994</w:t>
      </w:r>
      <w:r>
        <w:tab/>
      </w:r>
      <w:r>
        <w:rPr>
          <w:b w:val="0"/>
          <w:bCs w:val="0"/>
          <w:sz w:val="18"/>
          <w:szCs w:val="18"/>
        </w:rPr>
        <w:fldChar w:fldCharType="begin"/>
      </w:r>
      <w:r>
        <w:rPr>
          <w:b w:val="0"/>
          <w:bCs w:val="0"/>
          <w:sz w:val="18"/>
          <w:szCs w:val="18"/>
        </w:rPr>
        <w:instrText xml:space="preserve"> GOTOBUTTON _Toc397315928  </w:instrText>
      </w:r>
      <w:r>
        <w:rPr>
          <w:b w:val="0"/>
          <w:bCs w:val="0"/>
          <w:sz w:val="18"/>
          <w:szCs w:val="18"/>
        </w:rPr>
        <w:fldChar w:fldCharType="begin"/>
      </w:r>
      <w:r>
        <w:rPr>
          <w:b w:val="0"/>
          <w:bCs w:val="0"/>
          <w:sz w:val="18"/>
          <w:szCs w:val="18"/>
        </w:rPr>
        <w:instrText xml:space="preserve"> PAGEREF _Toc397315928 </w:instrText>
      </w:r>
      <w:r>
        <w:rPr>
          <w:b w:val="0"/>
          <w:bCs w:val="0"/>
          <w:sz w:val="18"/>
          <w:szCs w:val="18"/>
        </w:rPr>
        <w:fldChar w:fldCharType="separate"/>
      </w:r>
      <w:r>
        <w:rPr>
          <w:b w:val="0"/>
          <w:bCs w:val="0"/>
          <w:sz w:val="18"/>
          <w:szCs w:val="18"/>
        </w:rPr>
        <w:instrText>3</w:instrText>
      </w:r>
      <w:r>
        <w:rPr>
          <w:b w:val="0"/>
          <w:bCs w:val="0"/>
          <w:sz w:val="18"/>
          <w:szCs w:val="18"/>
        </w:rPr>
        <w:fldChar w:fldCharType="end"/>
      </w:r>
      <w:r>
        <w:rPr>
          <w:b w:val="0"/>
          <w:bCs w:val="0"/>
          <w:sz w:val="18"/>
          <w:szCs w:val="18"/>
        </w:rPr>
        <w:fldChar w:fldCharType="end"/>
      </w:r>
    </w:p>
    <w:p w:rsidR="00000000" w:rsidRDefault="00B852F0">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fldChar w:fldCharType="end"/>
      </w:r>
    </w:p>
    <w:p w:rsidR="00000000" w:rsidRDefault="00B852F0">
      <w:pPr>
        <w:sectPr w:rsidR="00000000">
          <w:headerReference w:type="even" r:id="rId17"/>
          <w:headerReference w:type="default" r:id="rId18"/>
          <w:footerReference w:type="even" r:id="rId19"/>
          <w:footerReference w:type="default" r:id="rId20"/>
          <w:pgSz w:w="11907" w:h="16840" w:code="9"/>
          <w:pgMar w:top="1418" w:right="2410" w:bottom="3544" w:left="2410" w:header="720" w:footer="4111" w:gutter="0"/>
          <w:pgNumType w:fmt="lowerRoman" w:start="1"/>
          <w:cols w:space="720"/>
        </w:sectPr>
      </w:pPr>
    </w:p>
    <w:p w:rsidR="00000000" w:rsidRDefault="00B852F0">
      <w:pPr>
        <w:pStyle w:val="Page1"/>
        <w:spacing w:before="800"/>
        <w:rPr>
          <w:sz w:val="40"/>
          <w:szCs w:val="40"/>
        </w:rPr>
      </w:pPr>
      <w:r>
        <w:rPr>
          <w:sz w:val="40"/>
          <w:szCs w:val="40"/>
        </w:rPr>
        <w:lastRenderedPageBreak/>
        <w:fldChar w:fldCharType="begin"/>
      </w:r>
      <w:r>
        <w:rPr>
          <w:sz w:val="40"/>
          <w:szCs w:val="40"/>
        </w:rPr>
        <w:instrText xml:space="preserve"> STYLEREF ShortT </w:instrText>
      </w:r>
      <w:r>
        <w:rPr>
          <w:sz w:val="40"/>
          <w:szCs w:val="40"/>
        </w:rPr>
        <w:fldChar w:fldCharType="separate"/>
      </w:r>
      <w:r>
        <w:rPr>
          <w:sz w:val="40"/>
          <w:szCs w:val="40"/>
        </w:rPr>
        <w:t>States Grants (General Purposes) Amendment Act 1997</w:t>
      </w:r>
      <w:r>
        <w:rPr>
          <w:sz w:val="40"/>
          <w:szCs w:val="40"/>
        </w:rPr>
        <w:fldChar w:fldCharType="end"/>
      </w:r>
    </w:p>
    <w:p w:rsidR="00000000" w:rsidRDefault="00B852F0">
      <w:pPr>
        <w:pStyle w:val="Page1"/>
        <w:spacing w:before="800"/>
        <w:rPr>
          <w:sz w:val="28"/>
          <w:szCs w:val="28"/>
        </w:rPr>
      </w:pPr>
      <w:r>
        <w:rPr>
          <w:sz w:val="28"/>
          <w:szCs w:val="28"/>
        </w:rPr>
        <w:fldChar w:fldCharType="begin"/>
      </w:r>
      <w:r>
        <w:rPr>
          <w:sz w:val="28"/>
          <w:szCs w:val="28"/>
        </w:rPr>
        <w:instrText xml:space="preserve"> STYLEREF Actno </w:instrText>
      </w:r>
      <w:r>
        <w:rPr>
          <w:sz w:val="28"/>
          <w:szCs w:val="28"/>
        </w:rPr>
        <w:fldChar w:fldCharType="separate"/>
      </w:r>
      <w:r>
        <w:rPr>
          <w:sz w:val="28"/>
          <w:szCs w:val="28"/>
        </w:rPr>
        <w:t>No. 131, 1997</w:t>
      </w:r>
      <w:r>
        <w:rPr>
          <w:sz w:val="28"/>
          <w:szCs w:val="28"/>
        </w:rPr>
        <w:fldChar w:fldCharType="end"/>
      </w:r>
    </w:p>
    <w:p w:rsidR="00000000" w:rsidRDefault="00B852F0">
      <w:pPr>
        <w:pStyle w:val="Page1"/>
        <w:pBdr>
          <w:bottom w:val="single" w:sz="6" w:space="1" w:color="auto"/>
        </w:pBdr>
        <w:rPr>
          <w:sz w:val="28"/>
          <w:szCs w:val="28"/>
        </w:rPr>
      </w:pPr>
    </w:p>
    <w:p w:rsidR="00000000" w:rsidRDefault="00B852F0">
      <w:pPr>
        <w:pStyle w:val="Page1"/>
        <w:spacing w:before="0" w:line="40" w:lineRule="exact"/>
        <w:rPr>
          <w:sz w:val="28"/>
          <w:szCs w:val="28"/>
        </w:rPr>
      </w:pPr>
    </w:p>
    <w:p w:rsidR="00000000" w:rsidRDefault="00B852F0">
      <w:pPr>
        <w:pStyle w:val="Page1"/>
        <w:pBdr>
          <w:top w:val="single" w:sz="12" w:space="1" w:color="auto"/>
        </w:pBdr>
        <w:spacing w:before="0"/>
      </w:pPr>
      <w:r>
        <w:fldChar w:fldCharType="begin"/>
      </w:r>
      <w:r>
        <w:instrText xml:space="preserve"> STYLEREF LongT \* MERGEFORMAT </w:instrText>
      </w:r>
      <w:r>
        <w:fldChar w:fldCharType="separate"/>
      </w:r>
      <w:r>
        <w:t xml:space="preserve">An Act to amend the </w:t>
      </w:r>
      <w:r>
        <w:rPr>
          <w:i/>
          <w:iCs/>
        </w:rPr>
        <w:t>States Grants (General Purposes) Act 1994,</w:t>
      </w:r>
      <w:r>
        <w:t xml:space="preserve"> and for related purposes</w:t>
      </w:r>
      <w:r>
        <w:fldChar w:fldCharType="end"/>
      </w:r>
    </w:p>
    <w:p w:rsidR="00000000" w:rsidRDefault="00B852F0">
      <w:pPr>
        <w:spacing w:before="240" w:line="240" w:lineRule="auto"/>
        <w:rPr>
          <w:sz w:val="32"/>
          <w:szCs w:val="32"/>
        </w:rPr>
      </w:pPr>
      <w:r>
        <w:sym w:font="Symbol" w:char="F05B"/>
      </w:r>
      <w:r>
        <w:rPr>
          <w:i/>
          <w:iCs/>
        </w:rPr>
        <w:t>Assented to 19</w:t>
      </w:r>
      <w:r>
        <w:rPr>
          <w:i/>
          <w:iCs/>
        </w:rPr>
        <w:t xml:space="preserve"> September 1997</w:t>
      </w:r>
      <w:r>
        <w:sym w:font="Symbol" w:char="F05D"/>
      </w:r>
    </w:p>
    <w:p w:rsidR="00000000" w:rsidRDefault="00B852F0">
      <w:pPr>
        <w:spacing w:before="240" w:line="240" w:lineRule="auto"/>
        <w:rPr>
          <w:sz w:val="32"/>
          <w:szCs w:val="32"/>
        </w:rPr>
      </w:pPr>
      <w:r>
        <w:rPr>
          <w:sz w:val="32"/>
          <w:szCs w:val="32"/>
        </w:rPr>
        <w:t>The Parliament of Australia enacts:</w:t>
      </w:r>
    </w:p>
    <w:p w:rsidR="00000000" w:rsidRDefault="00B852F0">
      <w:pPr>
        <w:pStyle w:val="Heading5"/>
      </w:pPr>
      <w:bookmarkStart w:id="1" w:name="_Toc313538257"/>
      <w:bookmarkStart w:id="2" w:name="_Toc313693988"/>
      <w:bookmarkStart w:id="3" w:name="_Toc317143067"/>
      <w:bookmarkStart w:id="4" w:name="_Toc317251939"/>
      <w:bookmarkStart w:id="5" w:name="_Toc388332414"/>
      <w:bookmarkStart w:id="6" w:name="_Toc390159106"/>
      <w:bookmarkStart w:id="7" w:name="_Toc391284261"/>
      <w:bookmarkStart w:id="8" w:name="_Toc391704563"/>
      <w:bookmarkStart w:id="9" w:name="_Toc391704853"/>
      <w:bookmarkStart w:id="10" w:name="_Toc397315925"/>
      <w:bookmarkStart w:id="11" w:name="_Toc318795567"/>
      <w:r>
        <w:rPr>
          <w:rStyle w:val="CharSectno"/>
        </w:rPr>
        <w:t>1</w:t>
      </w:r>
      <w:r>
        <w:t xml:space="preserve">  Short title</w:t>
      </w:r>
      <w:bookmarkEnd w:id="1"/>
      <w:bookmarkEnd w:id="2"/>
      <w:bookmarkEnd w:id="3"/>
      <w:bookmarkEnd w:id="4"/>
      <w:bookmarkEnd w:id="5"/>
      <w:bookmarkEnd w:id="6"/>
      <w:bookmarkEnd w:id="7"/>
      <w:bookmarkEnd w:id="8"/>
      <w:bookmarkEnd w:id="9"/>
      <w:bookmarkEnd w:id="10"/>
    </w:p>
    <w:p w:rsidR="00000000" w:rsidRDefault="00B852F0">
      <w:pPr>
        <w:pStyle w:val="subsection"/>
      </w:pPr>
      <w:r>
        <w:tab/>
      </w:r>
      <w:r>
        <w:tab/>
        <w:t xml:space="preserve">This Act may be cited as the </w:t>
      </w:r>
      <w:r>
        <w:rPr>
          <w:i/>
          <w:iCs/>
        </w:rPr>
        <w:t>States Grants (General Purposes) Amendment Act 1997</w:t>
      </w:r>
      <w:r>
        <w:t>.</w:t>
      </w:r>
    </w:p>
    <w:p w:rsidR="00000000" w:rsidRDefault="00B852F0">
      <w:pPr>
        <w:pStyle w:val="Heading5"/>
      </w:pPr>
      <w:bookmarkStart w:id="12" w:name="_FOPNextObject"/>
      <w:bookmarkStart w:id="13" w:name="_Toc313692954"/>
      <w:bookmarkStart w:id="14" w:name="_Toc313695428"/>
      <w:bookmarkStart w:id="15" w:name="_Toc317653189"/>
      <w:bookmarkStart w:id="16" w:name="_Toc318795378"/>
      <w:bookmarkStart w:id="17" w:name="_Toc320629538"/>
      <w:bookmarkStart w:id="18" w:name="_Toc320629619"/>
      <w:bookmarkStart w:id="19" w:name="_Toc320629673"/>
      <w:bookmarkStart w:id="20" w:name="_Toc320629808"/>
      <w:bookmarkStart w:id="21" w:name="_Toc388332415"/>
      <w:bookmarkStart w:id="22" w:name="_Toc390159107"/>
      <w:bookmarkStart w:id="23" w:name="_Toc391284262"/>
      <w:bookmarkStart w:id="24" w:name="_Toc391704564"/>
      <w:bookmarkStart w:id="25" w:name="_Toc391704854"/>
      <w:bookmarkStart w:id="26" w:name="_Toc397315926"/>
      <w:bookmarkEnd w:id="11"/>
      <w:bookmarkEnd w:id="12"/>
      <w:r>
        <w:rPr>
          <w:rStyle w:val="CharSectno"/>
        </w:rPr>
        <w:t>2</w:t>
      </w:r>
      <w:r>
        <w:t xml:space="preserve">  Commencement</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000000" w:rsidRDefault="00B852F0">
      <w:pPr>
        <w:pStyle w:val="subsection"/>
      </w:pPr>
      <w:r>
        <w:tab/>
      </w:r>
      <w:r>
        <w:tab/>
        <w:t>This Act commences on the day on which it receives the Royal Assent.</w:t>
      </w:r>
    </w:p>
    <w:p w:rsidR="00000000" w:rsidRDefault="00B852F0">
      <w:pPr>
        <w:pStyle w:val="Heading5"/>
      </w:pPr>
      <w:bookmarkStart w:id="27" w:name="_Toc313692955"/>
      <w:bookmarkStart w:id="28" w:name="_Toc313695429"/>
      <w:bookmarkStart w:id="29" w:name="_Toc317653190"/>
      <w:bookmarkStart w:id="30" w:name="_Toc318795379"/>
      <w:bookmarkStart w:id="31" w:name="_Toc320629539"/>
      <w:bookmarkStart w:id="32" w:name="_Toc320629620"/>
      <w:bookmarkStart w:id="33" w:name="_Toc320629674"/>
      <w:bookmarkStart w:id="34" w:name="_Toc320629809"/>
      <w:bookmarkStart w:id="35" w:name="_Toc388332416"/>
      <w:bookmarkStart w:id="36" w:name="_Toc390159108"/>
      <w:bookmarkStart w:id="37" w:name="_Toc391284263"/>
      <w:bookmarkStart w:id="38" w:name="_Toc391704565"/>
      <w:bookmarkStart w:id="39" w:name="_Toc391704855"/>
      <w:bookmarkStart w:id="40" w:name="_Toc397315927"/>
      <w:r>
        <w:rPr>
          <w:rStyle w:val="CharSectno"/>
        </w:rPr>
        <w:t>3</w:t>
      </w:r>
      <w:r>
        <w:t xml:space="preserve">  Schedule(s</w:t>
      </w:r>
      <w:bookmarkEnd w:id="27"/>
      <w:bookmarkEnd w:id="28"/>
      <w:bookmarkEnd w:id="29"/>
      <w:bookmarkEnd w:id="30"/>
      <w:bookmarkEnd w:id="31"/>
      <w:bookmarkEnd w:id="32"/>
      <w:bookmarkEnd w:id="33"/>
      <w:bookmarkEnd w:id="34"/>
      <w:r>
        <w:t>)</w:t>
      </w:r>
      <w:bookmarkEnd w:id="35"/>
      <w:bookmarkEnd w:id="36"/>
      <w:bookmarkEnd w:id="37"/>
      <w:bookmarkEnd w:id="38"/>
      <w:bookmarkEnd w:id="39"/>
      <w:bookmarkEnd w:id="40"/>
    </w:p>
    <w:p w:rsidR="00000000" w:rsidRDefault="00B852F0">
      <w:pPr>
        <w:pStyle w:val="subsection"/>
      </w:pPr>
      <w:r>
        <w:tab/>
      </w:r>
      <w:r>
        <w:tab/>
        <w:t>Each Act that is specified in a Schedule to this Act is amended or repealed as set out in the applicable items in the Schedule concerned, and any other item in a Schedule to this Act has effect according to it</w:t>
      </w:r>
      <w:r>
        <w:t>s terms.</w:t>
      </w:r>
    </w:p>
    <w:p w:rsidR="00000000" w:rsidRDefault="00B852F0">
      <w:pPr>
        <w:pStyle w:val="PageBreak"/>
      </w:pPr>
      <w:r>
        <w:br w:type="page"/>
      </w:r>
    </w:p>
    <w:p w:rsidR="00000000" w:rsidRDefault="00B852F0">
      <w:pPr>
        <w:pStyle w:val="Heading6"/>
      </w:pPr>
      <w:bookmarkStart w:id="41" w:name="_Toc388332417"/>
      <w:bookmarkStart w:id="42" w:name="_Toc390159109"/>
      <w:bookmarkStart w:id="43" w:name="_Toc391284264"/>
      <w:bookmarkStart w:id="44" w:name="_Toc391704566"/>
      <w:bookmarkStart w:id="45" w:name="_Toc391704856"/>
      <w:bookmarkStart w:id="46" w:name="_Toc397315928"/>
      <w:r>
        <w:rPr>
          <w:rStyle w:val="CharAmSchNo"/>
        </w:rPr>
        <w:t>Schedule 1</w:t>
      </w:r>
      <w:r>
        <w:t>—</w:t>
      </w:r>
      <w:r>
        <w:rPr>
          <w:rStyle w:val="CharAmSchText"/>
        </w:rPr>
        <w:t>Amendment of the States Grants (General Purposes) Act 1994</w:t>
      </w:r>
      <w:bookmarkEnd w:id="41"/>
      <w:bookmarkEnd w:id="42"/>
      <w:bookmarkEnd w:id="43"/>
      <w:bookmarkEnd w:id="44"/>
      <w:bookmarkEnd w:id="45"/>
      <w:bookmarkEnd w:id="46"/>
    </w:p>
    <w:p w:rsidR="00000000" w:rsidRDefault="00B852F0">
      <w:pPr>
        <w:pStyle w:val="Header"/>
      </w:pPr>
      <w:r>
        <w:rPr>
          <w:rStyle w:val="CharAmPartNo"/>
        </w:rPr>
        <w:t xml:space="preserve"> </w:t>
      </w:r>
      <w:r>
        <w:rPr>
          <w:rStyle w:val="CharAmPartText"/>
        </w:rPr>
        <w:t xml:space="preserve"> </w:t>
      </w:r>
    </w:p>
    <w:p w:rsidR="00000000" w:rsidRDefault="00B852F0">
      <w:pPr>
        <w:pStyle w:val="ItemHead"/>
      </w:pPr>
      <w:r>
        <w:t>1  Subsection 4(</w:t>
      </w:r>
      <w:r>
        <w:t>1)</w:t>
      </w:r>
    </w:p>
    <w:p w:rsidR="00000000" w:rsidRDefault="00B852F0">
      <w:pPr>
        <w:pStyle w:val="Item"/>
      </w:pPr>
      <w:r>
        <w:t>Insert:</w:t>
      </w:r>
    </w:p>
    <w:p w:rsidR="00000000" w:rsidRDefault="00B852F0">
      <w:pPr>
        <w:pStyle w:val="Definition"/>
      </w:pPr>
      <w:r>
        <w:rPr>
          <w:b/>
          <w:bCs/>
          <w:i/>
          <w:iCs/>
        </w:rPr>
        <w:t>Competition Agreement</w:t>
      </w:r>
      <w:r>
        <w:t xml:space="preserve"> means the Agreement to Implement the National Competition Policy and Related Reforms executed at the Council of Australian Governments on 11 April 1995.</w:t>
      </w:r>
    </w:p>
    <w:p w:rsidR="00000000" w:rsidRDefault="00B852F0">
      <w:pPr>
        <w:pStyle w:val="Definition"/>
      </w:pPr>
      <w:r>
        <w:rPr>
          <w:b/>
          <w:bCs/>
          <w:i/>
          <w:iCs/>
        </w:rPr>
        <w:t>Commonwealth surcharge</w:t>
      </w:r>
      <w:r>
        <w:t xml:space="preserve"> means the variation effected by a Surcharge Act</w:t>
      </w:r>
      <w:r>
        <w:t xml:space="preserve"> in the rate of duty of customs or excise payable on specified goods or in the rate of sales tax applicable to specified taxable dealings (as the case may be).</w:t>
      </w:r>
    </w:p>
    <w:p w:rsidR="00000000" w:rsidRDefault="00B852F0">
      <w:pPr>
        <w:pStyle w:val="Definition"/>
      </w:pPr>
      <w:r>
        <w:rPr>
          <w:b/>
          <w:bCs/>
          <w:i/>
          <w:iCs/>
        </w:rPr>
        <w:t>Sales Tax (Surcharge) Acts</w:t>
      </w:r>
      <w:r>
        <w:t xml:space="preserve"> means the following Acts:</w:t>
      </w:r>
    </w:p>
    <w:p w:rsidR="00000000" w:rsidRDefault="00B852F0">
      <w:pPr>
        <w:pStyle w:val="indenta"/>
      </w:pPr>
      <w:r>
        <w:tab/>
        <w:t>(a)</w:t>
      </w:r>
      <w:r>
        <w:tab/>
        <w:t xml:space="preserve">the </w:t>
      </w:r>
      <w:r>
        <w:rPr>
          <w:i/>
          <w:iCs/>
        </w:rPr>
        <w:t>Sales Tax (Customs) (Alcoholic Bev</w:t>
      </w:r>
      <w:r>
        <w:rPr>
          <w:i/>
          <w:iCs/>
        </w:rPr>
        <w:t>erages) Act 1997</w:t>
      </w:r>
      <w:r>
        <w:t>;</w:t>
      </w:r>
    </w:p>
    <w:p w:rsidR="00000000" w:rsidRDefault="00B852F0">
      <w:pPr>
        <w:pStyle w:val="indenta"/>
      </w:pPr>
      <w:r>
        <w:tab/>
        <w:t>(b)</w:t>
      </w:r>
      <w:r>
        <w:tab/>
        <w:t xml:space="preserve">the </w:t>
      </w:r>
      <w:r>
        <w:rPr>
          <w:i/>
          <w:iCs/>
        </w:rPr>
        <w:t>Sales Tax (Excise) (Alcoholic Beverages) Act 1997</w:t>
      </w:r>
      <w:r>
        <w:t>;</w:t>
      </w:r>
    </w:p>
    <w:p w:rsidR="00000000" w:rsidRDefault="00B852F0">
      <w:pPr>
        <w:pStyle w:val="indenta"/>
      </w:pPr>
      <w:r>
        <w:tab/>
        <w:t>(c)</w:t>
      </w:r>
      <w:r>
        <w:tab/>
        <w:t xml:space="preserve">the </w:t>
      </w:r>
      <w:r>
        <w:rPr>
          <w:i/>
          <w:iCs/>
        </w:rPr>
        <w:t>Sales Tax (General) (Alcoholic Beverages) Act 1997</w:t>
      </w:r>
      <w:r>
        <w:t>.</w:t>
      </w:r>
    </w:p>
    <w:p w:rsidR="00000000" w:rsidRDefault="00B852F0">
      <w:pPr>
        <w:pStyle w:val="notetext"/>
      </w:pPr>
      <w:r>
        <w:t>Note:</w:t>
      </w:r>
      <w:r>
        <w:tab/>
        <w:t>These Acts increase the rates of tax that apply to taxable dealings with the following goods:</w:t>
      </w:r>
    </w:p>
    <w:p w:rsidR="00000000" w:rsidRDefault="00B852F0">
      <w:pPr>
        <w:pStyle w:val="notepara"/>
      </w:pPr>
      <w:r>
        <w:t>(a)</w:t>
      </w:r>
      <w:r>
        <w:tab/>
        <w:t>goods covered</w:t>
      </w:r>
      <w:r>
        <w:t xml:space="preserve"> by Item 1 of Schedule 7 to the </w:t>
      </w:r>
      <w:r>
        <w:rPr>
          <w:i/>
          <w:iCs/>
        </w:rPr>
        <w:t>Sales Tax (Exemptions and Classifications) Act 1992</w:t>
      </w:r>
      <w:r>
        <w:t>;</w:t>
      </w:r>
    </w:p>
    <w:p w:rsidR="00000000" w:rsidRDefault="00B852F0">
      <w:pPr>
        <w:pStyle w:val="notepara"/>
      </w:pPr>
      <w:r>
        <w:t>(b)</w:t>
      </w:r>
      <w:r>
        <w:tab/>
        <w:t>beer, spirits, liqueurs or spirituous liquors;</w:t>
      </w:r>
    </w:p>
    <w:p w:rsidR="00000000" w:rsidRDefault="00B852F0">
      <w:pPr>
        <w:pStyle w:val="notepara"/>
      </w:pPr>
      <w:r>
        <w:t>(c)</w:t>
      </w:r>
      <w:r>
        <w:tab/>
        <w:t>beverages that contain beer, spirits (other than spirits for fortifying wine or other beverages), liqueurs or spirit</w:t>
      </w:r>
      <w:r>
        <w:t>uous liquors.</w:t>
      </w:r>
    </w:p>
    <w:p w:rsidR="00000000" w:rsidRDefault="00B852F0">
      <w:pPr>
        <w:pStyle w:val="Definition"/>
      </w:pPr>
      <w:r>
        <w:rPr>
          <w:b/>
          <w:bCs/>
          <w:i/>
          <w:iCs/>
        </w:rPr>
        <w:t>Secretary</w:t>
      </w:r>
      <w:r>
        <w:t xml:space="preserve"> means the Secretary of the Department.</w:t>
      </w:r>
    </w:p>
    <w:p w:rsidR="00000000" w:rsidRDefault="00B852F0">
      <w:pPr>
        <w:pStyle w:val="Definition"/>
      </w:pPr>
      <w:r>
        <w:rPr>
          <w:b/>
          <w:bCs/>
          <w:i/>
          <w:iCs/>
        </w:rPr>
        <w:t>Surcharge Acts</w:t>
      </w:r>
      <w:r>
        <w:t xml:space="preserve"> means the following Acts:</w:t>
      </w:r>
    </w:p>
    <w:p w:rsidR="00000000" w:rsidRDefault="00B852F0">
      <w:pPr>
        <w:pStyle w:val="indenta"/>
      </w:pPr>
      <w:r>
        <w:tab/>
        <w:t>(a)</w:t>
      </w:r>
      <w:r>
        <w:tab/>
        <w:t xml:space="preserve">the </w:t>
      </w:r>
      <w:r>
        <w:rPr>
          <w:i/>
          <w:iCs/>
        </w:rPr>
        <w:t>Customs Tariff Amendment Act (No. 3) 1997</w:t>
      </w:r>
      <w:r>
        <w:t>;</w:t>
      </w:r>
    </w:p>
    <w:p w:rsidR="00000000" w:rsidRDefault="00B852F0">
      <w:pPr>
        <w:pStyle w:val="indenta"/>
      </w:pPr>
      <w:r>
        <w:tab/>
        <w:t>(b)</w:t>
      </w:r>
      <w:r>
        <w:tab/>
        <w:t xml:space="preserve">the </w:t>
      </w:r>
      <w:r>
        <w:rPr>
          <w:i/>
          <w:iCs/>
        </w:rPr>
        <w:t>Excise Tariff Amendment Act (No. 3) 1997</w:t>
      </w:r>
      <w:r>
        <w:t>;</w:t>
      </w:r>
    </w:p>
    <w:p w:rsidR="00000000" w:rsidRDefault="00B852F0">
      <w:pPr>
        <w:pStyle w:val="indenta"/>
      </w:pPr>
      <w:r>
        <w:tab/>
        <w:t>(c)</w:t>
      </w:r>
      <w:r>
        <w:tab/>
        <w:t>the Sales Tax (Surcharge) Acts;</w:t>
      </w:r>
    </w:p>
    <w:p w:rsidR="00000000" w:rsidRDefault="00B852F0">
      <w:pPr>
        <w:pStyle w:val="indenta"/>
      </w:pPr>
      <w:r>
        <w:tab/>
        <w:t>(d)</w:t>
      </w:r>
      <w:r>
        <w:tab/>
        <w:t>any Act</w:t>
      </w:r>
      <w:r>
        <w:t xml:space="preserve"> that varies:</w:t>
      </w:r>
    </w:p>
    <w:p w:rsidR="00000000" w:rsidRDefault="00B852F0">
      <w:pPr>
        <w:pStyle w:val="indentii"/>
      </w:pPr>
      <w:r>
        <w:tab/>
        <w:t>(i)</w:t>
      </w:r>
      <w:r>
        <w:tab/>
        <w:t xml:space="preserve">the rate of the duty of customs payable on goods falling to subheadings of Chapter 24 or 27 of the </w:t>
      </w:r>
      <w:r>
        <w:rPr>
          <w:i/>
          <w:iCs/>
        </w:rPr>
        <w:t>Customs Tariff Act 1995</w:t>
      </w:r>
      <w:r>
        <w:t>; or</w:t>
      </w:r>
    </w:p>
    <w:p w:rsidR="00000000" w:rsidRDefault="00B852F0">
      <w:pPr>
        <w:pStyle w:val="indentii"/>
      </w:pPr>
      <w:r>
        <w:lastRenderedPageBreak/>
        <w:tab/>
        <w:t>(ii)</w:t>
      </w:r>
      <w:r>
        <w:tab/>
        <w:t xml:space="preserve">the rate of the duty of excise payable on goods falling to items 6, 7, 8 or 11 of the Schedule to the </w:t>
      </w:r>
      <w:r>
        <w:rPr>
          <w:i/>
          <w:iCs/>
        </w:rPr>
        <w:t>Excise Tariff Act 1921</w:t>
      </w:r>
      <w:r>
        <w:t>; or</w:t>
      </w:r>
    </w:p>
    <w:p w:rsidR="00000000" w:rsidRDefault="00B852F0">
      <w:pPr>
        <w:pStyle w:val="indentii"/>
      </w:pPr>
      <w:r>
        <w:tab/>
        <w:t>(iii)</w:t>
      </w:r>
      <w:r>
        <w:tab/>
        <w:t>the rate of sales tax applicable to any of the taxable dealings to which the Sales Tax (Surcharge) Acts relate;</w:t>
      </w:r>
    </w:p>
    <w:p w:rsidR="00000000" w:rsidRDefault="00B852F0">
      <w:pPr>
        <w:pStyle w:val="indenta"/>
      </w:pPr>
      <w:r>
        <w:tab/>
      </w:r>
      <w:r>
        <w:tab/>
        <w:t>and is prescribed for the purposes of this definition.</w:t>
      </w:r>
    </w:p>
    <w:p w:rsidR="00000000" w:rsidRDefault="00B852F0">
      <w:pPr>
        <w:pStyle w:val="notetext"/>
      </w:pPr>
      <w:r>
        <w:t>Note 1:</w:t>
      </w:r>
      <w:r>
        <w:tab/>
        <w:t xml:space="preserve">The </w:t>
      </w:r>
      <w:r>
        <w:rPr>
          <w:i/>
          <w:iCs/>
        </w:rPr>
        <w:t>Customs Tariff Amendment Act (No. 3) 1997</w:t>
      </w:r>
      <w:r>
        <w:t xml:space="preserve"> increases the rate of the duty of customs payable on goods falling to certain subheadings of Chapters 24 and 27 of Schedule 3 to the </w:t>
      </w:r>
      <w:r>
        <w:rPr>
          <w:i/>
          <w:iCs/>
        </w:rPr>
        <w:t>Customs Tariff Act 1995</w:t>
      </w:r>
      <w:r>
        <w:t>. The relevant subheadings of Chapter 24 deal with tobacco and manufactured tobacco substitutes. Th</w:t>
      </w:r>
      <w:r>
        <w:t>e relevant subheadings of Chapter 27 deal with petroleum products.</w:t>
      </w:r>
    </w:p>
    <w:p w:rsidR="00000000" w:rsidRDefault="00B852F0">
      <w:pPr>
        <w:pStyle w:val="notetext"/>
      </w:pPr>
      <w:r>
        <w:t>Note 2:</w:t>
      </w:r>
      <w:r>
        <w:tab/>
        <w:t xml:space="preserve">The </w:t>
      </w:r>
      <w:r>
        <w:rPr>
          <w:i/>
          <w:iCs/>
        </w:rPr>
        <w:t>Excise Tariff Amendment Act (No. 3) 1997</w:t>
      </w:r>
      <w:r>
        <w:t xml:space="preserve"> increases the rate of the duty of excise payable on goods falling to items 6, 7, 8 and 11 in the Schedule to the </w:t>
      </w:r>
      <w:r>
        <w:rPr>
          <w:i/>
          <w:iCs/>
        </w:rPr>
        <w:t>Excise Tariff Act 1921</w:t>
      </w:r>
      <w:r>
        <w:t>.</w:t>
      </w:r>
      <w:r>
        <w:t xml:space="preserve"> Items 6, 7 and 8 in that Schedule deal with tobacco, cigars and cigarettes. Item 11 deals with petroleum products.</w:t>
      </w:r>
    </w:p>
    <w:p w:rsidR="00000000" w:rsidRDefault="00B852F0">
      <w:pPr>
        <w:pStyle w:val="ItemHead"/>
      </w:pPr>
      <w:r>
        <w:t xml:space="preserve">2  Subsection 5(1) (definition of </w:t>
      </w:r>
      <w:r>
        <w:rPr>
          <w:i/>
          <w:iCs/>
        </w:rPr>
        <w:t>SDA</w:t>
      </w:r>
      <w:r>
        <w:t>)</w:t>
      </w:r>
    </w:p>
    <w:p w:rsidR="00000000" w:rsidRDefault="00B852F0">
      <w:pPr>
        <w:pStyle w:val="Item"/>
      </w:pPr>
      <w:r>
        <w:t>Repeal the definition, substitute:</w:t>
      </w:r>
    </w:p>
    <w:p w:rsidR="00000000" w:rsidRDefault="00B852F0">
      <w:pPr>
        <w:pStyle w:val="Definition"/>
      </w:pPr>
      <w:r>
        <w:rPr>
          <w:b/>
          <w:bCs/>
          <w:i/>
          <w:iCs/>
        </w:rPr>
        <w:t>SDA</w:t>
      </w:r>
      <w:r>
        <w:t xml:space="preserve"> (sum of deductible amounts) means the amount determined by the</w:t>
      </w:r>
      <w:r>
        <w:t xml:space="preserve"> Minister before 10 June in the grant year to be the estimate of such part of TAP as is the sum of the amounts payable to the State, during the grant year, under the hospital funding arrangements for that year that relate to payments made in accordance wit</w:t>
      </w:r>
      <w:r>
        <w:t>h all schedules of the 1993-98 Medicare Agreements with the exception of payments made under subclause 2.1 of Schedule C, Base Hospital Funding Grant Formula.</w:t>
      </w:r>
    </w:p>
    <w:p w:rsidR="00000000" w:rsidRDefault="00B852F0">
      <w:pPr>
        <w:pStyle w:val="ItemHead"/>
      </w:pPr>
      <w:r>
        <w:t>3  Sections 10 and 11</w:t>
      </w:r>
    </w:p>
    <w:p w:rsidR="00000000" w:rsidRDefault="00B852F0">
      <w:pPr>
        <w:pStyle w:val="Item"/>
      </w:pPr>
      <w:r>
        <w:t>Repeal the sections, substitute:</w:t>
      </w:r>
    </w:p>
    <w:p w:rsidR="00000000" w:rsidRDefault="00B852F0">
      <w:pPr>
        <w:pStyle w:val="Heading5"/>
      </w:pPr>
      <w:bookmarkStart w:id="47" w:name="_Toc388332419"/>
      <w:bookmarkStart w:id="48" w:name="_Toc390159110"/>
      <w:bookmarkStart w:id="49" w:name="_Toc391284265"/>
      <w:bookmarkStart w:id="50" w:name="_Toc391704567"/>
      <w:bookmarkStart w:id="51" w:name="_Toc391704857"/>
      <w:bookmarkStart w:id="52" w:name="_Toc397315929"/>
      <w:r>
        <w:rPr>
          <w:rStyle w:val="CharSectno"/>
        </w:rPr>
        <w:t>10</w:t>
      </w:r>
      <w:r>
        <w:t xml:space="preserve">  Competition Agreement: per capita growth deductions</w:t>
      </w:r>
      <w:bookmarkEnd w:id="47"/>
      <w:r>
        <w:t>—1997-98</w:t>
      </w:r>
      <w:bookmarkEnd w:id="48"/>
      <w:bookmarkEnd w:id="49"/>
      <w:bookmarkEnd w:id="50"/>
      <w:bookmarkEnd w:id="51"/>
      <w:bookmarkEnd w:id="52"/>
    </w:p>
    <w:p w:rsidR="00000000" w:rsidRDefault="00B852F0">
      <w:pPr>
        <w:pStyle w:val="subsection"/>
      </w:pPr>
      <w:r>
        <w:tab/>
      </w:r>
      <w:r>
        <w:tab/>
        <w:t>The Treasurer may deduct from the amount of financial assistance grant pa</w:t>
      </w:r>
      <w:r>
        <w:t>yable to a State under section 9 in relation to the grant year commencing 1 July 1997:</w:t>
      </w:r>
    </w:p>
    <w:p w:rsidR="00000000" w:rsidRDefault="00B852F0">
      <w:pPr>
        <w:pStyle w:val="indenta"/>
      </w:pPr>
      <w:r>
        <w:tab/>
        <w:t>(a)</w:t>
      </w:r>
      <w:r>
        <w:tab/>
        <w:t>an amount that does not exceed; or</w:t>
      </w:r>
    </w:p>
    <w:p w:rsidR="00000000" w:rsidRDefault="00B852F0">
      <w:pPr>
        <w:pStyle w:val="indenta"/>
      </w:pPr>
      <w:r>
        <w:tab/>
        <w:t>(b)</w:t>
      </w:r>
      <w:r>
        <w:tab/>
        <w:t>amounts that in total do not exceed;</w:t>
      </w:r>
    </w:p>
    <w:p w:rsidR="00000000" w:rsidRDefault="00B852F0">
      <w:pPr>
        <w:pStyle w:val="subsection2"/>
      </w:pPr>
      <w:r>
        <w:lastRenderedPageBreak/>
        <w:t>the amount that may be deducted under the applicable Schedule.</w:t>
      </w:r>
    </w:p>
    <w:p w:rsidR="00000000" w:rsidRDefault="00B852F0">
      <w:pPr>
        <w:pStyle w:val="notetext"/>
      </w:pPr>
      <w:r>
        <w:t>Note:</w:t>
      </w:r>
      <w:r>
        <w:tab/>
        <w:t xml:space="preserve">This provision is </w:t>
      </w:r>
      <w:r>
        <w:t>enacted pursuant to the Competition Agreement. Under that Agreement, the per capita component of growth in the pool of financial assistance grants is payable subject to the States complying with the conditions set out in the Agreement.</w:t>
      </w:r>
    </w:p>
    <w:p w:rsidR="00000000" w:rsidRDefault="00B852F0">
      <w:pPr>
        <w:pStyle w:val="notemargin"/>
      </w:pPr>
      <w:r>
        <w:t>Note:</w:t>
      </w:r>
      <w:r>
        <w:tab/>
        <w:t>The heading to</w:t>
      </w:r>
      <w:r>
        <w:t xml:space="preserve"> section 12A is altered by omitting “</w:t>
      </w:r>
      <w:r>
        <w:rPr>
          <w:b/>
          <w:bCs/>
        </w:rPr>
        <w:t>Competition</w:t>
      </w:r>
      <w:r>
        <w:t>” and substituting “</w:t>
      </w:r>
      <w:r>
        <w:rPr>
          <w:b/>
          <w:bCs/>
        </w:rPr>
        <w:t>Competition Agreement: competition</w:t>
      </w:r>
      <w:r>
        <w:t>”.</w:t>
      </w:r>
    </w:p>
    <w:p w:rsidR="00000000" w:rsidRDefault="00B852F0">
      <w:pPr>
        <w:pStyle w:val="Heading5"/>
      </w:pPr>
      <w:bookmarkStart w:id="53" w:name="_Toc391284266"/>
      <w:bookmarkStart w:id="54" w:name="_Toc391704568"/>
      <w:bookmarkStart w:id="55" w:name="_Toc391704858"/>
      <w:bookmarkStart w:id="56" w:name="_Toc397315930"/>
      <w:r>
        <w:rPr>
          <w:rStyle w:val="CharSectno"/>
        </w:rPr>
        <w:t>11</w:t>
      </w:r>
      <w:r>
        <w:t xml:space="preserve">  Payments in relation to excess State fiscal contributions</w:t>
      </w:r>
      <w:bookmarkEnd w:id="53"/>
      <w:bookmarkEnd w:id="54"/>
      <w:bookmarkEnd w:id="55"/>
      <w:bookmarkEnd w:id="56"/>
    </w:p>
    <w:p w:rsidR="00000000" w:rsidRDefault="00B852F0">
      <w:pPr>
        <w:pStyle w:val="subsection"/>
      </w:pPr>
      <w:r>
        <w:tab/>
        <w:t>(1)</w:t>
      </w:r>
      <w:r>
        <w:tab/>
        <w:t>This section applies if the amounts (</w:t>
      </w:r>
      <w:r>
        <w:rPr>
          <w:b/>
          <w:bCs/>
          <w:i/>
          <w:iCs/>
        </w:rPr>
        <w:t>fiscal contribution payment</w:t>
      </w:r>
      <w:r>
        <w:t xml:space="preserve">) paid, or taken (under this Act or any other Acts) to have been paid, by a State in the grant year commencing on 1 July 1997 in satisfaction of the State’s 1997-98 fiscal </w:t>
      </w:r>
      <w:r>
        <w:t>contribution (within the meaning of section 15B) exceed the amount of the State’s 1997-98 fiscal contribution.</w:t>
      </w:r>
    </w:p>
    <w:p w:rsidR="00000000" w:rsidRDefault="00B852F0">
      <w:pPr>
        <w:pStyle w:val="subsection"/>
      </w:pPr>
      <w:r>
        <w:tab/>
        <w:t>(2)</w:t>
      </w:r>
      <w:r>
        <w:tab/>
        <w:t>The Treasurer may pay an amount of financial assistance to the State in the grant year commencing on 1 July 1997 or 1 July 1998 which is equ</w:t>
      </w:r>
      <w:r>
        <w:t>al to the amount by which the State’s fiscal contribution payments exceed the amount of the State’s 1997-1998 fiscal contribution.</w:t>
      </w:r>
    </w:p>
    <w:p w:rsidR="00000000" w:rsidRDefault="00B852F0">
      <w:pPr>
        <w:pStyle w:val="Heading5"/>
      </w:pPr>
      <w:bookmarkStart w:id="57" w:name="_Toc397315931"/>
      <w:r>
        <w:t>11A  Revenue replacement payments</w:t>
      </w:r>
      <w:bookmarkEnd w:id="57"/>
    </w:p>
    <w:p w:rsidR="00000000" w:rsidRDefault="00B852F0">
      <w:pPr>
        <w:pStyle w:val="subsection"/>
      </w:pPr>
      <w:r>
        <w:tab/>
      </w:r>
      <w:r>
        <w:tab/>
        <w:t>Subject to this Act, each State is to be paid by way of financi</w:t>
      </w:r>
      <w:r>
        <w:t>al assistance, in relation to a grant year, a revenue replacement payment worked out in accordance with the applicable Schedule.</w:t>
      </w:r>
    </w:p>
    <w:p w:rsidR="00000000" w:rsidRDefault="00B852F0">
      <w:pPr>
        <w:pStyle w:val="Heading5"/>
      </w:pPr>
      <w:bookmarkStart w:id="58" w:name="_Toc397315932"/>
      <w:r>
        <w:t>11B  Franchise fees windfall tax reimbursement payments</w:t>
      </w:r>
      <w:bookmarkEnd w:id="58"/>
    </w:p>
    <w:p w:rsidR="00000000" w:rsidRDefault="00B852F0">
      <w:pPr>
        <w:pStyle w:val="subsection"/>
      </w:pPr>
      <w:r>
        <w:tab/>
      </w:r>
      <w:r>
        <w:tab/>
        <w:t>Subject to this Act, each State is to be pa</w:t>
      </w:r>
      <w:r>
        <w:t>id by way of financial assistance, in relation to a grant year, a franchise fees windfall tax reimbursement payment worked out in accordance with the applicable Schedule.</w:t>
      </w:r>
    </w:p>
    <w:p w:rsidR="00000000" w:rsidRDefault="00B852F0">
      <w:pPr>
        <w:pStyle w:val="ItemHead"/>
      </w:pPr>
      <w:r>
        <w:t>4  Section 12A (note)</w:t>
      </w:r>
    </w:p>
    <w:p w:rsidR="00000000" w:rsidRDefault="00B852F0">
      <w:pPr>
        <w:pStyle w:val="Item"/>
      </w:pPr>
      <w:r>
        <w:t>Omit “Agreement to implement the National Competition Policy an</w:t>
      </w:r>
      <w:r>
        <w:t>d Related Reforms executed at the Council of Australian Government on 11 April 1995”, substitute “Competition Agreement”.</w:t>
      </w:r>
    </w:p>
    <w:p w:rsidR="00000000" w:rsidRDefault="00B852F0">
      <w:pPr>
        <w:pStyle w:val="ItemHead"/>
      </w:pPr>
      <w:r>
        <w:t>5  After section 12A</w:t>
      </w:r>
    </w:p>
    <w:p w:rsidR="00000000" w:rsidRDefault="00B852F0">
      <w:pPr>
        <w:pStyle w:val="Item"/>
      </w:pPr>
      <w:r>
        <w:lastRenderedPageBreak/>
        <w:t>Insert:</w:t>
      </w:r>
    </w:p>
    <w:p w:rsidR="00000000" w:rsidRDefault="00B852F0">
      <w:pPr>
        <w:pStyle w:val="Heading5"/>
      </w:pPr>
      <w:bookmarkStart w:id="59" w:name="_Toc397315933"/>
      <w:r>
        <w:t>12B  Overpayment of grant</w:t>
      </w:r>
      <w:bookmarkEnd w:id="59"/>
    </w:p>
    <w:p w:rsidR="00000000" w:rsidRDefault="00B852F0">
      <w:pPr>
        <w:pStyle w:val="subsection"/>
      </w:pPr>
      <w:r>
        <w:tab/>
      </w:r>
      <w:r>
        <w:tab/>
        <w:t>If a State has been paid an amount in excess of the</w:t>
      </w:r>
      <w:r>
        <w:t xml:space="preserve"> amount that, under a provision of this Act, it was entitled to receive by way of financial assistance in relation to a grant year, the Treasurer may deduct an amount equal to the excess from any amount that the State is entitled to receive by way of finan</w:t>
      </w:r>
      <w:r>
        <w:t>cial assistance in relation to the year immediately following the grant year.</w:t>
      </w:r>
    </w:p>
    <w:p w:rsidR="00000000" w:rsidRDefault="00B852F0">
      <w:pPr>
        <w:pStyle w:val="ItemHead"/>
      </w:pPr>
      <w:r>
        <w:t>6  After section 15A</w:t>
      </w:r>
    </w:p>
    <w:p w:rsidR="00000000" w:rsidRDefault="00B852F0">
      <w:pPr>
        <w:pStyle w:val="Item"/>
      </w:pPr>
      <w:r>
        <w:t>Insert:</w:t>
      </w:r>
    </w:p>
    <w:p w:rsidR="00000000" w:rsidRDefault="00B852F0">
      <w:pPr>
        <w:pStyle w:val="Heading5"/>
      </w:pPr>
      <w:bookmarkStart w:id="60" w:name="_Toc388332418"/>
      <w:bookmarkStart w:id="61" w:name="_Toc390159111"/>
      <w:bookmarkStart w:id="62" w:name="_Toc391284267"/>
      <w:bookmarkStart w:id="63" w:name="_Toc391704569"/>
      <w:bookmarkStart w:id="64" w:name="_Toc391704859"/>
      <w:bookmarkStart w:id="65" w:name="_Toc397315934"/>
      <w:r>
        <w:rPr>
          <w:rStyle w:val="CharSectno"/>
        </w:rPr>
        <w:t>15B</w:t>
      </w:r>
      <w:r>
        <w:t xml:space="preserve">  State fiscal contribution—1997-98</w:t>
      </w:r>
      <w:bookmarkEnd w:id="60"/>
      <w:bookmarkEnd w:id="61"/>
      <w:bookmarkEnd w:id="62"/>
      <w:bookmarkEnd w:id="63"/>
      <w:bookmarkEnd w:id="64"/>
      <w:bookmarkEnd w:id="65"/>
    </w:p>
    <w:p w:rsidR="00000000" w:rsidRDefault="00B852F0">
      <w:pPr>
        <w:pStyle w:val="subsection"/>
      </w:pPr>
      <w:r>
        <w:tab/>
        <w:t>(1)</w:t>
      </w:r>
      <w:r>
        <w:tab/>
        <w:t>Financial assistance to which a State is entitled under section 9 (</w:t>
      </w:r>
      <w:r>
        <w:rPr>
          <w:b/>
          <w:bCs/>
          <w:i/>
          <w:iCs/>
        </w:rPr>
        <w:t>financial assistance grant</w:t>
      </w:r>
      <w:r>
        <w:t>) in relation to the grant year commencing on 1 July 1997 is granted on condition that the State will pay to the</w:t>
      </w:r>
      <w:r>
        <w:t xml:space="preserve"> Commonwealth an amount of fiscal contribution (</w:t>
      </w:r>
      <w:r>
        <w:rPr>
          <w:b/>
          <w:bCs/>
          <w:i/>
          <w:iCs/>
        </w:rPr>
        <w:t>1997-98 fiscal contribution</w:t>
      </w:r>
      <w:r>
        <w:t>) worked out in accordance with the applicable Schedule.</w:t>
      </w:r>
    </w:p>
    <w:p w:rsidR="00000000" w:rsidRDefault="00B852F0">
      <w:pPr>
        <w:pStyle w:val="subsection"/>
      </w:pPr>
      <w:r>
        <w:tab/>
        <w:t>(2)</w:t>
      </w:r>
      <w:r>
        <w:tab/>
        <w:t>The Treasurer may deduct from any amount payable under this Act in respect of the financial assistance grant to the Sta</w:t>
      </w:r>
      <w:r>
        <w:t xml:space="preserve">te for the grant year commencing on 1 July 1997 an amount that, together with the amounts (if any) paid, or taken (under this Act or any other Act) to have been paid, by the State in satisfaction of the State’s 1997-98 fiscal contribution, does not exceed </w:t>
      </w:r>
      <w:r>
        <w:t>the amount of that contribution.</w:t>
      </w:r>
    </w:p>
    <w:p w:rsidR="00000000" w:rsidRDefault="00B852F0">
      <w:pPr>
        <w:pStyle w:val="subsection"/>
      </w:pPr>
      <w:r>
        <w:tab/>
        <w:t>(3)</w:t>
      </w:r>
      <w:r>
        <w:tab/>
        <w:t xml:space="preserve">If part of the State’s 1997-98 fiscal contribution remains unpaid on 1 July 1998, the Treasurer may deduct from any amount payable under this Act in respect of the financial assistance grant to the State for the grant </w:t>
      </w:r>
      <w:r>
        <w:t>year commencing on 1 July 1998 an amount that, together with the amounts (if any) paid, or taken (under this Act or any other Act) to have been paid, by the State in satisfaction of the State’s 1997-98 fiscal contribution, does not exceed the amount of tha</w:t>
      </w:r>
      <w:r>
        <w:t>t contribution.</w:t>
      </w:r>
    </w:p>
    <w:p w:rsidR="00000000" w:rsidRDefault="00B852F0">
      <w:pPr>
        <w:pStyle w:val="subsection"/>
      </w:pPr>
      <w:r>
        <w:lastRenderedPageBreak/>
        <w:tab/>
        <w:t>(4)</w:t>
      </w:r>
      <w:r>
        <w:tab/>
        <w:t>An amount deducted under subsection (2) or (3) from the State’s financial assistance grant is taken to have been paid by the State to the Commonwealth in satisfaction of the State’s 1997-98 fiscal contribution.</w:t>
      </w:r>
    </w:p>
    <w:p w:rsidR="00000000" w:rsidRDefault="00B852F0">
      <w:pPr>
        <w:pStyle w:val="ItemHead"/>
      </w:pPr>
      <w:r>
        <w:t>7  At the end of section 17</w:t>
      </w:r>
    </w:p>
    <w:p w:rsidR="00000000" w:rsidRDefault="00B852F0">
      <w:pPr>
        <w:pStyle w:val="Item"/>
      </w:pPr>
      <w:r>
        <w:t>Add:</w:t>
      </w:r>
    </w:p>
    <w:p w:rsidR="00000000" w:rsidRDefault="00B852F0">
      <w:pPr>
        <w:pStyle w:val="subsection"/>
      </w:pPr>
      <w:r>
        <w:tab/>
        <w:t>(4)</w:t>
      </w:r>
      <w:r>
        <w:tab/>
        <w:t>In working out:</w:t>
      </w:r>
    </w:p>
    <w:p w:rsidR="00000000" w:rsidRDefault="00B852F0">
      <w:pPr>
        <w:pStyle w:val="indenta"/>
      </w:pPr>
      <w:r>
        <w:tab/>
        <w:t>(a)</w:t>
      </w:r>
      <w:r>
        <w:tab/>
        <w:t>for the purposes of subsection (1), the sum of the amounts payable to a State in relation to the grant year commencing on 1 July 1997; and</w:t>
      </w:r>
    </w:p>
    <w:p w:rsidR="00000000" w:rsidRDefault="00B852F0">
      <w:pPr>
        <w:pStyle w:val="indenta"/>
      </w:pPr>
      <w:r>
        <w:tab/>
        <w:t>(b)</w:t>
      </w:r>
      <w:r>
        <w:tab/>
        <w:t xml:space="preserve">for the purposes of subsection (2), the total amount </w:t>
      </w:r>
      <w:r>
        <w:t>payable under this Act in relation to that grant year;</w:t>
      </w:r>
    </w:p>
    <w:p w:rsidR="00000000" w:rsidRDefault="00B852F0">
      <w:pPr>
        <w:pStyle w:val="subsection2"/>
      </w:pPr>
      <w:r>
        <w:t>the revenue replacement payment made to a State in relation to that grant year is taken to be the amount worked out by using the formula:</w:t>
      </w:r>
    </w:p>
    <w:p w:rsidR="00000000" w:rsidRDefault="00B852F0">
      <w:pPr>
        <w:pStyle w:val="Formula"/>
      </w:pPr>
      <w:r>
        <w:rPr>
          <w:position w:val="-36"/>
        </w:rPr>
        <w:object w:dxaOrig="8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9.75pt" o:ole="">
            <v:imagedata r:id="rId21" o:title=""/>
          </v:shape>
          <o:OLEObject Type="Embed" ProgID="Word.Picture.8" ShapeID="_x0000_i1025" DrawAspect="Content" ObjectID="_1629029800" r:id="rId22"/>
        </w:object>
      </w:r>
    </w:p>
    <w:p w:rsidR="00000000" w:rsidRDefault="00B852F0">
      <w:pPr>
        <w:pStyle w:val="subsection2"/>
      </w:pPr>
      <w:r>
        <w:t>where:</w:t>
      </w:r>
    </w:p>
    <w:p w:rsidR="00000000" w:rsidRDefault="00B852F0">
      <w:pPr>
        <w:pStyle w:val="Definition"/>
      </w:pPr>
      <w:r>
        <w:rPr>
          <w:b/>
          <w:bCs/>
          <w:i/>
          <w:iCs/>
        </w:rPr>
        <w:t>AA</w:t>
      </w:r>
      <w:r>
        <w:t xml:space="preserve"> (actual amount) </w:t>
      </w:r>
      <w:r>
        <w:t>means the amount of the revenue replacement payment worked out in accordance with clause 5 in Schedule 4 in relation to that State.</w:t>
      </w:r>
    </w:p>
    <w:p w:rsidR="00000000" w:rsidRDefault="00B852F0">
      <w:pPr>
        <w:pStyle w:val="ItemHead"/>
      </w:pPr>
      <w:r>
        <w:t>8  Subsection 20(1)</w:t>
      </w:r>
    </w:p>
    <w:p w:rsidR="00000000" w:rsidRDefault="00B852F0">
      <w:pPr>
        <w:pStyle w:val="Item"/>
      </w:pPr>
      <w:r>
        <w:t>After “sections”, insert “10, 11,”.</w:t>
      </w:r>
    </w:p>
    <w:p w:rsidR="00000000" w:rsidRDefault="00B852F0">
      <w:pPr>
        <w:pStyle w:val="ItemHead"/>
      </w:pPr>
      <w:r>
        <w:t>9  Subsection 20(1)</w:t>
      </w:r>
    </w:p>
    <w:p w:rsidR="00000000" w:rsidRDefault="00B852F0">
      <w:pPr>
        <w:pStyle w:val="Item"/>
      </w:pPr>
      <w:r>
        <w:t>After “15A”, insert “, 15B”.</w:t>
      </w:r>
    </w:p>
    <w:p w:rsidR="00000000" w:rsidRDefault="00B852F0">
      <w:pPr>
        <w:pStyle w:val="ItemHead"/>
      </w:pPr>
      <w:r>
        <w:t>10  After paragraph</w:t>
      </w:r>
      <w:r>
        <w:t xml:space="preserve"> 21(c)</w:t>
      </w:r>
    </w:p>
    <w:p w:rsidR="00000000" w:rsidRDefault="00B852F0">
      <w:pPr>
        <w:pStyle w:val="Item"/>
      </w:pPr>
      <w:r>
        <w:t>Insert:</w:t>
      </w:r>
    </w:p>
    <w:p w:rsidR="00000000" w:rsidRDefault="00B852F0">
      <w:pPr>
        <w:pStyle w:val="indenta"/>
      </w:pPr>
      <w:r>
        <w:tab/>
        <w:t>(ca)</w:t>
      </w:r>
      <w:r>
        <w:tab/>
        <w:t>the Commissioner of Taxation; or</w:t>
      </w:r>
    </w:p>
    <w:p w:rsidR="00000000" w:rsidRDefault="00B852F0">
      <w:pPr>
        <w:pStyle w:val="indenta"/>
      </w:pPr>
      <w:r>
        <w:tab/>
        <w:t>(cb)</w:t>
      </w:r>
      <w:r>
        <w:tab/>
        <w:t>the Chief Executive Officer of Customs; or</w:t>
      </w:r>
    </w:p>
    <w:p w:rsidR="00000000" w:rsidRDefault="00B852F0">
      <w:pPr>
        <w:pStyle w:val="indenta"/>
      </w:pPr>
      <w:r>
        <w:tab/>
        <w:t>(cc)</w:t>
      </w:r>
      <w:r>
        <w:tab/>
        <w:t>the Secretary; or</w:t>
      </w:r>
    </w:p>
    <w:p w:rsidR="00000000" w:rsidRDefault="00B852F0">
      <w:pPr>
        <w:pStyle w:val="ItemHead"/>
      </w:pPr>
      <w:r>
        <w:t>11  After section 21</w:t>
      </w:r>
    </w:p>
    <w:p w:rsidR="00000000" w:rsidRDefault="00B852F0">
      <w:pPr>
        <w:pStyle w:val="Item"/>
      </w:pPr>
      <w:r>
        <w:lastRenderedPageBreak/>
        <w:t>Insert:</w:t>
      </w:r>
    </w:p>
    <w:p w:rsidR="00000000" w:rsidRDefault="00B852F0">
      <w:pPr>
        <w:pStyle w:val="Heading5"/>
      </w:pPr>
      <w:bookmarkStart w:id="66" w:name="_Toc397315935"/>
      <w:r>
        <w:t>21A  Regulations</w:t>
      </w:r>
      <w:bookmarkEnd w:id="66"/>
    </w:p>
    <w:p w:rsidR="00000000" w:rsidRDefault="00B852F0">
      <w:pPr>
        <w:pStyle w:val="subsection"/>
      </w:pPr>
      <w:r>
        <w:tab/>
      </w:r>
      <w:r>
        <w:tab/>
        <w:t>The Governor</w:t>
      </w:r>
      <w:r>
        <w:noBreakHyphen/>
        <w:t>General may make regulations:</w:t>
      </w:r>
    </w:p>
    <w:p w:rsidR="00000000" w:rsidRDefault="00B852F0">
      <w:pPr>
        <w:pStyle w:val="indenta"/>
      </w:pPr>
      <w:r>
        <w:tab/>
        <w:t>(a)</w:t>
      </w:r>
      <w:r>
        <w:tab/>
        <w:t>prescri</w:t>
      </w:r>
      <w:r>
        <w:t>bing matters required or permitted by this Act to be prescribed; or</w:t>
      </w:r>
    </w:p>
    <w:p w:rsidR="00000000" w:rsidRDefault="00B852F0">
      <w:pPr>
        <w:pStyle w:val="indenta"/>
      </w:pPr>
      <w:r>
        <w:tab/>
        <w:t>(b)</w:t>
      </w:r>
      <w:r>
        <w:tab/>
        <w:t>prescribing matters necessary or convenient to be prescribed for carrying out or giving effect to this Act.</w:t>
      </w:r>
    </w:p>
    <w:p w:rsidR="00000000" w:rsidRDefault="00B852F0">
      <w:pPr>
        <w:pStyle w:val="ItemHead"/>
      </w:pPr>
      <w:r>
        <w:t>12  Clauses 2 and 3 of Schedule 4</w:t>
      </w:r>
    </w:p>
    <w:p w:rsidR="00000000" w:rsidRDefault="00B852F0">
      <w:pPr>
        <w:pStyle w:val="Item"/>
      </w:pPr>
      <w:r>
        <w:t>Repeal the clauses, substitute:</w:t>
      </w:r>
    </w:p>
    <w:p w:rsidR="00000000" w:rsidRDefault="00B852F0">
      <w:pPr>
        <w:pStyle w:val="Heading5"/>
      </w:pPr>
      <w:bookmarkStart w:id="67" w:name="_Toc390159112"/>
      <w:bookmarkStart w:id="68" w:name="_Toc391284268"/>
      <w:bookmarkStart w:id="69" w:name="_Toc391704570"/>
      <w:bookmarkStart w:id="70" w:name="_Toc391704860"/>
      <w:bookmarkStart w:id="71" w:name="_Toc397315936"/>
      <w:r>
        <w:rPr>
          <w:rStyle w:val="CharSectno"/>
        </w:rPr>
        <w:t>2</w:t>
      </w:r>
      <w:r>
        <w:t xml:space="preserve">  Interpretation</w:t>
      </w:r>
      <w:bookmarkEnd w:id="67"/>
      <w:bookmarkEnd w:id="68"/>
      <w:bookmarkEnd w:id="69"/>
      <w:bookmarkEnd w:id="70"/>
      <w:bookmarkEnd w:id="71"/>
    </w:p>
    <w:p w:rsidR="00000000" w:rsidRDefault="00B852F0">
      <w:pPr>
        <w:pStyle w:val="subsection"/>
      </w:pPr>
      <w:r>
        <w:tab/>
      </w:r>
      <w:r>
        <w:tab/>
        <w:t>In this Schedule:</w:t>
      </w:r>
    </w:p>
    <w:p w:rsidR="00000000" w:rsidRDefault="00B852F0">
      <w:pPr>
        <w:pStyle w:val="Definition"/>
      </w:pPr>
      <w:r>
        <w:rPr>
          <w:b/>
          <w:bCs/>
          <w:i/>
          <w:iCs/>
        </w:rPr>
        <w:t>base assistance amount</w:t>
      </w:r>
      <w:r>
        <w:t xml:space="preserve"> means $15,828,423,529.</w:t>
      </w:r>
    </w:p>
    <w:p w:rsidR="00000000" w:rsidRDefault="00B852F0">
      <w:pPr>
        <w:pStyle w:val="Definition"/>
      </w:pPr>
      <w:r>
        <w:rPr>
          <w:b/>
          <w:bCs/>
          <w:i/>
          <w:iCs/>
        </w:rPr>
        <w:t>CEO</w:t>
      </w:r>
      <w:r>
        <w:t xml:space="preserve"> means the Chief Executive Officer of Customs.</w:t>
      </w:r>
    </w:p>
    <w:p w:rsidR="00000000" w:rsidRDefault="00B852F0">
      <w:pPr>
        <w:pStyle w:val="Definition"/>
      </w:pPr>
      <w:r>
        <w:rPr>
          <w:b/>
          <w:bCs/>
          <w:i/>
          <w:iCs/>
        </w:rPr>
        <w:t>Commissioner</w:t>
      </w:r>
      <w:r>
        <w:t xml:space="preserve"> means the Commissioner of Taxation.</w:t>
      </w:r>
    </w:p>
    <w:p w:rsidR="00000000" w:rsidRDefault="00B852F0">
      <w:pPr>
        <w:pStyle w:val="Definition"/>
      </w:pPr>
      <w:r>
        <w:rPr>
          <w:b/>
          <w:bCs/>
          <w:i/>
          <w:iCs/>
        </w:rPr>
        <w:t>previous year</w:t>
      </w:r>
      <w:r>
        <w:t xml:space="preserve"> means the financial year commencing on 1 July 1996.</w:t>
      </w:r>
    </w:p>
    <w:p w:rsidR="00000000" w:rsidRDefault="00B852F0">
      <w:pPr>
        <w:pStyle w:val="Heading5"/>
      </w:pPr>
      <w:bookmarkStart w:id="72" w:name="_Toc388332420"/>
      <w:bookmarkStart w:id="73" w:name="_Toc390159113"/>
      <w:bookmarkStart w:id="74" w:name="_Toc391284269"/>
      <w:bookmarkStart w:id="75" w:name="_Toc391704571"/>
      <w:bookmarkStart w:id="76" w:name="_Toc391704861"/>
      <w:bookmarkStart w:id="77" w:name="_Toc397315937"/>
      <w:r>
        <w:rPr>
          <w:rStyle w:val="CharSectno"/>
        </w:rPr>
        <w:t>3</w:t>
      </w:r>
      <w:r>
        <w:t xml:space="preserve">  Relativities factors</w:t>
      </w:r>
      <w:bookmarkEnd w:id="72"/>
      <w:bookmarkEnd w:id="73"/>
      <w:bookmarkEnd w:id="74"/>
      <w:bookmarkEnd w:id="75"/>
      <w:bookmarkEnd w:id="76"/>
      <w:bookmarkEnd w:id="77"/>
    </w:p>
    <w:p w:rsidR="00000000" w:rsidRDefault="00B852F0">
      <w:pPr>
        <w:pStyle w:val="subsection"/>
      </w:pPr>
      <w:r>
        <w:tab/>
      </w:r>
      <w:r>
        <w:tab/>
        <w:t>The relativities factor for each State for the grant year is as shown in the following table:</w:t>
      </w:r>
    </w:p>
    <w:p w:rsidR="00000000" w:rsidRDefault="00B852F0">
      <w:pPr>
        <w:pStyle w:val="Table"/>
      </w:pPr>
    </w:p>
    <w:tbl>
      <w:tblPr>
        <w:tblW w:w="0" w:type="auto"/>
        <w:tblInd w:w="1242" w:type="dxa"/>
        <w:tblLayout w:type="fixed"/>
        <w:tblLook w:val="0000" w:firstRow="0" w:lastRow="0" w:firstColumn="0" w:lastColumn="0" w:noHBand="0" w:noVBand="0"/>
      </w:tblPr>
      <w:tblGrid>
        <w:gridCol w:w="2694"/>
        <w:gridCol w:w="1842"/>
      </w:tblGrid>
      <w:tr w:rsidR="00000000">
        <w:tblPrEx>
          <w:tblCellMar>
            <w:top w:w="0" w:type="dxa"/>
            <w:bottom w:w="0" w:type="dxa"/>
          </w:tblCellMar>
        </w:tblPrEx>
        <w:trPr>
          <w:cantSplit/>
          <w:tblHeader/>
        </w:trPr>
        <w:tc>
          <w:tcPr>
            <w:tcW w:w="2694" w:type="dxa"/>
            <w:tcBorders>
              <w:top w:val="single" w:sz="12" w:space="0" w:color="000000"/>
              <w:left w:val="nil"/>
              <w:bottom w:val="single" w:sz="6" w:space="0" w:color="000000"/>
              <w:right w:val="nil"/>
            </w:tcBorders>
          </w:tcPr>
          <w:p w:rsidR="00000000" w:rsidRDefault="00B852F0">
            <w:pPr>
              <w:pStyle w:val="Table"/>
              <w:rPr>
                <w:b/>
                <w:bCs/>
              </w:rPr>
            </w:pPr>
            <w:r>
              <w:rPr>
                <w:b/>
                <w:bCs/>
              </w:rPr>
              <w:t>Relativities factors</w:t>
            </w:r>
          </w:p>
        </w:tc>
        <w:tc>
          <w:tcPr>
            <w:tcW w:w="1842" w:type="dxa"/>
            <w:tcBorders>
              <w:top w:val="single" w:sz="12" w:space="0" w:color="000000"/>
              <w:left w:val="nil"/>
              <w:bottom w:val="single" w:sz="6" w:space="0" w:color="000000"/>
              <w:right w:val="nil"/>
            </w:tcBorders>
          </w:tcPr>
          <w:p w:rsidR="00000000" w:rsidRDefault="00B852F0">
            <w:pPr>
              <w:pStyle w:val="Table"/>
              <w:rPr>
                <w:b/>
                <w:bCs/>
              </w:rPr>
            </w:pPr>
          </w:p>
        </w:tc>
      </w:tr>
      <w:tr w:rsidR="00000000">
        <w:tblPrEx>
          <w:tblCellMar>
            <w:top w:w="0" w:type="dxa"/>
            <w:bottom w:w="0" w:type="dxa"/>
          </w:tblCellMar>
        </w:tblPrEx>
        <w:trPr>
          <w:cantSplit/>
          <w:tblHeader/>
        </w:trPr>
        <w:tc>
          <w:tcPr>
            <w:tcW w:w="2694" w:type="dxa"/>
            <w:tcBorders>
              <w:top w:val="nil"/>
              <w:left w:val="nil"/>
              <w:bottom w:val="single" w:sz="12" w:space="0" w:color="000000"/>
              <w:right w:val="nil"/>
            </w:tcBorders>
          </w:tcPr>
          <w:p w:rsidR="00000000" w:rsidRDefault="00B852F0">
            <w:pPr>
              <w:pStyle w:val="Table"/>
              <w:rPr>
                <w:b/>
                <w:bCs/>
              </w:rPr>
            </w:pPr>
            <w:r>
              <w:rPr>
                <w:b/>
                <w:bCs/>
              </w:rPr>
              <w:t>State</w:t>
            </w:r>
          </w:p>
        </w:tc>
        <w:tc>
          <w:tcPr>
            <w:tcW w:w="1842" w:type="dxa"/>
            <w:tcBorders>
              <w:top w:val="nil"/>
              <w:left w:val="nil"/>
              <w:bottom w:val="single" w:sz="12" w:space="0" w:color="000000"/>
              <w:right w:val="nil"/>
            </w:tcBorders>
          </w:tcPr>
          <w:p w:rsidR="00000000" w:rsidRDefault="00B852F0">
            <w:pPr>
              <w:pStyle w:val="Table"/>
              <w:rPr>
                <w:b/>
                <w:bCs/>
              </w:rPr>
            </w:pPr>
            <w:r>
              <w:rPr>
                <w:b/>
                <w:bCs/>
              </w:rPr>
              <w:t>Relativities factor</w:t>
            </w:r>
          </w:p>
        </w:tc>
      </w:tr>
      <w:tr w:rsidR="00000000">
        <w:tblPrEx>
          <w:tblCellMar>
            <w:top w:w="0" w:type="dxa"/>
            <w:bottom w:w="0" w:type="dxa"/>
          </w:tblCellMar>
        </w:tblPrEx>
        <w:trPr>
          <w:cantSplit/>
        </w:trPr>
        <w:tc>
          <w:tcPr>
            <w:tcW w:w="2694" w:type="dxa"/>
            <w:tcBorders>
              <w:top w:val="single" w:sz="6" w:space="0" w:color="000000"/>
              <w:left w:val="nil"/>
              <w:bottom w:val="nil"/>
              <w:right w:val="nil"/>
            </w:tcBorders>
          </w:tcPr>
          <w:p w:rsidR="00000000" w:rsidRDefault="00B852F0">
            <w:pPr>
              <w:pStyle w:val="Table"/>
            </w:pPr>
            <w:r>
              <w:t>New South Wales</w:t>
            </w:r>
          </w:p>
        </w:tc>
        <w:tc>
          <w:tcPr>
            <w:tcW w:w="1842" w:type="dxa"/>
            <w:tcBorders>
              <w:top w:val="single" w:sz="6" w:space="0" w:color="000000"/>
              <w:left w:val="nil"/>
              <w:bottom w:val="nil"/>
              <w:right w:val="nil"/>
            </w:tcBorders>
          </w:tcPr>
          <w:p w:rsidR="00000000" w:rsidRDefault="00B852F0">
            <w:pPr>
              <w:pStyle w:val="Table"/>
            </w:pPr>
            <w:r>
              <w:t>0.87819</w:t>
            </w:r>
          </w:p>
        </w:tc>
      </w:tr>
      <w:tr w:rsidR="00000000">
        <w:tblPrEx>
          <w:tblCellMar>
            <w:top w:w="0" w:type="dxa"/>
            <w:bottom w:w="0" w:type="dxa"/>
          </w:tblCellMar>
        </w:tblPrEx>
        <w:trPr>
          <w:cantSplit/>
        </w:trPr>
        <w:tc>
          <w:tcPr>
            <w:tcW w:w="2694" w:type="dxa"/>
            <w:tcBorders>
              <w:top w:val="dotted" w:sz="6" w:space="0" w:color="000000"/>
              <w:left w:val="nil"/>
              <w:bottom w:val="dotted" w:sz="6" w:space="0" w:color="000000"/>
              <w:right w:val="nil"/>
            </w:tcBorders>
          </w:tcPr>
          <w:p w:rsidR="00000000" w:rsidRDefault="00B852F0">
            <w:pPr>
              <w:pStyle w:val="Table"/>
            </w:pPr>
            <w:r>
              <w:t>Victoria</w:t>
            </w:r>
          </w:p>
        </w:tc>
        <w:tc>
          <w:tcPr>
            <w:tcW w:w="1842" w:type="dxa"/>
            <w:tcBorders>
              <w:top w:val="dotted" w:sz="6" w:space="0" w:color="000000"/>
              <w:left w:val="nil"/>
              <w:bottom w:val="dotted" w:sz="6" w:space="0" w:color="000000"/>
              <w:right w:val="nil"/>
            </w:tcBorders>
          </w:tcPr>
          <w:p w:rsidR="00000000" w:rsidRDefault="00B852F0">
            <w:pPr>
              <w:pStyle w:val="Table"/>
            </w:pPr>
            <w:r>
              <w:t>0.87835</w:t>
            </w:r>
          </w:p>
        </w:tc>
      </w:tr>
      <w:tr w:rsidR="00000000">
        <w:tblPrEx>
          <w:tblCellMar>
            <w:top w:w="0" w:type="dxa"/>
            <w:bottom w:w="0" w:type="dxa"/>
          </w:tblCellMar>
        </w:tblPrEx>
        <w:trPr>
          <w:cantSplit/>
        </w:trPr>
        <w:tc>
          <w:tcPr>
            <w:tcW w:w="2694" w:type="dxa"/>
            <w:tcBorders>
              <w:top w:val="dotted" w:sz="6" w:space="0" w:color="000000"/>
              <w:left w:val="nil"/>
              <w:bottom w:val="dotted" w:sz="6" w:space="0" w:color="000000"/>
              <w:right w:val="nil"/>
            </w:tcBorders>
          </w:tcPr>
          <w:p w:rsidR="00000000" w:rsidRDefault="00B852F0">
            <w:pPr>
              <w:pStyle w:val="Table"/>
            </w:pPr>
            <w:r>
              <w:t>Queensland</w:t>
            </w:r>
          </w:p>
        </w:tc>
        <w:tc>
          <w:tcPr>
            <w:tcW w:w="1842" w:type="dxa"/>
            <w:tcBorders>
              <w:top w:val="dotted" w:sz="6" w:space="0" w:color="000000"/>
              <w:left w:val="nil"/>
              <w:bottom w:val="dotted" w:sz="6" w:space="0" w:color="000000"/>
              <w:right w:val="nil"/>
            </w:tcBorders>
          </w:tcPr>
          <w:p w:rsidR="00000000" w:rsidRDefault="00B852F0">
            <w:pPr>
              <w:pStyle w:val="Table"/>
            </w:pPr>
            <w:r>
              <w:t>1.03737</w:t>
            </w:r>
          </w:p>
        </w:tc>
      </w:tr>
      <w:tr w:rsidR="00000000">
        <w:tblPrEx>
          <w:tblCellMar>
            <w:top w:w="0" w:type="dxa"/>
            <w:bottom w:w="0" w:type="dxa"/>
          </w:tblCellMar>
        </w:tblPrEx>
        <w:trPr>
          <w:cantSplit/>
        </w:trPr>
        <w:tc>
          <w:tcPr>
            <w:tcW w:w="2694" w:type="dxa"/>
            <w:tcBorders>
              <w:top w:val="dotted" w:sz="6" w:space="0" w:color="000000"/>
              <w:left w:val="nil"/>
              <w:bottom w:val="dotted" w:sz="6" w:space="0" w:color="000000"/>
              <w:right w:val="nil"/>
            </w:tcBorders>
          </w:tcPr>
          <w:p w:rsidR="00000000" w:rsidRDefault="00B852F0">
            <w:pPr>
              <w:pStyle w:val="Table"/>
            </w:pPr>
            <w:r>
              <w:t>Western Australia</w:t>
            </w:r>
          </w:p>
        </w:tc>
        <w:tc>
          <w:tcPr>
            <w:tcW w:w="1842" w:type="dxa"/>
            <w:tcBorders>
              <w:top w:val="dotted" w:sz="6" w:space="0" w:color="000000"/>
              <w:left w:val="nil"/>
              <w:bottom w:val="dotted" w:sz="6" w:space="0" w:color="000000"/>
              <w:right w:val="nil"/>
            </w:tcBorders>
          </w:tcPr>
          <w:p w:rsidR="00000000" w:rsidRDefault="00B852F0">
            <w:pPr>
              <w:pStyle w:val="Table"/>
            </w:pPr>
            <w:r>
              <w:t>0.99589</w:t>
            </w:r>
          </w:p>
        </w:tc>
      </w:tr>
      <w:tr w:rsidR="00000000">
        <w:tblPrEx>
          <w:tblCellMar>
            <w:top w:w="0" w:type="dxa"/>
            <w:bottom w:w="0" w:type="dxa"/>
          </w:tblCellMar>
        </w:tblPrEx>
        <w:trPr>
          <w:cantSplit/>
        </w:trPr>
        <w:tc>
          <w:tcPr>
            <w:tcW w:w="2694" w:type="dxa"/>
            <w:tcBorders>
              <w:top w:val="dotted" w:sz="6" w:space="0" w:color="000000"/>
              <w:left w:val="nil"/>
              <w:bottom w:val="dotted" w:sz="6" w:space="0" w:color="000000"/>
              <w:right w:val="nil"/>
            </w:tcBorders>
          </w:tcPr>
          <w:p w:rsidR="00000000" w:rsidRDefault="00B852F0">
            <w:pPr>
              <w:pStyle w:val="Table"/>
            </w:pPr>
            <w:r>
              <w:t>South Australia</w:t>
            </w:r>
          </w:p>
        </w:tc>
        <w:tc>
          <w:tcPr>
            <w:tcW w:w="1842" w:type="dxa"/>
            <w:tcBorders>
              <w:top w:val="dotted" w:sz="6" w:space="0" w:color="000000"/>
              <w:left w:val="nil"/>
              <w:bottom w:val="dotted" w:sz="6" w:space="0" w:color="000000"/>
              <w:right w:val="nil"/>
            </w:tcBorders>
          </w:tcPr>
          <w:p w:rsidR="00000000" w:rsidRDefault="00B852F0">
            <w:pPr>
              <w:pStyle w:val="Table"/>
            </w:pPr>
            <w:r>
              <w:t>1.19100</w:t>
            </w:r>
          </w:p>
        </w:tc>
      </w:tr>
      <w:tr w:rsidR="00000000">
        <w:tblPrEx>
          <w:tblCellMar>
            <w:top w:w="0" w:type="dxa"/>
            <w:bottom w:w="0" w:type="dxa"/>
          </w:tblCellMar>
        </w:tblPrEx>
        <w:trPr>
          <w:cantSplit/>
        </w:trPr>
        <w:tc>
          <w:tcPr>
            <w:tcW w:w="2694" w:type="dxa"/>
            <w:tcBorders>
              <w:top w:val="dotted" w:sz="6" w:space="0" w:color="000000"/>
              <w:left w:val="nil"/>
              <w:bottom w:val="dotted" w:sz="6" w:space="0" w:color="000000"/>
              <w:right w:val="nil"/>
            </w:tcBorders>
          </w:tcPr>
          <w:p w:rsidR="00000000" w:rsidRDefault="00B852F0">
            <w:pPr>
              <w:pStyle w:val="Table"/>
            </w:pPr>
            <w:r>
              <w:t>Tasmania</w:t>
            </w:r>
          </w:p>
        </w:tc>
        <w:tc>
          <w:tcPr>
            <w:tcW w:w="1842" w:type="dxa"/>
            <w:tcBorders>
              <w:top w:val="dotted" w:sz="6" w:space="0" w:color="000000"/>
              <w:left w:val="nil"/>
              <w:bottom w:val="dotted" w:sz="6" w:space="0" w:color="000000"/>
              <w:right w:val="nil"/>
            </w:tcBorders>
          </w:tcPr>
          <w:p w:rsidR="00000000" w:rsidRDefault="00B852F0">
            <w:pPr>
              <w:pStyle w:val="Table"/>
            </w:pPr>
            <w:r>
              <w:t>1.54974</w:t>
            </w:r>
          </w:p>
        </w:tc>
      </w:tr>
      <w:tr w:rsidR="00000000">
        <w:tblPrEx>
          <w:tblCellMar>
            <w:top w:w="0" w:type="dxa"/>
            <w:bottom w:w="0" w:type="dxa"/>
          </w:tblCellMar>
        </w:tblPrEx>
        <w:trPr>
          <w:cantSplit/>
        </w:trPr>
        <w:tc>
          <w:tcPr>
            <w:tcW w:w="2694" w:type="dxa"/>
            <w:tcBorders>
              <w:top w:val="dotted" w:sz="6" w:space="0" w:color="000000"/>
              <w:left w:val="nil"/>
              <w:bottom w:val="dotted" w:sz="6" w:space="0" w:color="000000"/>
              <w:right w:val="nil"/>
            </w:tcBorders>
          </w:tcPr>
          <w:p w:rsidR="00000000" w:rsidRDefault="00B852F0">
            <w:pPr>
              <w:pStyle w:val="Table"/>
            </w:pPr>
            <w:r>
              <w:lastRenderedPageBreak/>
              <w:t>Australian Capital Territory</w:t>
            </w:r>
          </w:p>
        </w:tc>
        <w:tc>
          <w:tcPr>
            <w:tcW w:w="1842" w:type="dxa"/>
            <w:tcBorders>
              <w:top w:val="dotted" w:sz="6" w:space="0" w:color="000000"/>
              <w:left w:val="nil"/>
              <w:bottom w:val="dotted" w:sz="6" w:space="0" w:color="000000"/>
              <w:right w:val="nil"/>
            </w:tcBorders>
          </w:tcPr>
          <w:p w:rsidR="00000000" w:rsidRDefault="00B852F0">
            <w:pPr>
              <w:pStyle w:val="Table"/>
            </w:pPr>
            <w:r>
              <w:t>0.88435</w:t>
            </w:r>
          </w:p>
        </w:tc>
      </w:tr>
      <w:tr w:rsidR="00000000">
        <w:tblPrEx>
          <w:tblCellMar>
            <w:top w:w="0" w:type="dxa"/>
            <w:bottom w:w="0" w:type="dxa"/>
          </w:tblCellMar>
        </w:tblPrEx>
        <w:trPr>
          <w:cantSplit/>
        </w:trPr>
        <w:tc>
          <w:tcPr>
            <w:tcW w:w="2694" w:type="dxa"/>
            <w:tcBorders>
              <w:top w:val="dotted" w:sz="6" w:space="0" w:color="000000"/>
              <w:left w:val="nil"/>
              <w:bottom w:val="single" w:sz="12" w:space="0" w:color="000000"/>
              <w:right w:val="nil"/>
            </w:tcBorders>
          </w:tcPr>
          <w:p w:rsidR="00000000" w:rsidRDefault="00B852F0">
            <w:pPr>
              <w:pStyle w:val="Table"/>
            </w:pPr>
            <w:r>
              <w:t>Northern Territory</w:t>
            </w:r>
          </w:p>
        </w:tc>
        <w:tc>
          <w:tcPr>
            <w:tcW w:w="1842" w:type="dxa"/>
            <w:tcBorders>
              <w:top w:val="dotted" w:sz="6" w:space="0" w:color="000000"/>
              <w:left w:val="nil"/>
              <w:bottom w:val="single" w:sz="12" w:space="0" w:color="000000"/>
              <w:right w:val="nil"/>
            </w:tcBorders>
          </w:tcPr>
          <w:p w:rsidR="00000000" w:rsidRDefault="00B852F0">
            <w:pPr>
              <w:pStyle w:val="Table"/>
            </w:pPr>
            <w:r>
              <w:t>4.89353</w:t>
            </w:r>
          </w:p>
        </w:tc>
      </w:tr>
    </w:tbl>
    <w:p w:rsidR="00000000" w:rsidRDefault="00B852F0">
      <w:pPr>
        <w:pStyle w:val="Heading5"/>
      </w:pPr>
      <w:bookmarkStart w:id="78" w:name="_Toc388332424"/>
      <w:bookmarkStart w:id="79" w:name="_Toc390159114"/>
      <w:bookmarkStart w:id="80" w:name="_Toc391284270"/>
      <w:bookmarkStart w:id="81" w:name="_Toc391704572"/>
      <w:bookmarkStart w:id="82" w:name="_Toc391704862"/>
      <w:bookmarkStart w:id="83" w:name="_Toc397315938"/>
      <w:bookmarkStart w:id="84" w:name="_Toc388332421"/>
      <w:r>
        <w:rPr>
          <w:rStyle w:val="CharSectno"/>
        </w:rPr>
        <w:t>4</w:t>
      </w:r>
      <w:r>
        <w:t xml:space="preserve">  Per capita growth deductions</w:t>
      </w:r>
      <w:bookmarkEnd w:id="78"/>
      <w:bookmarkEnd w:id="79"/>
      <w:bookmarkEnd w:id="80"/>
      <w:bookmarkEnd w:id="81"/>
      <w:bookmarkEnd w:id="82"/>
      <w:bookmarkEnd w:id="83"/>
    </w:p>
    <w:p w:rsidR="00000000" w:rsidRDefault="00B852F0">
      <w:pPr>
        <w:pStyle w:val="subsection"/>
      </w:pPr>
      <w:r>
        <w:tab/>
      </w:r>
      <w:r>
        <w:tab/>
        <w:t>For the purposes of section 10, the maximum amount that may be deducted from the financial assistance grants payable to a State is the amount wor</w:t>
      </w:r>
      <w:r>
        <w:t>ked out by using the formula:</w:t>
      </w:r>
    </w:p>
    <w:p w:rsidR="00000000" w:rsidRDefault="00B852F0">
      <w:pPr>
        <w:pStyle w:val="Formula"/>
      </w:pPr>
      <w:r>
        <w:rPr>
          <w:position w:val="-40"/>
        </w:rPr>
        <w:object w:dxaOrig="4200" w:dyaOrig="900">
          <v:shape id="_x0000_i1026" type="#_x0000_t75" style="width:210pt;height:45pt" o:ole="">
            <v:imagedata r:id="rId23" o:title=""/>
          </v:shape>
          <o:OLEObject Type="Embed" ProgID="Word.Picture.8" ShapeID="_x0000_i1026" DrawAspect="Content" ObjectID="_1629029801" r:id="rId24"/>
        </w:object>
      </w:r>
    </w:p>
    <w:p w:rsidR="00000000" w:rsidRDefault="00B852F0">
      <w:pPr>
        <w:pStyle w:val="subsection2"/>
      </w:pPr>
      <w:r>
        <w:t>where:</w:t>
      </w:r>
    </w:p>
    <w:p w:rsidR="00000000" w:rsidRDefault="00B852F0">
      <w:pPr>
        <w:pStyle w:val="Definition"/>
      </w:pPr>
      <w:r>
        <w:rPr>
          <w:b/>
          <w:bCs/>
          <w:i/>
          <w:iCs/>
        </w:rPr>
        <w:t>BA</w:t>
      </w:r>
      <w:r>
        <w:t xml:space="preserve"> (base amount) means $16,195,064,933.</w:t>
      </w:r>
    </w:p>
    <w:p w:rsidR="00000000" w:rsidRDefault="00B852F0">
      <w:pPr>
        <w:pStyle w:val="Definition"/>
      </w:pPr>
      <w:r>
        <w:rPr>
          <w:b/>
          <w:bCs/>
          <w:i/>
          <w:iCs/>
        </w:rPr>
        <w:t>IF</w:t>
      </w:r>
      <w:r>
        <w:t xml:space="preserve"> (index factor) means the index factor for the grant year.</w:t>
      </w:r>
    </w:p>
    <w:p w:rsidR="00000000" w:rsidRDefault="00B852F0">
      <w:pPr>
        <w:pStyle w:val="Definition"/>
      </w:pPr>
      <w:r>
        <w:rPr>
          <w:b/>
          <w:bCs/>
          <w:i/>
          <w:iCs/>
        </w:rPr>
        <w:t>PF</w:t>
      </w:r>
      <w:r>
        <w:t xml:space="preserve"> (population factor) means the population factor for the grant year.</w:t>
      </w:r>
    </w:p>
    <w:p w:rsidR="00000000" w:rsidRDefault="00B852F0">
      <w:pPr>
        <w:pStyle w:val="Definition"/>
      </w:pPr>
      <w:r>
        <w:rPr>
          <w:b/>
          <w:bCs/>
          <w:i/>
          <w:iCs/>
        </w:rPr>
        <w:t>ASP</w:t>
      </w:r>
      <w:r>
        <w:t xml:space="preserve"> (ad</w:t>
      </w:r>
      <w:r>
        <w:t>justed state population) means the adjusted population of the State in relation to the grant year.</w:t>
      </w:r>
    </w:p>
    <w:p w:rsidR="00000000" w:rsidRDefault="00B852F0">
      <w:pPr>
        <w:pStyle w:val="Definition"/>
      </w:pPr>
      <w:r>
        <w:rPr>
          <w:b/>
          <w:bCs/>
          <w:i/>
          <w:iCs/>
        </w:rPr>
        <w:t>ATP</w:t>
      </w:r>
      <w:r>
        <w:t xml:space="preserve"> (adjusted total population) means the sum of the adjusted populations of all the States in relation to the grant year.</w:t>
      </w:r>
    </w:p>
    <w:p w:rsidR="00000000" w:rsidRDefault="00B852F0">
      <w:pPr>
        <w:pStyle w:val="Heading5"/>
      </w:pPr>
      <w:bookmarkStart w:id="85" w:name="_Toc397315939"/>
      <w:r>
        <w:t>5  Revenue replacement payments</w:t>
      </w:r>
      <w:bookmarkEnd w:id="85"/>
    </w:p>
    <w:p w:rsidR="00000000" w:rsidRDefault="00B852F0">
      <w:pPr>
        <w:pStyle w:val="subsection"/>
      </w:pPr>
      <w:r>
        <w:tab/>
        <w:t>(1)</w:t>
      </w:r>
      <w:r>
        <w:tab/>
        <w:t>For the purposes of section 11A, the revenue replacement payment to be made to a State is worked out by using the formula:</w:t>
      </w:r>
    </w:p>
    <w:p w:rsidR="00000000" w:rsidRDefault="00B852F0">
      <w:pPr>
        <w:pStyle w:val="Formula"/>
      </w:pPr>
      <w:r>
        <w:rPr>
          <w:position w:val="-10"/>
        </w:rPr>
        <w:object w:dxaOrig="4420" w:dyaOrig="440">
          <v:shape id="_x0000_i1027" type="#_x0000_t75" style="width:221.25pt;height:21.75pt" o:ole="">
            <v:imagedata r:id="rId25" o:title=""/>
          </v:shape>
          <o:OLEObject Type="Embed" ProgID="Word.Picture.8" ShapeID="_x0000_i1027" DrawAspect="Content" ObjectID="_1629029802" r:id="rId26"/>
        </w:object>
      </w:r>
    </w:p>
    <w:p w:rsidR="00000000" w:rsidRDefault="00B852F0">
      <w:pPr>
        <w:pStyle w:val="subsection2"/>
      </w:pPr>
      <w:r>
        <w:t>where:</w:t>
      </w:r>
    </w:p>
    <w:p w:rsidR="00000000" w:rsidRDefault="00B852F0">
      <w:pPr>
        <w:pStyle w:val="Definition"/>
      </w:pPr>
      <w:r>
        <w:rPr>
          <w:b/>
          <w:bCs/>
          <w:i/>
          <w:iCs/>
        </w:rPr>
        <w:t>ABA</w:t>
      </w:r>
      <w:r>
        <w:t xml:space="preserve"> (alcohol base amount) means the sum</w:t>
      </w:r>
      <w:r>
        <w:t xml:space="preserve"> of:</w:t>
      </w:r>
    </w:p>
    <w:p w:rsidR="00000000" w:rsidRDefault="00B852F0">
      <w:pPr>
        <w:pStyle w:val="indenta"/>
      </w:pPr>
      <w:r>
        <w:tab/>
        <w:t>(a)</w:t>
      </w:r>
      <w:r>
        <w:tab/>
        <w:t xml:space="preserve">the amount determined by the Commissioner, before 15 June 1998, to be the additional amount of sales tax on taxable dealings to which the Sales Tax (Surcharge) Acts relate that was collected before 1 June 1998 because of a </w:t>
      </w:r>
      <w:r>
        <w:lastRenderedPageBreak/>
        <w:t xml:space="preserve">Commonwealth surcharge </w:t>
      </w:r>
      <w:r>
        <w:t>(whether under those Acts or any other Surcharge Act); and</w:t>
      </w:r>
    </w:p>
    <w:p w:rsidR="00000000" w:rsidRDefault="00B852F0">
      <w:pPr>
        <w:pStyle w:val="indenta"/>
      </w:pPr>
      <w:r>
        <w:tab/>
        <w:t>(b)</w:t>
      </w:r>
      <w:r>
        <w:tab/>
        <w:t>the amount determined by the Commissioner, before 15 June 1998, to be the additional amount of sales tax on taxable dealings to which the Sales Tax (Surcharge) Acts relate that the Commissione</w:t>
      </w:r>
      <w:r>
        <w:t>r estimates to be likely to be collected during the month of June 1998 because of a Commonwealth surcharge (whether under those Acts or any other Surcharge Act);</w:t>
      </w:r>
    </w:p>
    <w:p w:rsidR="00000000" w:rsidRDefault="00B852F0">
      <w:pPr>
        <w:pStyle w:val="subsection2"/>
      </w:pPr>
      <w:r>
        <w:t>less the amount determined by the Commissioner to be the additional administrative costs incur</w:t>
      </w:r>
      <w:r>
        <w:t>red by the Commonwealth in the grant year because of that surcharge or those surcharges.</w:t>
      </w:r>
    </w:p>
    <w:p w:rsidR="00000000" w:rsidRDefault="00B852F0">
      <w:pPr>
        <w:pStyle w:val="Definition"/>
      </w:pPr>
      <w:r>
        <w:rPr>
          <w:b/>
          <w:bCs/>
          <w:i/>
          <w:iCs/>
        </w:rPr>
        <w:t>AS</w:t>
      </w:r>
      <w:r>
        <w:t xml:space="preserve"> (alcohol share) means the number set out opposite the name of the State in the following table.</w:t>
      </w:r>
    </w:p>
    <w:p w:rsidR="00000000" w:rsidRDefault="00B852F0">
      <w:pPr>
        <w:pStyle w:val="Table"/>
      </w:pPr>
    </w:p>
    <w:tbl>
      <w:tblPr>
        <w:tblW w:w="0" w:type="auto"/>
        <w:tblInd w:w="1242" w:type="dxa"/>
        <w:tblLayout w:type="fixed"/>
        <w:tblLook w:val="0000" w:firstRow="0" w:lastRow="0" w:firstColumn="0" w:lastColumn="0" w:noHBand="0" w:noVBand="0"/>
      </w:tblPr>
      <w:tblGrid>
        <w:gridCol w:w="3929"/>
        <w:gridCol w:w="2025"/>
      </w:tblGrid>
      <w:tr w:rsidR="00000000">
        <w:tblPrEx>
          <w:tblCellMar>
            <w:top w:w="0" w:type="dxa"/>
            <w:bottom w:w="0" w:type="dxa"/>
          </w:tblCellMar>
        </w:tblPrEx>
        <w:trPr>
          <w:cantSplit/>
          <w:tblHeader/>
        </w:trPr>
        <w:tc>
          <w:tcPr>
            <w:tcW w:w="5954" w:type="dxa"/>
            <w:gridSpan w:val="2"/>
            <w:tcBorders>
              <w:top w:val="single" w:sz="12" w:space="0" w:color="000000"/>
              <w:left w:val="nil"/>
              <w:bottom w:val="nil"/>
              <w:right w:val="nil"/>
            </w:tcBorders>
          </w:tcPr>
          <w:p w:rsidR="00000000" w:rsidRDefault="00B852F0">
            <w:pPr>
              <w:pStyle w:val="Table"/>
              <w:rPr>
                <w:b/>
                <w:bCs/>
              </w:rPr>
            </w:pPr>
            <w:r>
              <w:rPr>
                <w:b/>
                <w:bCs/>
              </w:rPr>
              <w:t>Alcohol Share</w:t>
            </w:r>
          </w:p>
        </w:tc>
      </w:tr>
      <w:tr w:rsidR="00000000">
        <w:tblPrEx>
          <w:tblCellMar>
            <w:top w:w="0" w:type="dxa"/>
            <w:bottom w:w="0" w:type="dxa"/>
          </w:tblCellMar>
        </w:tblPrEx>
        <w:trPr>
          <w:cantSplit/>
          <w:tblHeader/>
        </w:trPr>
        <w:tc>
          <w:tcPr>
            <w:tcW w:w="3929" w:type="dxa"/>
            <w:tcBorders>
              <w:top w:val="single" w:sz="6" w:space="0" w:color="000000"/>
              <w:left w:val="nil"/>
              <w:bottom w:val="nil"/>
              <w:right w:val="nil"/>
            </w:tcBorders>
          </w:tcPr>
          <w:p w:rsidR="00000000" w:rsidRDefault="00B852F0">
            <w:pPr>
              <w:pStyle w:val="Table"/>
              <w:rPr>
                <w:b/>
                <w:bCs/>
              </w:rPr>
            </w:pPr>
            <w:r>
              <w:rPr>
                <w:b/>
                <w:bCs/>
              </w:rPr>
              <w:t>State</w:t>
            </w:r>
          </w:p>
        </w:tc>
        <w:tc>
          <w:tcPr>
            <w:tcW w:w="2024" w:type="dxa"/>
            <w:tcBorders>
              <w:top w:val="single" w:sz="6" w:space="0" w:color="000000"/>
              <w:left w:val="nil"/>
              <w:bottom w:val="nil"/>
              <w:right w:val="nil"/>
            </w:tcBorders>
          </w:tcPr>
          <w:p w:rsidR="00000000" w:rsidRDefault="00B852F0">
            <w:pPr>
              <w:pStyle w:val="Table"/>
              <w:rPr>
                <w:b/>
                <w:bCs/>
              </w:rPr>
            </w:pPr>
            <w:r>
              <w:rPr>
                <w:b/>
                <w:bCs/>
              </w:rPr>
              <w:t>Alcohol Share</w:t>
            </w:r>
          </w:p>
        </w:tc>
      </w:tr>
      <w:tr w:rsidR="00000000">
        <w:tblPrEx>
          <w:tblCellMar>
            <w:top w:w="0" w:type="dxa"/>
            <w:bottom w:w="0" w:type="dxa"/>
          </w:tblCellMar>
        </w:tblPrEx>
        <w:trPr>
          <w:cantSplit/>
        </w:trPr>
        <w:tc>
          <w:tcPr>
            <w:tcW w:w="3929" w:type="dxa"/>
            <w:tcBorders>
              <w:top w:val="single" w:sz="12" w:space="0" w:color="000000"/>
              <w:left w:val="nil"/>
              <w:bottom w:val="dotted" w:sz="6" w:space="0" w:color="000000"/>
              <w:right w:val="nil"/>
            </w:tcBorders>
          </w:tcPr>
          <w:p w:rsidR="00000000" w:rsidRDefault="00B852F0">
            <w:pPr>
              <w:pStyle w:val="Table"/>
            </w:pPr>
            <w:r>
              <w:t>New South Wales</w:t>
            </w:r>
          </w:p>
        </w:tc>
        <w:tc>
          <w:tcPr>
            <w:tcW w:w="2024" w:type="dxa"/>
            <w:tcBorders>
              <w:top w:val="single" w:sz="12" w:space="0" w:color="000000"/>
              <w:left w:val="nil"/>
              <w:bottom w:val="dotted" w:sz="6" w:space="0" w:color="000000"/>
              <w:right w:val="nil"/>
            </w:tcBorders>
          </w:tcPr>
          <w:p w:rsidR="00000000" w:rsidRDefault="00B852F0">
            <w:pPr>
              <w:pStyle w:val="Table"/>
            </w:pPr>
            <w:r>
              <w:t>0.33796</w:t>
            </w:r>
          </w:p>
        </w:tc>
      </w:tr>
      <w:tr w:rsidR="00000000">
        <w:tblPrEx>
          <w:tblCellMar>
            <w:top w:w="0" w:type="dxa"/>
            <w:bottom w:w="0" w:type="dxa"/>
          </w:tblCellMar>
        </w:tblPrEx>
        <w:trPr>
          <w:cantSplit/>
        </w:trPr>
        <w:tc>
          <w:tcPr>
            <w:tcW w:w="3929" w:type="dxa"/>
            <w:tcBorders>
              <w:top w:val="nil"/>
              <w:left w:val="nil"/>
              <w:bottom w:val="dotted" w:sz="6" w:space="0" w:color="000000"/>
              <w:right w:val="nil"/>
            </w:tcBorders>
          </w:tcPr>
          <w:p w:rsidR="00000000" w:rsidRDefault="00B852F0">
            <w:pPr>
              <w:pStyle w:val="Table"/>
            </w:pPr>
            <w:r>
              <w:t>Victoria</w:t>
            </w:r>
          </w:p>
        </w:tc>
        <w:tc>
          <w:tcPr>
            <w:tcW w:w="2024" w:type="dxa"/>
            <w:tcBorders>
              <w:top w:val="nil"/>
              <w:left w:val="nil"/>
              <w:bottom w:val="dotted" w:sz="6" w:space="0" w:color="000000"/>
              <w:right w:val="nil"/>
            </w:tcBorders>
          </w:tcPr>
          <w:p w:rsidR="00000000" w:rsidRDefault="00B852F0">
            <w:pPr>
              <w:pStyle w:val="Table"/>
            </w:pPr>
            <w:r>
              <w:t>0.22332</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Queensland</w:t>
            </w:r>
          </w:p>
        </w:tc>
        <w:tc>
          <w:tcPr>
            <w:tcW w:w="2024" w:type="dxa"/>
            <w:tcBorders>
              <w:top w:val="dotted" w:sz="6" w:space="0" w:color="000000"/>
              <w:left w:val="nil"/>
              <w:bottom w:val="dotted" w:sz="6" w:space="0" w:color="000000"/>
              <w:right w:val="nil"/>
            </w:tcBorders>
          </w:tcPr>
          <w:p w:rsidR="00000000" w:rsidRDefault="00B852F0">
            <w:pPr>
              <w:pStyle w:val="Table"/>
            </w:pPr>
            <w:r>
              <w:t>0.19314</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Western Australia</w:t>
            </w:r>
          </w:p>
        </w:tc>
        <w:tc>
          <w:tcPr>
            <w:tcW w:w="2024" w:type="dxa"/>
            <w:tcBorders>
              <w:top w:val="dotted" w:sz="6" w:space="0" w:color="000000"/>
              <w:left w:val="nil"/>
              <w:bottom w:val="dotted" w:sz="6" w:space="0" w:color="000000"/>
              <w:right w:val="nil"/>
            </w:tcBorders>
          </w:tcPr>
          <w:p w:rsidR="00000000" w:rsidRDefault="00B852F0">
            <w:pPr>
              <w:pStyle w:val="Table"/>
            </w:pPr>
            <w:r>
              <w:t>0.11147</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South Australia</w:t>
            </w:r>
          </w:p>
        </w:tc>
        <w:tc>
          <w:tcPr>
            <w:tcW w:w="2024" w:type="dxa"/>
            <w:tcBorders>
              <w:top w:val="dotted" w:sz="6" w:space="0" w:color="000000"/>
              <w:left w:val="nil"/>
              <w:bottom w:val="dotted" w:sz="6" w:space="0" w:color="000000"/>
              <w:right w:val="nil"/>
            </w:tcBorders>
          </w:tcPr>
          <w:p w:rsidR="00000000" w:rsidRDefault="00B852F0">
            <w:pPr>
              <w:pStyle w:val="Table"/>
            </w:pPr>
            <w:r>
              <w:t>0.07857</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Tasmania</w:t>
            </w:r>
          </w:p>
        </w:tc>
        <w:tc>
          <w:tcPr>
            <w:tcW w:w="2024" w:type="dxa"/>
            <w:tcBorders>
              <w:top w:val="dotted" w:sz="6" w:space="0" w:color="000000"/>
              <w:left w:val="nil"/>
              <w:bottom w:val="dotted" w:sz="6" w:space="0" w:color="000000"/>
              <w:right w:val="nil"/>
            </w:tcBorders>
          </w:tcPr>
          <w:p w:rsidR="00000000" w:rsidRDefault="00B852F0">
            <w:pPr>
              <w:pStyle w:val="Table"/>
            </w:pPr>
            <w:r>
              <w:t>0.02415</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Australian Capital Territory</w:t>
            </w:r>
          </w:p>
        </w:tc>
        <w:tc>
          <w:tcPr>
            <w:tcW w:w="2024" w:type="dxa"/>
            <w:tcBorders>
              <w:top w:val="dotted" w:sz="6" w:space="0" w:color="000000"/>
              <w:left w:val="nil"/>
              <w:bottom w:val="dotted" w:sz="6" w:space="0" w:color="000000"/>
              <w:right w:val="nil"/>
            </w:tcBorders>
          </w:tcPr>
          <w:p w:rsidR="00000000" w:rsidRDefault="00B852F0">
            <w:pPr>
              <w:pStyle w:val="Table"/>
            </w:pPr>
            <w:r>
              <w:t>0.01569</w:t>
            </w:r>
          </w:p>
        </w:tc>
      </w:tr>
      <w:tr w:rsidR="00000000">
        <w:tblPrEx>
          <w:tblCellMar>
            <w:top w:w="0" w:type="dxa"/>
            <w:bottom w:w="0" w:type="dxa"/>
          </w:tblCellMar>
        </w:tblPrEx>
        <w:trPr>
          <w:cantSplit/>
        </w:trPr>
        <w:tc>
          <w:tcPr>
            <w:tcW w:w="3929" w:type="dxa"/>
            <w:tcBorders>
              <w:top w:val="dotted" w:sz="6" w:space="0" w:color="000000"/>
              <w:left w:val="nil"/>
              <w:bottom w:val="single" w:sz="12" w:space="0" w:color="000000"/>
              <w:right w:val="nil"/>
            </w:tcBorders>
          </w:tcPr>
          <w:p w:rsidR="00000000" w:rsidRDefault="00B852F0">
            <w:pPr>
              <w:pStyle w:val="Table"/>
            </w:pPr>
            <w:r>
              <w:t>Northern Territory</w:t>
            </w:r>
          </w:p>
        </w:tc>
        <w:tc>
          <w:tcPr>
            <w:tcW w:w="2024" w:type="dxa"/>
            <w:tcBorders>
              <w:top w:val="dotted" w:sz="6" w:space="0" w:color="000000"/>
              <w:left w:val="nil"/>
              <w:bottom w:val="single" w:sz="12" w:space="0" w:color="000000"/>
              <w:right w:val="nil"/>
            </w:tcBorders>
          </w:tcPr>
          <w:p w:rsidR="00000000" w:rsidRDefault="00B852F0">
            <w:pPr>
              <w:pStyle w:val="Table"/>
            </w:pPr>
            <w:r>
              <w:t>0.01569</w:t>
            </w:r>
          </w:p>
        </w:tc>
      </w:tr>
    </w:tbl>
    <w:p w:rsidR="00000000" w:rsidRDefault="00B852F0">
      <w:pPr>
        <w:pStyle w:val="Definition"/>
      </w:pPr>
      <w:r>
        <w:rPr>
          <w:b/>
          <w:bCs/>
          <w:i/>
          <w:iCs/>
        </w:rPr>
        <w:t>TBA</w:t>
      </w:r>
      <w:r>
        <w:t xml:space="preserve"> (tobacco base amount) means the sum of:</w:t>
      </w:r>
    </w:p>
    <w:p w:rsidR="00000000" w:rsidRDefault="00B852F0">
      <w:pPr>
        <w:pStyle w:val="indenta"/>
      </w:pPr>
      <w:r>
        <w:tab/>
        <w:t>(a)</w:t>
      </w:r>
      <w:r>
        <w:tab/>
      </w:r>
      <w:r>
        <w:t xml:space="preserve">the amount determined by the CEO, before 15 June 1998, to be the additional amount of customs duty on goods falling to subheadings of Chapter 24 of Schedule 3 to the </w:t>
      </w:r>
      <w:r>
        <w:rPr>
          <w:i/>
          <w:iCs/>
        </w:rPr>
        <w:t>Customs Tariff Act 1995</w:t>
      </w:r>
      <w:r>
        <w:t xml:space="preserve"> that was collected before 1 June 1998 because of a Commonwealth su</w:t>
      </w:r>
      <w:r>
        <w:t xml:space="preserve">rcharge (whether under the </w:t>
      </w:r>
      <w:r>
        <w:rPr>
          <w:i/>
          <w:iCs/>
        </w:rPr>
        <w:t>Customs Tariff Amendment Act (No. 3) 1997</w:t>
      </w:r>
      <w:r>
        <w:t xml:space="preserve"> or any other Surcharge Act); and</w:t>
      </w:r>
    </w:p>
    <w:p w:rsidR="00000000" w:rsidRDefault="00B852F0">
      <w:pPr>
        <w:pStyle w:val="notepara"/>
      </w:pPr>
      <w:r>
        <w:t>Note:</w:t>
      </w:r>
      <w:r>
        <w:tab/>
        <w:t xml:space="preserve">Chapter 24 of Schedule 3 to the </w:t>
      </w:r>
      <w:r>
        <w:rPr>
          <w:i/>
          <w:iCs/>
        </w:rPr>
        <w:t>Customs Tariff Act 1995</w:t>
      </w:r>
      <w:r>
        <w:t xml:space="preserve"> deals with tobacco and manufactured tobacco substitutes.</w:t>
      </w:r>
    </w:p>
    <w:p w:rsidR="00000000" w:rsidRDefault="00B852F0">
      <w:pPr>
        <w:pStyle w:val="indenta"/>
      </w:pPr>
      <w:r>
        <w:lastRenderedPageBreak/>
        <w:tab/>
        <w:t>(b)</w:t>
      </w:r>
      <w:r>
        <w:tab/>
        <w:t>the amount determined by the C</w:t>
      </w:r>
      <w:r>
        <w:t xml:space="preserve">EO, before 15 June 1998, to be the additional amount of customs duty on goods falling to subheadings of Chapter 24 of Schedule 3 to the </w:t>
      </w:r>
      <w:r>
        <w:rPr>
          <w:i/>
          <w:iCs/>
        </w:rPr>
        <w:t>Customs Tariff Act 1995</w:t>
      </w:r>
      <w:r>
        <w:t xml:space="preserve"> that the CEO estimates to be likely to be collected during the month of June 1998 because of a C</w:t>
      </w:r>
      <w:r>
        <w:t xml:space="preserve">ommonwealth surcharge (whether under the </w:t>
      </w:r>
      <w:r>
        <w:rPr>
          <w:i/>
          <w:iCs/>
        </w:rPr>
        <w:t>Customs Tariff Amendment Act (No. 3) 1997</w:t>
      </w:r>
      <w:r>
        <w:t xml:space="preserve"> or any other Surcharge Act); and</w:t>
      </w:r>
    </w:p>
    <w:p w:rsidR="00000000" w:rsidRDefault="00B852F0">
      <w:pPr>
        <w:pStyle w:val="indenta"/>
      </w:pPr>
      <w:r>
        <w:tab/>
        <w:t>(c)</w:t>
      </w:r>
      <w:r>
        <w:tab/>
        <w:t xml:space="preserve">the amount determined by the CEO, before 15 June 1998, to be the additional amount of excise duty on goods falling to items 6, 7 and 8 </w:t>
      </w:r>
      <w:r>
        <w:t xml:space="preserve">of the Schedule to the </w:t>
      </w:r>
      <w:r>
        <w:rPr>
          <w:i/>
          <w:iCs/>
        </w:rPr>
        <w:t>Excise Tariff Act 1921</w:t>
      </w:r>
      <w:r>
        <w:t xml:space="preserve"> that was collected before 1 June 1998 because of a Commonwealth surcharge (whether under the </w:t>
      </w:r>
      <w:r>
        <w:rPr>
          <w:i/>
          <w:iCs/>
        </w:rPr>
        <w:t>Excise Tariff Amendment Act (No. 3) 1997</w:t>
      </w:r>
      <w:r>
        <w:t xml:space="preserve"> or any other Surcharge Act); and</w:t>
      </w:r>
    </w:p>
    <w:p w:rsidR="00000000" w:rsidRDefault="00B852F0">
      <w:pPr>
        <w:pStyle w:val="notepara"/>
      </w:pPr>
      <w:r>
        <w:t>Note:</w:t>
      </w:r>
      <w:r>
        <w:tab/>
        <w:t>Items 6, 7 and 8 of the Schedule to t</w:t>
      </w:r>
      <w:r>
        <w:t xml:space="preserve">he </w:t>
      </w:r>
      <w:r>
        <w:rPr>
          <w:i/>
          <w:iCs/>
        </w:rPr>
        <w:t>Excise Tariff Act 1921</w:t>
      </w:r>
      <w:r>
        <w:t xml:space="preserve"> deal with tobacco, cigars and cigarettes.</w:t>
      </w:r>
    </w:p>
    <w:p w:rsidR="00000000" w:rsidRDefault="00B852F0">
      <w:pPr>
        <w:pStyle w:val="indenta"/>
      </w:pPr>
      <w:r>
        <w:tab/>
        <w:t>(d)</w:t>
      </w:r>
      <w:r>
        <w:tab/>
        <w:t xml:space="preserve">the amount determined by the CEO, before 15 June 1998, to be the additional amount of excise duty on goods falling to items 6, 7 and 8 of the Schedule to the </w:t>
      </w:r>
      <w:r>
        <w:rPr>
          <w:i/>
          <w:iCs/>
        </w:rPr>
        <w:t>Excise Tariff Act 1921</w:t>
      </w:r>
      <w:r>
        <w:t xml:space="preserve"> th</w:t>
      </w:r>
      <w:r>
        <w:t xml:space="preserve">at the CEO estimates to be likely to be collected during the month of June 1998 because of a Commonwealth surcharge (whether under the </w:t>
      </w:r>
      <w:r>
        <w:rPr>
          <w:i/>
          <w:iCs/>
        </w:rPr>
        <w:t>Excise Tariff Amendment Act (No. 3) 1997</w:t>
      </w:r>
      <w:r>
        <w:t xml:space="preserve"> or any other Surcharge Act);</w:t>
      </w:r>
    </w:p>
    <w:p w:rsidR="00000000" w:rsidRDefault="00B852F0">
      <w:pPr>
        <w:pStyle w:val="subsection2"/>
      </w:pPr>
      <w:r>
        <w:t>less the amount determined by the CEO to be the amo</w:t>
      </w:r>
      <w:r>
        <w:t>unt of the additional administrative costs incurred by the Commonwealth in the grant year because of those surcharges.</w:t>
      </w:r>
    </w:p>
    <w:p w:rsidR="00000000" w:rsidRDefault="00B852F0">
      <w:pPr>
        <w:pStyle w:val="Definition"/>
      </w:pPr>
      <w:r>
        <w:rPr>
          <w:b/>
          <w:bCs/>
          <w:i/>
          <w:iCs/>
        </w:rPr>
        <w:t>TS</w:t>
      </w:r>
      <w:r>
        <w:t xml:space="preserve"> (tobacco share) means the number set out opposite the name of the State in the following table.</w:t>
      </w:r>
    </w:p>
    <w:p w:rsidR="00000000" w:rsidRDefault="00B852F0">
      <w:pPr>
        <w:pStyle w:val="Table"/>
      </w:pPr>
    </w:p>
    <w:tbl>
      <w:tblPr>
        <w:tblW w:w="0" w:type="auto"/>
        <w:tblInd w:w="1242" w:type="dxa"/>
        <w:tblLayout w:type="fixed"/>
        <w:tblLook w:val="0000" w:firstRow="0" w:lastRow="0" w:firstColumn="0" w:lastColumn="0" w:noHBand="0" w:noVBand="0"/>
      </w:tblPr>
      <w:tblGrid>
        <w:gridCol w:w="3929"/>
        <w:gridCol w:w="2024"/>
      </w:tblGrid>
      <w:tr w:rsidR="00000000">
        <w:tblPrEx>
          <w:tblCellMar>
            <w:top w:w="0" w:type="dxa"/>
            <w:bottom w:w="0" w:type="dxa"/>
          </w:tblCellMar>
        </w:tblPrEx>
        <w:trPr>
          <w:cantSplit/>
          <w:tblHeader/>
        </w:trPr>
        <w:tc>
          <w:tcPr>
            <w:tcW w:w="5953" w:type="dxa"/>
            <w:gridSpan w:val="2"/>
            <w:tcBorders>
              <w:top w:val="single" w:sz="12" w:space="0" w:color="000000"/>
              <w:left w:val="nil"/>
              <w:bottom w:val="nil"/>
              <w:right w:val="nil"/>
            </w:tcBorders>
          </w:tcPr>
          <w:p w:rsidR="00000000" w:rsidRDefault="00B852F0">
            <w:pPr>
              <w:pStyle w:val="Table"/>
              <w:rPr>
                <w:b/>
                <w:bCs/>
              </w:rPr>
            </w:pPr>
            <w:r>
              <w:rPr>
                <w:b/>
                <w:bCs/>
              </w:rPr>
              <w:t>Tobacco Share</w:t>
            </w:r>
          </w:p>
        </w:tc>
      </w:tr>
      <w:tr w:rsidR="00000000">
        <w:tblPrEx>
          <w:tblCellMar>
            <w:top w:w="0" w:type="dxa"/>
            <w:bottom w:w="0" w:type="dxa"/>
          </w:tblCellMar>
        </w:tblPrEx>
        <w:trPr>
          <w:cantSplit/>
          <w:tblHeader/>
        </w:trPr>
        <w:tc>
          <w:tcPr>
            <w:tcW w:w="3929" w:type="dxa"/>
            <w:tcBorders>
              <w:top w:val="single" w:sz="6" w:space="0" w:color="000000"/>
              <w:left w:val="nil"/>
              <w:bottom w:val="nil"/>
              <w:right w:val="nil"/>
            </w:tcBorders>
          </w:tcPr>
          <w:p w:rsidR="00000000" w:rsidRDefault="00B852F0">
            <w:pPr>
              <w:pStyle w:val="Table"/>
              <w:rPr>
                <w:b/>
                <w:bCs/>
              </w:rPr>
            </w:pPr>
            <w:r>
              <w:rPr>
                <w:b/>
                <w:bCs/>
              </w:rPr>
              <w:t>State</w:t>
            </w:r>
          </w:p>
        </w:tc>
        <w:tc>
          <w:tcPr>
            <w:tcW w:w="2024" w:type="dxa"/>
            <w:tcBorders>
              <w:top w:val="single" w:sz="6" w:space="0" w:color="000000"/>
              <w:left w:val="nil"/>
              <w:bottom w:val="nil"/>
              <w:right w:val="nil"/>
            </w:tcBorders>
          </w:tcPr>
          <w:p w:rsidR="00000000" w:rsidRDefault="00B852F0">
            <w:pPr>
              <w:pStyle w:val="Table"/>
              <w:rPr>
                <w:b/>
                <w:bCs/>
              </w:rPr>
            </w:pPr>
            <w:r>
              <w:rPr>
                <w:b/>
                <w:bCs/>
              </w:rPr>
              <w:t>Tobacco Share</w:t>
            </w:r>
          </w:p>
        </w:tc>
      </w:tr>
      <w:tr w:rsidR="00000000">
        <w:tblPrEx>
          <w:tblCellMar>
            <w:top w:w="0" w:type="dxa"/>
            <w:bottom w:w="0" w:type="dxa"/>
          </w:tblCellMar>
        </w:tblPrEx>
        <w:trPr>
          <w:cantSplit/>
        </w:trPr>
        <w:tc>
          <w:tcPr>
            <w:tcW w:w="3929" w:type="dxa"/>
            <w:tcBorders>
              <w:top w:val="single" w:sz="12" w:space="0" w:color="000000"/>
              <w:left w:val="nil"/>
              <w:bottom w:val="dotted" w:sz="6" w:space="0" w:color="000000"/>
              <w:right w:val="nil"/>
            </w:tcBorders>
          </w:tcPr>
          <w:p w:rsidR="00000000" w:rsidRDefault="00B852F0">
            <w:pPr>
              <w:pStyle w:val="Table"/>
            </w:pPr>
            <w:r>
              <w:t>N</w:t>
            </w:r>
            <w:r>
              <w:t>ew South Wales</w:t>
            </w:r>
          </w:p>
        </w:tc>
        <w:tc>
          <w:tcPr>
            <w:tcW w:w="2024" w:type="dxa"/>
            <w:tcBorders>
              <w:top w:val="single" w:sz="12" w:space="0" w:color="000000"/>
              <w:left w:val="nil"/>
              <w:bottom w:val="dotted" w:sz="6" w:space="0" w:color="000000"/>
              <w:right w:val="nil"/>
            </w:tcBorders>
          </w:tcPr>
          <w:p w:rsidR="00000000" w:rsidRDefault="00B852F0">
            <w:pPr>
              <w:pStyle w:val="Table"/>
            </w:pPr>
            <w:r>
              <w:t>0.33319</w:t>
            </w:r>
          </w:p>
        </w:tc>
      </w:tr>
      <w:tr w:rsidR="00000000">
        <w:tblPrEx>
          <w:tblCellMar>
            <w:top w:w="0" w:type="dxa"/>
            <w:bottom w:w="0" w:type="dxa"/>
          </w:tblCellMar>
        </w:tblPrEx>
        <w:trPr>
          <w:cantSplit/>
        </w:trPr>
        <w:tc>
          <w:tcPr>
            <w:tcW w:w="3929" w:type="dxa"/>
            <w:tcBorders>
              <w:top w:val="nil"/>
              <w:left w:val="nil"/>
              <w:bottom w:val="dotted" w:sz="6" w:space="0" w:color="000000"/>
              <w:right w:val="nil"/>
            </w:tcBorders>
          </w:tcPr>
          <w:p w:rsidR="00000000" w:rsidRDefault="00B852F0">
            <w:pPr>
              <w:pStyle w:val="Table"/>
            </w:pPr>
            <w:r>
              <w:t>Victoria</w:t>
            </w:r>
          </w:p>
        </w:tc>
        <w:tc>
          <w:tcPr>
            <w:tcW w:w="2024" w:type="dxa"/>
            <w:tcBorders>
              <w:top w:val="nil"/>
              <w:left w:val="nil"/>
              <w:bottom w:val="dotted" w:sz="6" w:space="0" w:color="000000"/>
              <w:right w:val="nil"/>
            </w:tcBorders>
          </w:tcPr>
          <w:p w:rsidR="00000000" w:rsidRDefault="00B852F0">
            <w:pPr>
              <w:pStyle w:val="Table"/>
            </w:pPr>
            <w:r>
              <w:t>0.22731</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Queensland</w:t>
            </w:r>
          </w:p>
        </w:tc>
        <w:tc>
          <w:tcPr>
            <w:tcW w:w="2024" w:type="dxa"/>
            <w:tcBorders>
              <w:top w:val="dotted" w:sz="6" w:space="0" w:color="000000"/>
              <w:left w:val="nil"/>
              <w:bottom w:val="dotted" w:sz="6" w:space="0" w:color="000000"/>
              <w:right w:val="nil"/>
            </w:tcBorders>
          </w:tcPr>
          <w:p w:rsidR="00000000" w:rsidRDefault="00B852F0">
            <w:pPr>
              <w:pStyle w:val="Table"/>
            </w:pPr>
            <w:r>
              <w:t>0.19616</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Western Australia</w:t>
            </w:r>
          </w:p>
        </w:tc>
        <w:tc>
          <w:tcPr>
            <w:tcW w:w="2024" w:type="dxa"/>
            <w:tcBorders>
              <w:top w:val="dotted" w:sz="6" w:space="0" w:color="000000"/>
              <w:left w:val="nil"/>
              <w:bottom w:val="dotted" w:sz="6" w:space="0" w:color="000000"/>
              <w:right w:val="nil"/>
            </w:tcBorders>
          </w:tcPr>
          <w:p w:rsidR="00000000" w:rsidRDefault="00B852F0">
            <w:pPr>
              <w:pStyle w:val="Table"/>
            </w:pPr>
            <w:r>
              <w:t>0.10121</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South Australia</w:t>
            </w:r>
          </w:p>
        </w:tc>
        <w:tc>
          <w:tcPr>
            <w:tcW w:w="2024" w:type="dxa"/>
            <w:tcBorders>
              <w:top w:val="dotted" w:sz="6" w:space="0" w:color="000000"/>
              <w:left w:val="nil"/>
              <w:bottom w:val="dotted" w:sz="6" w:space="0" w:color="000000"/>
              <w:right w:val="nil"/>
            </w:tcBorders>
          </w:tcPr>
          <w:p w:rsidR="00000000" w:rsidRDefault="00B852F0">
            <w:pPr>
              <w:pStyle w:val="Table"/>
            </w:pPr>
            <w:r>
              <w:t>0.08180</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lastRenderedPageBreak/>
              <w:t>Tasmania</w:t>
            </w:r>
          </w:p>
        </w:tc>
        <w:tc>
          <w:tcPr>
            <w:tcW w:w="2024" w:type="dxa"/>
            <w:tcBorders>
              <w:top w:val="dotted" w:sz="6" w:space="0" w:color="000000"/>
              <w:left w:val="nil"/>
              <w:bottom w:val="dotted" w:sz="6" w:space="0" w:color="000000"/>
              <w:right w:val="nil"/>
            </w:tcBorders>
          </w:tcPr>
          <w:p w:rsidR="00000000" w:rsidRDefault="00B852F0">
            <w:pPr>
              <w:pStyle w:val="Table"/>
            </w:pPr>
            <w:r>
              <w:t>0.02940</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Australian Capital Territory</w:t>
            </w:r>
          </w:p>
        </w:tc>
        <w:tc>
          <w:tcPr>
            <w:tcW w:w="2024" w:type="dxa"/>
            <w:tcBorders>
              <w:top w:val="dotted" w:sz="6" w:space="0" w:color="000000"/>
              <w:left w:val="nil"/>
              <w:bottom w:val="dotted" w:sz="6" w:space="0" w:color="000000"/>
              <w:right w:val="nil"/>
            </w:tcBorders>
          </w:tcPr>
          <w:p w:rsidR="00000000" w:rsidRDefault="00B852F0">
            <w:pPr>
              <w:pStyle w:val="Table"/>
            </w:pPr>
            <w:r>
              <w:t>0.01444</w:t>
            </w:r>
          </w:p>
        </w:tc>
      </w:tr>
      <w:tr w:rsidR="00000000">
        <w:tblPrEx>
          <w:tblCellMar>
            <w:top w:w="0" w:type="dxa"/>
            <w:bottom w:w="0" w:type="dxa"/>
          </w:tblCellMar>
        </w:tblPrEx>
        <w:trPr>
          <w:cantSplit/>
        </w:trPr>
        <w:tc>
          <w:tcPr>
            <w:tcW w:w="3929" w:type="dxa"/>
            <w:tcBorders>
              <w:top w:val="dotted" w:sz="6" w:space="0" w:color="000000"/>
              <w:left w:val="nil"/>
              <w:bottom w:val="single" w:sz="12" w:space="0" w:color="000000"/>
              <w:right w:val="nil"/>
            </w:tcBorders>
          </w:tcPr>
          <w:p w:rsidR="00000000" w:rsidRDefault="00B852F0">
            <w:pPr>
              <w:pStyle w:val="Table"/>
            </w:pPr>
            <w:r>
              <w:t>Northern Territory</w:t>
            </w:r>
          </w:p>
        </w:tc>
        <w:tc>
          <w:tcPr>
            <w:tcW w:w="2024" w:type="dxa"/>
            <w:tcBorders>
              <w:top w:val="dotted" w:sz="6" w:space="0" w:color="000000"/>
              <w:left w:val="nil"/>
              <w:bottom w:val="single" w:sz="12" w:space="0" w:color="000000"/>
              <w:right w:val="nil"/>
            </w:tcBorders>
          </w:tcPr>
          <w:p w:rsidR="00000000" w:rsidRDefault="00B852F0">
            <w:pPr>
              <w:pStyle w:val="Table"/>
            </w:pPr>
            <w:r>
              <w:t>0.01648</w:t>
            </w:r>
          </w:p>
        </w:tc>
      </w:tr>
    </w:tbl>
    <w:p w:rsidR="00000000" w:rsidRDefault="00B852F0">
      <w:pPr>
        <w:pStyle w:val="Definition"/>
      </w:pPr>
      <w:r>
        <w:rPr>
          <w:b/>
          <w:bCs/>
          <w:i/>
          <w:iCs/>
        </w:rPr>
        <w:t>PBA</w:t>
      </w:r>
      <w:r>
        <w:t xml:space="preserve"> (petroleum base amount) means the sum of:</w:t>
      </w:r>
    </w:p>
    <w:p w:rsidR="00000000" w:rsidRDefault="00B852F0">
      <w:pPr>
        <w:pStyle w:val="indenta"/>
      </w:pPr>
      <w:r>
        <w:tab/>
        <w:t>(a)</w:t>
      </w:r>
      <w:r>
        <w:tab/>
      </w:r>
      <w:r>
        <w:t xml:space="preserve">the amount determined by the CEO, before 15 June 1998, to be the additional amount of customs duty on goods falling to subheadings of Chapter 27 of Schedule 3 to the </w:t>
      </w:r>
      <w:r>
        <w:rPr>
          <w:i/>
          <w:iCs/>
        </w:rPr>
        <w:t>Customs Tariff Act 1995</w:t>
      </w:r>
      <w:r>
        <w:t xml:space="preserve"> that was collected before 1 June 1998 because of a Commonwealth su</w:t>
      </w:r>
      <w:r>
        <w:t xml:space="preserve">rcharge (whether under the </w:t>
      </w:r>
      <w:r>
        <w:rPr>
          <w:i/>
          <w:iCs/>
        </w:rPr>
        <w:t>Customs Tariff Amendment Act (No. 3) 1997</w:t>
      </w:r>
      <w:r>
        <w:t xml:space="preserve"> or any other Surcharge Act); and</w:t>
      </w:r>
    </w:p>
    <w:p w:rsidR="00000000" w:rsidRDefault="00B852F0">
      <w:pPr>
        <w:pStyle w:val="notepara"/>
      </w:pPr>
      <w:r>
        <w:t>Note:</w:t>
      </w:r>
      <w:r>
        <w:tab/>
        <w:t xml:space="preserve">Chapter 27 of Schedule 3 to the </w:t>
      </w:r>
      <w:r>
        <w:rPr>
          <w:i/>
          <w:iCs/>
        </w:rPr>
        <w:t>Customs Tariff Act 1995</w:t>
      </w:r>
      <w:r>
        <w:t xml:space="preserve"> deals with petroleum products.</w:t>
      </w:r>
    </w:p>
    <w:p w:rsidR="00000000" w:rsidRDefault="00B852F0">
      <w:pPr>
        <w:pStyle w:val="indenta"/>
      </w:pPr>
      <w:r>
        <w:tab/>
        <w:t>(b)</w:t>
      </w:r>
      <w:r>
        <w:tab/>
        <w:t>the amount determined by the CEO, before 15 June 1998, t</w:t>
      </w:r>
      <w:r>
        <w:t xml:space="preserve">o be the additional amount of customs duty on goods falling to subheadings of Chapter 27 of Schedule 3 to the </w:t>
      </w:r>
      <w:r>
        <w:rPr>
          <w:i/>
          <w:iCs/>
        </w:rPr>
        <w:t>Customs Tariff Act 1995</w:t>
      </w:r>
      <w:r>
        <w:t xml:space="preserve"> that the CEO estimates to be likely to be collected during the month of June 1998 because of a Commonwealth surcharge (whe</w:t>
      </w:r>
      <w:r>
        <w:t xml:space="preserve">ther under the </w:t>
      </w:r>
      <w:r>
        <w:rPr>
          <w:i/>
          <w:iCs/>
        </w:rPr>
        <w:t>Customs Tariff Amendment Act (No. 3) 1997</w:t>
      </w:r>
      <w:r>
        <w:t xml:space="preserve"> or any other Surcharge Act); and</w:t>
      </w:r>
    </w:p>
    <w:p w:rsidR="00000000" w:rsidRDefault="00B852F0">
      <w:pPr>
        <w:pStyle w:val="indenta"/>
      </w:pPr>
      <w:r>
        <w:tab/>
        <w:t>(c)</w:t>
      </w:r>
      <w:r>
        <w:tab/>
        <w:t xml:space="preserve">the amount determined by the CEO, before 15 June 1998, to be the additional amount of excise duty on goods falling to item 11 of the Schedule to the </w:t>
      </w:r>
      <w:r>
        <w:rPr>
          <w:i/>
          <w:iCs/>
        </w:rPr>
        <w:t>Excise Tariff Act 1921</w:t>
      </w:r>
      <w:r>
        <w:t xml:space="preserve"> that was collected before 1 June 1998 because of a Commonwealth surcharge (whether under the </w:t>
      </w:r>
      <w:r>
        <w:rPr>
          <w:i/>
          <w:iCs/>
        </w:rPr>
        <w:t>Excise Tariff Amendment Act (No. 3) 1997</w:t>
      </w:r>
      <w:r>
        <w:t xml:space="preserve"> or any other Surcharge Act); and</w:t>
      </w:r>
    </w:p>
    <w:p w:rsidR="00000000" w:rsidRDefault="00B852F0">
      <w:pPr>
        <w:pStyle w:val="notepara"/>
      </w:pPr>
      <w:r>
        <w:t>Note:</w:t>
      </w:r>
      <w:r>
        <w:tab/>
        <w:t xml:space="preserve">Item 11 of the Schedule to the </w:t>
      </w:r>
      <w:r>
        <w:rPr>
          <w:i/>
          <w:iCs/>
        </w:rPr>
        <w:t>Excise Tariff Act 1921</w:t>
      </w:r>
      <w:r>
        <w:t xml:space="preserve"> deals </w:t>
      </w:r>
      <w:r>
        <w:t>with petroleum products.</w:t>
      </w:r>
    </w:p>
    <w:p w:rsidR="00000000" w:rsidRDefault="00B852F0">
      <w:pPr>
        <w:pStyle w:val="indenta"/>
      </w:pPr>
      <w:r>
        <w:tab/>
        <w:t>(d)</w:t>
      </w:r>
      <w:r>
        <w:tab/>
        <w:t xml:space="preserve">the amount determined by the CEO, before 15 June 1998, to be the additional amount of excise duty on goods falling to item 11 of the Schedule to the </w:t>
      </w:r>
      <w:r>
        <w:rPr>
          <w:i/>
          <w:iCs/>
        </w:rPr>
        <w:t>Excise Tariff Act 1921</w:t>
      </w:r>
      <w:r>
        <w:t xml:space="preserve"> that the CEO estimates to be likely to be collected du</w:t>
      </w:r>
      <w:r>
        <w:t xml:space="preserve">ring the month of June 1998 because of a Commonwealth surcharge </w:t>
      </w:r>
      <w:r>
        <w:lastRenderedPageBreak/>
        <w:t xml:space="preserve">(whether under the </w:t>
      </w:r>
      <w:r>
        <w:rPr>
          <w:i/>
          <w:iCs/>
        </w:rPr>
        <w:t>Excise Tariff Amendment Act (No. 3) 1997</w:t>
      </w:r>
      <w:r>
        <w:t xml:space="preserve"> or any other Surcharge Act);</w:t>
      </w:r>
    </w:p>
    <w:p w:rsidR="00000000" w:rsidRDefault="00B852F0">
      <w:pPr>
        <w:pStyle w:val="subsection2"/>
      </w:pPr>
      <w:r>
        <w:t>less the following amounts:</w:t>
      </w:r>
    </w:p>
    <w:p w:rsidR="00000000" w:rsidRDefault="00B852F0">
      <w:pPr>
        <w:pStyle w:val="indenta"/>
      </w:pPr>
      <w:r>
        <w:tab/>
        <w:t>(e)</w:t>
      </w:r>
      <w:r>
        <w:tab/>
        <w:t>the amount determined by the CEO to be the amount of the additional ad</w:t>
      </w:r>
      <w:r>
        <w:t>ministrative costs incurred by the Commonwealth in the grant year because of those surcharges;</w:t>
      </w:r>
    </w:p>
    <w:p w:rsidR="00000000" w:rsidRDefault="00B852F0">
      <w:pPr>
        <w:pStyle w:val="indenta"/>
      </w:pPr>
      <w:r>
        <w:tab/>
        <w:t>(f)</w:t>
      </w:r>
      <w:r>
        <w:tab/>
        <w:t>the amount determined by the Secretary to be the amount of public debt interest incurred by the Commonwealth in the grant year because payments of amounts o</w:t>
      </w:r>
      <w:r>
        <w:t xml:space="preserve">f customs duty that included an amount payable because of a Commonwealth surcharge were deferred in accordance with permissions granted under section 69 of the </w:t>
      </w:r>
      <w:r>
        <w:rPr>
          <w:i/>
          <w:iCs/>
        </w:rPr>
        <w:t>Customs Act 1901</w:t>
      </w:r>
      <w:r>
        <w:t xml:space="preserve"> for the delivery into home consumption of goods falling to subheadings of Chapt</w:t>
      </w:r>
      <w:r>
        <w:t xml:space="preserve">er 27 of Schedule 3 to the </w:t>
      </w:r>
      <w:r>
        <w:rPr>
          <w:i/>
          <w:iCs/>
        </w:rPr>
        <w:t>Customs Tariff Act 1995</w:t>
      </w:r>
      <w:r>
        <w:t>.</w:t>
      </w:r>
    </w:p>
    <w:p w:rsidR="00000000" w:rsidRDefault="00B852F0">
      <w:pPr>
        <w:pStyle w:val="Definition"/>
      </w:pPr>
      <w:r>
        <w:rPr>
          <w:b/>
          <w:bCs/>
          <w:i/>
          <w:iCs/>
        </w:rPr>
        <w:t>PS</w:t>
      </w:r>
      <w:r>
        <w:t xml:space="preserve"> (petroleum share) means the number set out opposite the name of the State in the following table.</w:t>
      </w:r>
    </w:p>
    <w:p w:rsidR="00000000" w:rsidRDefault="00B852F0">
      <w:pPr>
        <w:pStyle w:val="Table"/>
      </w:pPr>
    </w:p>
    <w:tbl>
      <w:tblPr>
        <w:tblW w:w="0" w:type="auto"/>
        <w:tblInd w:w="1242" w:type="dxa"/>
        <w:tblLayout w:type="fixed"/>
        <w:tblLook w:val="0000" w:firstRow="0" w:lastRow="0" w:firstColumn="0" w:lastColumn="0" w:noHBand="0" w:noVBand="0"/>
      </w:tblPr>
      <w:tblGrid>
        <w:gridCol w:w="3929"/>
        <w:gridCol w:w="2024"/>
      </w:tblGrid>
      <w:tr w:rsidR="00000000">
        <w:tblPrEx>
          <w:tblCellMar>
            <w:top w:w="0" w:type="dxa"/>
            <w:bottom w:w="0" w:type="dxa"/>
          </w:tblCellMar>
        </w:tblPrEx>
        <w:trPr>
          <w:cantSplit/>
          <w:tblHeader/>
        </w:trPr>
        <w:tc>
          <w:tcPr>
            <w:tcW w:w="5953" w:type="dxa"/>
            <w:gridSpan w:val="2"/>
            <w:tcBorders>
              <w:top w:val="single" w:sz="12" w:space="0" w:color="000000"/>
              <w:left w:val="nil"/>
              <w:bottom w:val="nil"/>
              <w:right w:val="nil"/>
            </w:tcBorders>
          </w:tcPr>
          <w:p w:rsidR="00000000" w:rsidRDefault="00B852F0">
            <w:pPr>
              <w:pStyle w:val="Table"/>
              <w:keepNext/>
              <w:rPr>
                <w:b/>
                <w:bCs/>
              </w:rPr>
            </w:pPr>
            <w:r>
              <w:rPr>
                <w:b/>
                <w:bCs/>
              </w:rPr>
              <w:t>Petroleum Share</w:t>
            </w:r>
          </w:p>
        </w:tc>
      </w:tr>
      <w:tr w:rsidR="00000000">
        <w:tblPrEx>
          <w:tblCellMar>
            <w:top w:w="0" w:type="dxa"/>
            <w:bottom w:w="0" w:type="dxa"/>
          </w:tblCellMar>
        </w:tblPrEx>
        <w:trPr>
          <w:cantSplit/>
          <w:tblHeader/>
        </w:trPr>
        <w:tc>
          <w:tcPr>
            <w:tcW w:w="3929" w:type="dxa"/>
            <w:tcBorders>
              <w:top w:val="single" w:sz="6" w:space="0" w:color="000000"/>
              <w:left w:val="nil"/>
              <w:bottom w:val="nil"/>
              <w:right w:val="nil"/>
            </w:tcBorders>
          </w:tcPr>
          <w:p w:rsidR="00000000" w:rsidRDefault="00B852F0">
            <w:pPr>
              <w:pStyle w:val="Table"/>
              <w:keepNext/>
              <w:rPr>
                <w:b/>
                <w:bCs/>
              </w:rPr>
            </w:pPr>
            <w:r>
              <w:rPr>
                <w:b/>
                <w:bCs/>
              </w:rPr>
              <w:t>State</w:t>
            </w:r>
          </w:p>
        </w:tc>
        <w:tc>
          <w:tcPr>
            <w:tcW w:w="2024" w:type="dxa"/>
            <w:tcBorders>
              <w:top w:val="single" w:sz="6" w:space="0" w:color="000000"/>
              <w:left w:val="nil"/>
              <w:bottom w:val="nil"/>
              <w:right w:val="nil"/>
            </w:tcBorders>
          </w:tcPr>
          <w:p w:rsidR="00000000" w:rsidRDefault="00B852F0">
            <w:pPr>
              <w:pStyle w:val="Table"/>
              <w:keepNext/>
              <w:rPr>
                <w:b/>
                <w:bCs/>
              </w:rPr>
            </w:pPr>
            <w:r>
              <w:rPr>
                <w:b/>
                <w:bCs/>
              </w:rPr>
              <w:t>Petroleum Share</w:t>
            </w:r>
          </w:p>
        </w:tc>
      </w:tr>
      <w:tr w:rsidR="00000000">
        <w:tblPrEx>
          <w:tblCellMar>
            <w:top w:w="0" w:type="dxa"/>
            <w:bottom w:w="0" w:type="dxa"/>
          </w:tblCellMar>
        </w:tblPrEx>
        <w:trPr>
          <w:cantSplit/>
        </w:trPr>
        <w:tc>
          <w:tcPr>
            <w:tcW w:w="3929" w:type="dxa"/>
            <w:tcBorders>
              <w:top w:val="single" w:sz="12" w:space="0" w:color="000000"/>
              <w:left w:val="nil"/>
              <w:bottom w:val="dotted" w:sz="6" w:space="0" w:color="000000"/>
              <w:right w:val="nil"/>
            </w:tcBorders>
          </w:tcPr>
          <w:p w:rsidR="00000000" w:rsidRDefault="00B852F0">
            <w:pPr>
              <w:pStyle w:val="Table"/>
            </w:pPr>
            <w:r>
              <w:t>New South Wales</w:t>
            </w:r>
          </w:p>
        </w:tc>
        <w:tc>
          <w:tcPr>
            <w:tcW w:w="2024" w:type="dxa"/>
            <w:tcBorders>
              <w:top w:val="single" w:sz="12" w:space="0" w:color="000000"/>
              <w:left w:val="nil"/>
              <w:bottom w:val="dotted" w:sz="6" w:space="0" w:color="000000"/>
              <w:right w:val="nil"/>
            </w:tcBorders>
          </w:tcPr>
          <w:p w:rsidR="00000000" w:rsidRDefault="00B852F0">
            <w:pPr>
              <w:pStyle w:val="Table"/>
            </w:pPr>
            <w:r>
              <w:t>0.30039</w:t>
            </w:r>
          </w:p>
        </w:tc>
      </w:tr>
      <w:tr w:rsidR="00000000">
        <w:tblPrEx>
          <w:tblCellMar>
            <w:top w:w="0" w:type="dxa"/>
            <w:bottom w:w="0" w:type="dxa"/>
          </w:tblCellMar>
        </w:tblPrEx>
        <w:trPr>
          <w:cantSplit/>
        </w:trPr>
        <w:tc>
          <w:tcPr>
            <w:tcW w:w="3929" w:type="dxa"/>
            <w:tcBorders>
              <w:top w:val="nil"/>
              <w:left w:val="nil"/>
              <w:bottom w:val="dotted" w:sz="6" w:space="0" w:color="000000"/>
              <w:right w:val="nil"/>
            </w:tcBorders>
          </w:tcPr>
          <w:p w:rsidR="00000000" w:rsidRDefault="00B852F0">
            <w:pPr>
              <w:pStyle w:val="Table"/>
            </w:pPr>
            <w:r>
              <w:t>Victoria</w:t>
            </w:r>
          </w:p>
        </w:tc>
        <w:tc>
          <w:tcPr>
            <w:tcW w:w="2024" w:type="dxa"/>
            <w:tcBorders>
              <w:top w:val="nil"/>
              <w:left w:val="nil"/>
              <w:bottom w:val="dotted" w:sz="6" w:space="0" w:color="000000"/>
              <w:right w:val="nil"/>
            </w:tcBorders>
          </w:tcPr>
          <w:p w:rsidR="00000000" w:rsidRDefault="00B852F0">
            <w:pPr>
              <w:pStyle w:val="Table"/>
            </w:pPr>
            <w:r>
              <w:t>0.20153</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Queensland</w:t>
            </w:r>
          </w:p>
        </w:tc>
        <w:tc>
          <w:tcPr>
            <w:tcW w:w="2024" w:type="dxa"/>
            <w:tcBorders>
              <w:top w:val="dotted" w:sz="6" w:space="0" w:color="000000"/>
              <w:left w:val="nil"/>
              <w:bottom w:val="dotted" w:sz="6" w:space="0" w:color="000000"/>
              <w:right w:val="nil"/>
            </w:tcBorders>
          </w:tcPr>
          <w:p w:rsidR="00000000" w:rsidRDefault="00B852F0">
            <w:pPr>
              <w:pStyle w:val="Table"/>
            </w:pPr>
            <w:r>
              <w:t>0.19593</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Western Australia</w:t>
            </w:r>
          </w:p>
        </w:tc>
        <w:tc>
          <w:tcPr>
            <w:tcW w:w="2024" w:type="dxa"/>
            <w:tcBorders>
              <w:top w:val="dotted" w:sz="6" w:space="0" w:color="000000"/>
              <w:left w:val="nil"/>
              <w:bottom w:val="dotted" w:sz="6" w:space="0" w:color="000000"/>
              <w:right w:val="nil"/>
            </w:tcBorders>
          </w:tcPr>
          <w:p w:rsidR="00000000" w:rsidRDefault="00B852F0">
            <w:pPr>
              <w:pStyle w:val="Table"/>
            </w:pPr>
            <w:r>
              <w:t>0.17118</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South Australia</w:t>
            </w:r>
          </w:p>
        </w:tc>
        <w:tc>
          <w:tcPr>
            <w:tcW w:w="2024" w:type="dxa"/>
            <w:tcBorders>
              <w:top w:val="dotted" w:sz="6" w:space="0" w:color="000000"/>
              <w:left w:val="nil"/>
              <w:bottom w:val="dotted" w:sz="6" w:space="0" w:color="000000"/>
              <w:right w:val="nil"/>
            </w:tcBorders>
          </w:tcPr>
          <w:p w:rsidR="00000000" w:rsidRDefault="00B852F0">
            <w:pPr>
              <w:pStyle w:val="Table"/>
            </w:pPr>
            <w:r>
              <w:t>0.07549</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Tasmania</w:t>
            </w:r>
          </w:p>
        </w:tc>
        <w:tc>
          <w:tcPr>
            <w:tcW w:w="2024" w:type="dxa"/>
            <w:tcBorders>
              <w:top w:val="dotted" w:sz="6" w:space="0" w:color="000000"/>
              <w:left w:val="nil"/>
              <w:bottom w:val="dotted" w:sz="6" w:space="0" w:color="000000"/>
              <w:right w:val="nil"/>
            </w:tcBorders>
          </w:tcPr>
          <w:p w:rsidR="00000000" w:rsidRDefault="00B852F0">
            <w:pPr>
              <w:pStyle w:val="Table"/>
            </w:pPr>
            <w:r>
              <w:t>0.02453</w:t>
            </w:r>
          </w:p>
        </w:tc>
      </w:tr>
      <w:tr w:rsidR="00000000">
        <w:tblPrEx>
          <w:tblCellMar>
            <w:top w:w="0" w:type="dxa"/>
            <w:bottom w:w="0" w:type="dxa"/>
          </w:tblCellMar>
        </w:tblPrEx>
        <w:trPr>
          <w:cantSplit/>
        </w:trPr>
        <w:tc>
          <w:tcPr>
            <w:tcW w:w="3929" w:type="dxa"/>
            <w:tcBorders>
              <w:top w:val="dotted" w:sz="6" w:space="0" w:color="000000"/>
              <w:left w:val="nil"/>
              <w:bottom w:val="dotted" w:sz="6" w:space="0" w:color="000000"/>
              <w:right w:val="nil"/>
            </w:tcBorders>
          </w:tcPr>
          <w:p w:rsidR="00000000" w:rsidRDefault="00B852F0">
            <w:pPr>
              <w:pStyle w:val="Table"/>
            </w:pPr>
            <w:r>
              <w:t>Australian Capital Territory</w:t>
            </w:r>
          </w:p>
        </w:tc>
        <w:tc>
          <w:tcPr>
            <w:tcW w:w="2024" w:type="dxa"/>
            <w:tcBorders>
              <w:top w:val="dotted" w:sz="6" w:space="0" w:color="000000"/>
              <w:left w:val="nil"/>
              <w:bottom w:val="dotted" w:sz="6" w:space="0" w:color="000000"/>
              <w:right w:val="nil"/>
            </w:tcBorders>
          </w:tcPr>
          <w:p w:rsidR="00000000" w:rsidRDefault="00B852F0">
            <w:pPr>
              <w:pStyle w:val="Table"/>
            </w:pPr>
            <w:r>
              <w:t>0.01291</w:t>
            </w:r>
          </w:p>
        </w:tc>
      </w:tr>
      <w:tr w:rsidR="00000000">
        <w:tblPrEx>
          <w:tblCellMar>
            <w:top w:w="0" w:type="dxa"/>
            <w:bottom w:w="0" w:type="dxa"/>
          </w:tblCellMar>
        </w:tblPrEx>
        <w:trPr>
          <w:cantSplit/>
        </w:trPr>
        <w:tc>
          <w:tcPr>
            <w:tcW w:w="3929" w:type="dxa"/>
            <w:tcBorders>
              <w:top w:val="dotted" w:sz="6" w:space="0" w:color="000000"/>
              <w:left w:val="nil"/>
              <w:bottom w:val="single" w:sz="12" w:space="0" w:color="000000"/>
              <w:right w:val="nil"/>
            </w:tcBorders>
          </w:tcPr>
          <w:p w:rsidR="00000000" w:rsidRDefault="00B852F0">
            <w:pPr>
              <w:pStyle w:val="Table"/>
            </w:pPr>
            <w:r>
              <w:t>Northern Territory</w:t>
            </w:r>
          </w:p>
        </w:tc>
        <w:tc>
          <w:tcPr>
            <w:tcW w:w="2024" w:type="dxa"/>
            <w:tcBorders>
              <w:top w:val="dotted" w:sz="6" w:space="0" w:color="000000"/>
              <w:left w:val="nil"/>
              <w:bottom w:val="single" w:sz="12" w:space="0" w:color="000000"/>
              <w:right w:val="nil"/>
            </w:tcBorders>
          </w:tcPr>
          <w:p w:rsidR="00000000" w:rsidRDefault="00B852F0">
            <w:pPr>
              <w:pStyle w:val="Table"/>
            </w:pPr>
            <w:r>
              <w:t>0.01804</w:t>
            </w:r>
          </w:p>
        </w:tc>
      </w:tr>
    </w:tbl>
    <w:p w:rsidR="00000000" w:rsidRDefault="00B852F0">
      <w:pPr>
        <w:pStyle w:val="subsection"/>
      </w:pPr>
      <w:r>
        <w:tab/>
        <w:t>(2)</w:t>
      </w:r>
      <w:r>
        <w:tab/>
        <w:t>In determining, for the pur</w:t>
      </w:r>
      <w:r>
        <w:t>poses of subsection (1), the additional amount of customs duty or excise duty that was collected, or is likely to be collected, during a particular period because of a Commonwealth surcharge, the CEO is to take into account the impact of the operation of:</w:t>
      </w:r>
    </w:p>
    <w:p w:rsidR="00000000" w:rsidRDefault="00B852F0">
      <w:pPr>
        <w:pStyle w:val="indenta"/>
      </w:pPr>
      <w:r>
        <w:tab/>
        <w:t>(a)</w:t>
      </w:r>
      <w:r>
        <w:tab/>
        <w:t xml:space="preserve">section 19 of the </w:t>
      </w:r>
      <w:r>
        <w:rPr>
          <w:i/>
          <w:iCs/>
        </w:rPr>
        <w:t>Customs Tariff Act 1995</w:t>
      </w:r>
      <w:r>
        <w:t>; or</w:t>
      </w:r>
    </w:p>
    <w:p w:rsidR="00000000" w:rsidRDefault="00B852F0">
      <w:pPr>
        <w:pStyle w:val="indenta"/>
      </w:pPr>
      <w:r>
        <w:tab/>
        <w:t>(b)</w:t>
      </w:r>
      <w:r>
        <w:tab/>
        <w:t xml:space="preserve">section 6A of the </w:t>
      </w:r>
      <w:r>
        <w:rPr>
          <w:i/>
          <w:iCs/>
        </w:rPr>
        <w:t>Excise Tariff Act 1921</w:t>
      </w:r>
      <w:r>
        <w:t>;</w:t>
      </w:r>
    </w:p>
    <w:p w:rsidR="00000000" w:rsidRDefault="00B852F0">
      <w:pPr>
        <w:pStyle w:val="subsection2"/>
      </w:pPr>
      <w:r>
        <w:lastRenderedPageBreak/>
        <w:t>as the case requires.</w:t>
      </w:r>
    </w:p>
    <w:p w:rsidR="00000000" w:rsidRDefault="00B852F0">
      <w:pPr>
        <w:pStyle w:val="notetext"/>
      </w:pPr>
      <w:r>
        <w:t>Note:</w:t>
      </w:r>
      <w:r>
        <w:tab/>
        <w:t xml:space="preserve">Section 19 of the </w:t>
      </w:r>
      <w:r>
        <w:rPr>
          <w:i/>
          <w:iCs/>
        </w:rPr>
        <w:t>Customs Tariff Act 1995</w:t>
      </w:r>
      <w:r>
        <w:t xml:space="preserve"> and section 6A of the </w:t>
      </w:r>
      <w:r>
        <w:rPr>
          <w:i/>
          <w:iCs/>
        </w:rPr>
        <w:t>Excise Tariff Act 1921</w:t>
      </w:r>
      <w:r>
        <w:t xml:space="preserve"> provide for the automatic indexation of cer</w:t>
      </w:r>
      <w:r>
        <w:t>tain rates of duty which include rates payable on tobacco etc. and petroleum products.</w:t>
      </w:r>
    </w:p>
    <w:p w:rsidR="00000000" w:rsidRDefault="00B852F0">
      <w:pPr>
        <w:pStyle w:val="subsection"/>
      </w:pPr>
      <w:r>
        <w:tab/>
        <w:t>(3)</w:t>
      </w:r>
      <w:r>
        <w:tab/>
        <w:t xml:space="preserve">In working out, for the purposes of a determination under paragraph (f) of the definition of </w:t>
      </w:r>
      <w:r>
        <w:rPr>
          <w:b/>
          <w:bCs/>
          <w:i/>
          <w:iCs/>
        </w:rPr>
        <w:t>PBA</w:t>
      </w:r>
      <w:r>
        <w:t xml:space="preserve"> in subsection (1), the total of the amounts of customs duty whose p</w:t>
      </w:r>
      <w:r>
        <w:t xml:space="preserve">ayment was deferred in accordance with a permission granted under section 69 of the </w:t>
      </w:r>
      <w:r>
        <w:rPr>
          <w:i/>
          <w:iCs/>
        </w:rPr>
        <w:t>Customs Act 1901</w:t>
      </w:r>
      <w:r>
        <w:t>, the Secretary is to disregard any part of those amounts of customs duty collected because of a Commonwealth surcharge.</w:t>
      </w:r>
    </w:p>
    <w:p w:rsidR="00000000" w:rsidRDefault="00B852F0">
      <w:pPr>
        <w:pStyle w:val="Heading5"/>
      </w:pPr>
      <w:bookmarkStart w:id="86" w:name="_Toc397315940"/>
      <w:r>
        <w:t>6  Franchise fees wind</w:t>
      </w:r>
      <w:r>
        <w:t>fall tax reimbursement payments</w:t>
      </w:r>
      <w:bookmarkEnd w:id="86"/>
    </w:p>
    <w:p w:rsidR="00000000" w:rsidRDefault="00B852F0">
      <w:pPr>
        <w:pStyle w:val="subsection"/>
      </w:pPr>
      <w:r>
        <w:tab/>
      </w:r>
      <w:r>
        <w:tab/>
        <w:t>For the purposes of section 11B, the franchise fees windfall tax reimbursement payment to be made to a State is equal to the sum of:</w:t>
      </w:r>
    </w:p>
    <w:p w:rsidR="00000000" w:rsidRDefault="00B852F0">
      <w:pPr>
        <w:pStyle w:val="indenta"/>
      </w:pPr>
      <w:r>
        <w:tab/>
        <w:t>(a)</w:t>
      </w:r>
      <w:r>
        <w:tab/>
        <w:t>the amount determined by the Commissioner, not later than 22 June 1998,</w:t>
      </w:r>
      <w:r>
        <w:t xml:space="preserve"> to be the total of the amounts of tax collected, and remitted to the Commissioner, by the State under the </w:t>
      </w:r>
      <w:r>
        <w:rPr>
          <w:i/>
          <w:iCs/>
        </w:rPr>
        <w:t>Franchise Fees Windfall Tax (Collection) Act 1997</w:t>
      </w:r>
      <w:r>
        <w:t xml:space="preserve"> on or before 21 June 1998; and</w:t>
      </w:r>
    </w:p>
    <w:p w:rsidR="00000000" w:rsidRDefault="00B852F0">
      <w:pPr>
        <w:pStyle w:val="indenta"/>
      </w:pPr>
      <w:r>
        <w:tab/>
        <w:t>(b)</w:t>
      </w:r>
      <w:r>
        <w:tab/>
        <w:t>the amount determined by the Commissioner, not later than 22 Ju</w:t>
      </w:r>
      <w:r>
        <w:t>ne 1998, to be the total of the amounts of tax likely to be collected, and remitted to the Commissioner, by the State under that Act during the month of June 1998.</w:t>
      </w:r>
    </w:p>
    <w:p w:rsidR="00000000" w:rsidRDefault="00B852F0">
      <w:pPr>
        <w:pStyle w:val="Heading5"/>
      </w:pPr>
      <w:bookmarkStart w:id="87" w:name="_Toc390159115"/>
      <w:bookmarkStart w:id="88" w:name="_Toc391284271"/>
      <w:bookmarkStart w:id="89" w:name="_Toc391704573"/>
      <w:bookmarkStart w:id="90" w:name="_Toc391704863"/>
      <w:bookmarkStart w:id="91" w:name="_Toc397315941"/>
      <w:r>
        <w:rPr>
          <w:rStyle w:val="CharSectno"/>
        </w:rPr>
        <w:t>7</w:t>
      </w:r>
      <w:r>
        <w:t xml:space="preserve">  Special revenue assistan</w:t>
      </w:r>
      <w:r>
        <w:t>ce grants</w:t>
      </w:r>
      <w:bookmarkEnd w:id="84"/>
      <w:bookmarkEnd w:id="87"/>
      <w:bookmarkEnd w:id="88"/>
      <w:bookmarkEnd w:id="89"/>
      <w:bookmarkEnd w:id="90"/>
      <w:bookmarkEnd w:id="91"/>
    </w:p>
    <w:p w:rsidR="00000000" w:rsidRDefault="00B852F0">
      <w:pPr>
        <w:pStyle w:val="subsection"/>
      </w:pPr>
      <w:r>
        <w:tab/>
      </w:r>
      <w:r>
        <w:tab/>
        <w:t xml:space="preserve">For the purposes of section 12, the </w:t>
      </w:r>
      <w:r>
        <w:rPr>
          <w:b/>
          <w:bCs/>
          <w:i/>
          <w:iCs/>
        </w:rPr>
        <w:t>base amount</w:t>
      </w:r>
      <w:r>
        <w:t xml:space="preserve"> is the amount set out opposite the name of the State in the following table:</w:t>
      </w:r>
    </w:p>
    <w:p w:rsidR="00000000" w:rsidRDefault="00B852F0">
      <w:pPr>
        <w:pStyle w:val="Table"/>
      </w:pPr>
    </w:p>
    <w:tbl>
      <w:tblPr>
        <w:tblW w:w="0" w:type="auto"/>
        <w:tblInd w:w="1242" w:type="dxa"/>
        <w:tblLayout w:type="fixed"/>
        <w:tblLook w:val="0000" w:firstRow="0" w:lastRow="0" w:firstColumn="0" w:lastColumn="0" w:noHBand="0" w:noVBand="0"/>
      </w:tblPr>
      <w:tblGrid>
        <w:gridCol w:w="3261"/>
        <w:gridCol w:w="1559"/>
      </w:tblGrid>
      <w:tr w:rsidR="00000000">
        <w:tblPrEx>
          <w:tblCellMar>
            <w:top w:w="0" w:type="dxa"/>
            <w:bottom w:w="0" w:type="dxa"/>
          </w:tblCellMar>
        </w:tblPrEx>
        <w:trPr>
          <w:cantSplit/>
          <w:tblHeader/>
        </w:trPr>
        <w:tc>
          <w:tcPr>
            <w:tcW w:w="3261" w:type="dxa"/>
            <w:tcBorders>
              <w:top w:val="single" w:sz="12" w:space="0" w:color="000000"/>
              <w:left w:val="nil"/>
              <w:bottom w:val="single" w:sz="6" w:space="0" w:color="000000"/>
              <w:right w:val="nil"/>
            </w:tcBorders>
          </w:tcPr>
          <w:p w:rsidR="00000000" w:rsidRDefault="00B852F0">
            <w:pPr>
              <w:pStyle w:val="Table"/>
              <w:rPr>
                <w:b/>
                <w:bCs/>
              </w:rPr>
            </w:pPr>
            <w:r>
              <w:rPr>
                <w:b/>
                <w:bCs/>
              </w:rPr>
              <w:t>Special revenue assistance grants</w:t>
            </w:r>
          </w:p>
        </w:tc>
        <w:tc>
          <w:tcPr>
            <w:tcW w:w="1559" w:type="dxa"/>
            <w:tcBorders>
              <w:top w:val="single" w:sz="12" w:space="0" w:color="000000"/>
              <w:left w:val="nil"/>
              <w:bottom w:val="single" w:sz="6" w:space="0" w:color="000000"/>
              <w:right w:val="nil"/>
            </w:tcBorders>
          </w:tcPr>
          <w:p w:rsidR="00000000" w:rsidRDefault="00B852F0">
            <w:pPr>
              <w:pStyle w:val="Table"/>
              <w:rPr>
                <w:b/>
                <w:bCs/>
              </w:rPr>
            </w:pPr>
          </w:p>
        </w:tc>
      </w:tr>
      <w:tr w:rsidR="00000000">
        <w:tblPrEx>
          <w:tblCellMar>
            <w:top w:w="0" w:type="dxa"/>
            <w:bottom w:w="0" w:type="dxa"/>
          </w:tblCellMar>
        </w:tblPrEx>
        <w:trPr>
          <w:cantSplit/>
          <w:tblHeader/>
        </w:trPr>
        <w:tc>
          <w:tcPr>
            <w:tcW w:w="3261" w:type="dxa"/>
            <w:tcBorders>
              <w:top w:val="nil"/>
              <w:left w:val="nil"/>
              <w:bottom w:val="single" w:sz="12" w:space="0" w:color="000000"/>
              <w:right w:val="nil"/>
            </w:tcBorders>
          </w:tcPr>
          <w:p w:rsidR="00000000" w:rsidRDefault="00B852F0">
            <w:pPr>
              <w:pStyle w:val="Table"/>
              <w:rPr>
                <w:b/>
                <w:bCs/>
              </w:rPr>
            </w:pPr>
            <w:r>
              <w:rPr>
                <w:b/>
                <w:bCs/>
              </w:rPr>
              <w:t>Stat</w:t>
            </w:r>
            <w:r>
              <w:rPr>
                <w:b/>
                <w:bCs/>
              </w:rPr>
              <w:t>e</w:t>
            </w:r>
          </w:p>
        </w:tc>
        <w:tc>
          <w:tcPr>
            <w:tcW w:w="1559" w:type="dxa"/>
            <w:tcBorders>
              <w:top w:val="nil"/>
              <w:left w:val="nil"/>
              <w:bottom w:val="single" w:sz="12" w:space="0" w:color="000000"/>
              <w:right w:val="nil"/>
            </w:tcBorders>
          </w:tcPr>
          <w:p w:rsidR="00000000" w:rsidRDefault="00B852F0">
            <w:pPr>
              <w:pStyle w:val="Table"/>
              <w:rPr>
                <w:b/>
                <w:bCs/>
              </w:rPr>
            </w:pPr>
            <w:r>
              <w:rPr>
                <w:b/>
                <w:bCs/>
              </w:rPr>
              <w:t>Base amount $</w:t>
            </w:r>
          </w:p>
        </w:tc>
      </w:tr>
      <w:tr w:rsidR="00000000">
        <w:tblPrEx>
          <w:tblCellMar>
            <w:top w:w="0" w:type="dxa"/>
            <w:bottom w:w="0" w:type="dxa"/>
          </w:tblCellMar>
        </w:tblPrEx>
        <w:trPr>
          <w:cantSplit/>
        </w:trPr>
        <w:tc>
          <w:tcPr>
            <w:tcW w:w="3261" w:type="dxa"/>
            <w:tcBorders>
              <w:top w:val="single" w:sz="6" w:space="0" w:color="000000"/>
              <w:left w:val="nil"/>
              <w:bottom w:val="nil"/>
              <w:right w:val="nil"/>
            </w:tcBorders>
          </w:tcPr>
          <w:p w:rsidR="00000000" w:rsidRDefault="00B852F0">
            <w:pPr>
              <w:pStyle w:val="Table"/>
            </w:pPr>
            <w:r>
              <w:t>New South Wales</w:t>
            </w:r>
          </w:p>
        </w:tc>
        <w:tc>
          <w:tcPr>
            <w:tcW w:w="1559" w:type="dxa"/>
            <w:tcBorders>
              <w:top w:val="single" w:sz="6" w:space="0" w:color="000000"/>
              <w:left w:val="nil"/>
              <w:bottom w:val="nil"/>
              <w:right w:val="nil"/>
            </w:tcBorders>
          </w:tcPr>
          <w:p w:rsidR="00000000" w:rsidRDefault="00B852F0">
            <w:pPr>
              <w:pStyle w:val="Table"/>
            </w:pPr>
            <w:r>
              <w:t>188,096,897</w:t>
            </w:r>
          </w:p>
        </w:tc>
      </w:tr>
      <w:tr w:rsidR="00000000">
        <w:tblPrEx>
          <w:tblCellMar>
            <w:top w:w="0" w:type="dxa"/>
            <w:bottom w:w="0" w:type="dxa"/>
          </w:tblCellMar>
        </w:tblPrEx>
        <w:trPr>
          <w:cantSplit/>
        </w:trPr>
        <w:tc>
          <w:tcPr>
            <w:tcW w:w="3261" w:type="dxa"/>
            <w:tcBorders>
              <w:top w:val="dotted" w:sz="6" w:space="0" w:color="000000"/>
              <w:left w:val="nil"/>
              <w:bottom w:val="dotted" w:sz="6" w:space="0" w:color="000000"/>
              <w:right w:val="nil"/>
            </w:tcBorders>
          </w:tcPr>
          <w:p w:rsidR="00000000" w:rsidRDefault="00B852F0">
            <w:pPr>
              <w:pStyle w:val="Table"/>
            </w:pPr>
            <w:r>
              <w:t>Victoria</w:t>
            </w:r>
          </w:p>
        </w:tc>
        <w:tc>
          <w:tcPr>
            <w:tcW w:w="1559" w:type="dxa"/>
            <w:tcBorders>
              <w:top w:val="dotted" w:sz="6" w:space="0" w:color="000000"/>
              <w:left w:val="nil"/>
              <w:bottom w:val="dotted" w:sz="6" w:space="0" w:color="000000"/>
              <w:right w:val="nil"/>
            </w:tcBorders>
          </w:tcPr>
          <w:p w:rsidR="00000000" w:rsidRDefault="00B852F0">
            <w:pPr>
              <w:pStyle w:val="Table"/>
            </w:pPr>
            <w:r>
              <w:t>239,658,821</w:t>
            </w:r>
          </w:p>
        </w:tc>
      </w:tr>
      <w:tr w:rsidR="00000000">
        <w:tblPrEx>
          <w:tblCellMar>
            <w:top w:w="0" w:type="dxa"/>
            <w:bottom w:w="0" w:type="dxa"/>
          </w:tblCellMar>
        </w:tblPrEx>
        <w:trPr>
          <w:cantSplit/>
        </w:trPr>
        <w:tc>
          <w:tcPr>
            <w:tcW w:w="3261" w:type="dxa"/>
            <w:tcBorders>
              <w:top w:val="dotted" w:sz="6" w:space="0" w:color="000000"/>
              <w:left w:val="nil"/>
              <w:bottom w:val="dotted" w:sz="6" w:space="0" w:color="000000"/>
              <w:right w:val="nil"/>
            </w:tcBorders>
          </w:tcPr>
          <w:p w:rsidR="00000000" w:rsidRDefault="00B852F0">
            <w:pPr>
              <w:pStyle w:val="Table"/>
            </w:pPr>
            <w:r>
              <w:t>Queensland</w:t>
            </w:r>
          </w:p>
        </w:tc>
        <w:tc>
          <w:tcPr>
            <w:tcW w:w="1559" w:type="dxa"/>
            <w:tcBorders>
              <w:top w:val="dotted" w:sz="6" w:space="0" w:color="000000"/>
              <w:left w:val="nil"/>
              <w:bottom w:val="dotted" w:sz="6" w:space="0" w:color="000000"/>
              <w:right w:val="nil"/>
            </w:tcBorders>
          </w:tcPr>
          <w:p w:rsidR="00000000" w:rsidRDefault="00B852F0">
            <w:pPr>
              <w:pStyle w:val="Table"/>
            </w:pPr>
            <w:r>
              <w:t>Nil</w:t>
            </w:r>
          </w:p>
        </w:tc>
      </w:tr>
      <w:tr w:rsidR="00000000">
        <w:tblPrEx>
          <w:tblCellMar>
            <w:top w:w="0" w:type="dxa"/>
            <w:bottom w:w="0" w:type="dxa"/>
          </w:tblCellMar>
        </w:tblPrEx>
        <w:trPr>
          <w:cantSplit/>
        </w:trPr>
        <w:tc>
          <w:tcPr>
            <w:tcW w:w="3261" w:type="dxa"/>
            <w:tcBorders>
              <w:top w:val="dotted" w:sz="6" w:space="0" w:color="000000"/>
              <w:left w:val="nil"/>
              <w:bottom w:val="dotted" w:sz="6" w:space="0" w:color="000000"/>
              <w:right w:val="nil"/>
            </w:tcBorders>
          </w:tcPr>
          <w:p w:rsidR="00000000" w:rsidRDefault="00B852F0">
            <w:pPr>
              <w:pStyle w:val="Table"/>
            </w:pPr>
            <w:r>
              <w:t>Western Australia</w:t>
            </w:r>
          </w:p>
        </w:tc>
        <w:tc>
          <w:tcPr>
            <w:tcW w:w="1559" w:type="dxa"/>
            <w:tcBorders>
              <w:top w:val="dotted" w:sz="6" w:space="0" w:color="000000"/>
              <w:left w:val="nil"/>
              <w:bottom w:val="dotted" w:sz="6" w:space="0" w:color="000000"/>
              <w:right w:val="nil"/>
            </w:tcBorders>
          </w:tcPr>
          <w:p w:rsidR="00000000" w:rsidRDefault="00B852F0">
            <w:pPr>
              <w:pStyle w:val="Table"/>
            </w:pPr>
            <w:r>
              <w:t>Nil</w:t>
            </w:r>
          </w:p>
        </w:tc>
      </w:tr>
      <w:tr w:rsidR="00000000">
        <w:tblPrEx>
          <w:tblCellMar>
            <w:top w:w="0" w:type="dxa"/>
            <w:bottom w:w="0" w:type="dxa"/>
          </w:tblCellMar>
        </w:tblPrEx>
        <w:trPr>
          <w:cantSplit/>
        </w:trPr>
        <w:tc>
          <w:tcPr>
            <w:tcW w:w="3261" w:type="dxa"/>
            <w:tcBorders>
              <w:top w:val="dotted" w:sz="6" w:space="0" w:color="000000"/>
              <w:left w:val="nil"/>
              <w:bottom w:val="dotted" w:sz="6" w:space="0" w:color="000000"/>
              <w:right w:val="nil"/>
            </w:tcBorders>
          </w:tcPr>
          <w:p w:rsidR="00000000" w:rsidRDefault="00B852F0">
            <w:pPr>
              <w:pStyle w:val="Table"/>
            </w:pPr>
            <w:r>
              <w:lastRenderedPageBreak/>
              <w:t>South Australia</w:t>
            </w:r>
          </w:p>
        </w:tc>
        <w:tc>
          <w:tcPr>
            <w:tcW w:w="1559" w:type="dxa"/>
            <w:tcBorders>
              <w:top w:val="dotted" w:sz="6" w:space="0" w:color="000000"/>
              <w:left w:val="nil"/>
              <w:bottom w:val="dotted" w:sz="6" w:space="0" w:color="000000"/>
              <w:right w:val="nil"/>
            </w:tcBorders>
          </w:tcPr>
          <w:p w:rsidR="00000000" w:rsidRDefault="00B852F0">
            <w:pPr>
              <w:pStyle w:val="Table"/>
            </w:pPr>
            <w:r>
              <w:t>Nil</w:t>
            </w:r>
          </w:p>
        </w:tc>
      </w:tr>
      <w:tr w:rsidR="00000000">
        <w:tblPrEx>
          <w:tblCellMar>
            <w:top w:w="0" w:type="dxa"/>
            <w:bottom w:w="0" w:type="dxa"/>
          </w:tblCellMar>
        </w:tblPrEx>
        <w:trPr>
          <w:cantSplit/>
        </w:trPr>
        <w:tc>
          <w:tcPr>
            <w:tcW w:w="3261" w:type="dxa"/>
            <w:tcBorders>
              <w:top w:val="dotted" w:sz="6" w:space="0" w:color="000000"/>
              <w:left w:val="nil"/>
              <w:bottom w:val="dotted" w:sz="6" w:space="0" w:color="000000"/>
              <w:right w:val="nil"/>
            </w:tcBorders>
          </w:tcPr>
          <w:p w:rsidR="00000000" w:rsidRDefault="00B852F0">
            <w:pPr>
              <w:pStyle w:val="Table"/>
            </w:pPr>
            <w:r>
              <w:t>Tasmania</w:t>
            </w:r>
          </w:p>
        </w:tc>
        <w:tc>
          <w:tcPr>
            <w:tcW w:w="1559" w:type="dxa"/>
            <w:tcBorders>
              <w:top w:val="dotted" w:sz="6" w:space="0" w:color="000000"/>
              <w:left w:val="nil"/>
              <w:bottom w:val="dotted" w:sz="6" w:space="0" w:color="000000"/>
              <w:right w:val="nil"/>
            </w:tcBorders>
          </w:tcPr>
          <w:p w:rsidR="00000000" w:rsidRDefault="00B852F0">
            <w:pPr>
              <w:pStyle w:val="Table"/>
            </w:pPr>
            <w:r>
              <w:t>Nil</w:t>
            </w:r>
          </w:p>
        </w:tc>
      </w:tr>
      <w:tr w:rsidR="00000000">
        <w:tblPrEx>
          <w:tblCellMar>
            <w:top w:w="0" w:type="dxa"/>
            <w:bottom w:w="0" w:type="dxa"/>
          </w:tblCellMar>
        </w:tblPrEx>
        <w:trPr>
          <w:cantSplit/>
        </w:trPr>
        <w:tc>
          <w:tcPr>
            <w:tcW w:w="3261" w:type="dxa"/>
            <w:tcBorders>
              <w:top w:val="dotted" w:sz="6" w:space="0" w:color="000000"/>
              <w:left w:val="nil"/>
              <w:bottom w:val="dotted" w:sz="6" w:space="0" w:color="000000"/>
              <w:right w:val="nil"/>
            </w:tcBorders>
          </w:tcPr>
          <w:p w:rsidR="00000000" w:rsidRDefault="00B852F0">
            <w:pPr>
              <w:pStyle w:val="Table"/>
            </w:pPr>
            <w:r>
              <w:t>Australian Capital Territory</w:t>
            </w:r>
          </w:p>
        </w:tc>
        <w:tc>
          <w:tcPr>
            <w:tcW w:w="1559" w:type="dxa"/>
            <w:tcBorders>
              <w:top w:val="dotted" w:sz="6" w:space="0" w:color="000000"/>
              <w:left w:val="nil"/>
              <w:bottom w:val="dotted" w:sz="6" w:space="0" w:color="000000"/>
              <w:right w:val="nil"/>
            </w:tcBorders>
          </w:tcPr>
          <w:p w:rsidR="00000000" w:rsidRDefault="00B852F0">
            <w:pPr>
              <w:pStyle w:val="Table"/>
            </w:pPr>
            <w:r>
              <w:t>Nil</w:t>
            </w:r>
          </w:p>
        </w:tc>
      </w:tr>
      <w:tr w:rsidR="00000000">
        <w:tblPrEx>
          <w:tblCellMar>
            <w:top w:w="0" w:type="dxa"/>
            <w:bottom w:w="0" w:type="dxa"/>
          </w:tblCellMar>
        </w:tblPrEx>
        <w:trPr>
          <w:cantSplit/>
        </w:trPr>
        <w:tc>
          <w:tcPr>
            <w:tcW w:w="3261" w:type="dxa"/>
            <w:tcBorders>
              <w:top w:val="dotted" w:sz="6" w:space="0" w:color="000000"/>
              <w:left w:val="nil"/>
              <w:bottom w:val="single" w:sz="12" w:space="0" w:color="000000"/>
              <w:right w:val="nil"/>
            </w:tcBorders>
          </w:tcPr>
          <w:p w:rsidR="00000000" w:rsidRDefault="00B852F0">
            <w:pPr>
              <w:pStyle w:val="Table"/>
            </w:pPr>
            <w:r>
              <w:t>Northern Territory</w:t>
            </w:r>
          </w:p>
        </w:tc>
        <w:tc>
          <w:tcPr>
            <w:tcW w:w="1559" w:type="dxa"/>
            <w:tcBorders>
              <w:top w:val="dotted" w:sz="6" w:space="0" w:color="000000"/>
              <w:left w:val="nil"/>
              <w:bottom w:val="single" w:sz="12" w:space="0" w:color="000000"/>
              <w:right w:val="nil"/>
            </w:tcBorders>
          </w:tcPr>
          <w:p w:rsidR="00000000" w:rsidRDefault="00B852F0">
            <w:pPr>
              <w:pStyle w:val="Table"/>
            </w:pPr>
            <w:r>
              <w:t>Nil</w:t>
            </w:r>
          </w:p>
        </w:tc>
      </w:tr>
    </w:tbl>
    <w:p w:rsidR="00000000" w:rsidRDefault="00B852F0">
      <w:pPr>
        <w:pStyle w:val="Heading5"/>
      </w:pPr>
      <w:bookmarkStart w:id="92" w:name="_Toc388332422"/>
      <w:bookmarkStart w:id="93" w:name="_Toc390159116"/>
      <w:bookmarkStart w:id="94" w:name="_Toc391284272"/>
      <w:bookmarkStart w:id="95" w:name="_Toc391704574"/>
      <w:bookmarkStart w:id="96" w:name="_Toc391704864"/>
      <w:bookmarkStart w:id="97" w:name="_Toc397315942"/>
      <w:r>
        <w:rPr>
          <w:rStyle w:val="CharSectno"/>
        </w:rPr>
        <w:t>8</w:t>
      </w:r>
      <w:r>
        <w:t xml:space="preserve">  Competition payments</w:t>
      </w:r>
      <w:bookmarkEnd w:id="92"/>
      <w:bookmarkEnd w:id="93"/>
      <w:bookmarkEnd w:id="94"/>
      <w:bookmarkEnd w:id="95"/>
      <w:bookmarkEnd w:id="96"/>
      <w:bookmarkEnd w:id="97"/>
    </w:p>
    <w:p w:rsidR="00000000" w:rsidRDefault="00B852F0">
      <w:pPr>
        <w:pStyle w:val="subsection"/>
      </w:pPr>
      <w:r>
        <w:tab/>
      </w:r>
      <w:r>
        <w:tab/>
        <w:t>For the purposes of section 12A, the maximum amount that may be paid to a State is the amount worked out by using the formula:</w:t>
      </w:r>
    </w:p>
    <w:p w:rsidR="00000000" w:rsidRDefault="00B852F0">
      <w:pPr>
        <w:pStyle w:val="Formula"/>
      </w:pPr>
      <w:r>
        <w:rPr>
          <w:position w:val="-38"/>
        </w:rPr>
        <w:object w:dxaOrig="1440" w:dyaOrig="859">
          <v:shape id="_x0000_i1028" type="#_x0000_t75" style="width:1in;height:42.75pt" o:ole="">
            <v:imagedata r:id="rId27" o:title=""/>
          </v:shape>
          <o:OLEObject Type="Embed" ProgID="Word.Picture.8" ShapeID="_x0000_i1028" DrawAspect="Content" ObjectID="_1629029803" r:id="rId28"/>
        </w:object>
      </w:r>
    </w:p>
    <w:p w:rsidR="00000000" w:rsidRDefault="00B852F0">
      <w:pPr>
        <w:pStyle w:val="subsection2"/>
      </w:pPr>
      <w:r>
        <w:t>where:</w:t>
      </w:r>
    </w:p>
    <w:p w:rsidR="00000000" w:rsidRDefault="00B852F0">
      <w:pPr>
        <w:pStyle w:val="Definition"/>
      </w:pPr>
      <w:r>
        <w:rPr>
          <w:b/>
          <w:bCs/>
          <w:i/>
          <w:iCs/>
        </w:rPr>
        <w:t>BA</w:t>
      </w:r>
      <w:r>
        <w:t xml:space="preserve"> (base amount) means $213,359,964.</w:t>
      </w:r>
    </w:p>
    <w:p w:rsidR="00000000" w:rsidRDefault="00B852F0">
      <w:pPr>
        <w:pStyle w:val="Definition"/>
      </w:pPr>
      <w:r>
        <w:rPr>
          <w:b/>
          <w:bCs/>
          <w:i/>
          <w:iCs/>
        </w:rPr>
        <w:t>IF</w:t>
      </w:r>
      <w:r>
        <w:t xml:space="preserve"> (index factor) means the index factor for the grant year.</w:t>
      </w:r>
    </w:p>
    <w:p w:rsidR="00000000" w:rsidRDefault="00B852F0">
      <w:pPr>
        <w:pStyle w:val="Definition"/>
      </w:pPr>
      <w:r>
        <w:rPr>
          <w:b/>
          <w:bCs/>
          <w:i/>
          <w:iCs/>
        </w:rPr>
        <w:t>SP</w:t>
      </w:r>
      <w:r>
        <w:t xml:space="preserve"> (state population) means the estimated population of the State on 31 December 1997.</w:t>
      </w:r>
    </w:p>
    <w:p w:rsidR="00000000" w:rsidRDefault="00B852F0">
      <w:pPr>
        <w:pStyle w:val="Definition"/>
      </w:pPr>
      <w:r>
        <w:rPr>
          <w:b/>
          <w:bCs/>
          <w:i/>
          <w:iCs/>
        </w:rPr>
        <w:t>TP</w:t>
      </w:r>
      <w:r>
        <w:t xml:space="preserve"> (total population) means the sum of the estimated populations of all the States on 31 December 1997.</w:t>
      </w:r>
    </w:p>
    <w:p w:rsidR="00000000" w:rsidRDefault="00B852F0">
      <w:pPr>
        <w:pStyle w:val="Heading5"/>
      </w:pPr>
      <w:bookmarkStart w:id="98" w:name="_Toc388332423"/>
      <w:bookmarkStart w:id="99" w:name="_Toc390159117"/>
      <w:bookmarkStart w:id="100" w:name="_Toc391284273"/>
      <w:bookmarkStart w:id="101" w:name="_Toc391704575"/>
      <w:bookmarkStart w:id="102" w:name="_Toc391704865"/>
      <w:bookmarkStart w:id="103" w:name="_Toc397315943"/>
      <w:r>
        <w:rPr>
          <w:rStyle w:val="CharSectno"/>
        </w:rPr>
        <w:t>9</w:t>
      </w:r>
      <w:r>
        <w:t xml:space="preserve">  State fiscal contribution</w:t>
      </w:r>
      <w:bookmarkEnd w:id="98"/>
      <w:bookmarkEnd w:id="99"/>
      <w:bookmarkEnd w:id="100"/>
      <w:bookmarkEnd w:id="101"/>
      <w:bookmarkEnd w:id="102"/>
      <w:bookmarkEnd w:id="103"/>
    </w:p>
    <w:p w:rsidR="00000000" w:rsidRDefault="00B852F0">
      <w:pPr>
        <w:pStyle w:val="subsection"/>
      </w:pPr>
      <w:r>
        <w:tab/>
        <w:t>(1)</w:t>
      </w:r>
      <w:r>
        <w:tab/>
        <w:t>For the purposes of section 15B, the amount of fiscal contribution payable by a State is as follows:</w:t>
      </w:r>
    </w:p>
    <w:p w:rsidR="00000000" w:rsidRDefault="00B852F0">
      <w:pPr>
        <w:pStyle w:val="indenta"/>
      </w:pPr>
      <w:r>
        <w:tab/>
        <w:t>(a)</w:t>
      </w:r>
      <w:r>
        <w:tab/>
        <w:t>for a State other than Tasmania or the Australian Capital Territory—the amount worked out by using the formula:</w:t>
      </w:r>
    </w:p>
    <w:p w:rsidR="00000000" w:rsidRDefault="00B852F0">
      <w:pPr>
        <w:pStyle w:val="Formula"/>
        <w:ind w:left="1701" w:hanging="567"/>
      </w:pPr>
      <w:r>
        <w:tab/>
      </w:r>
      <w:r>
        <w:rPr>
          <w:position w:val="-38"/>
        </w:rPr>
        <w:object w:dxaOrig="960" w:dyaOrig="859">
          <v:shape id="_x0000_i1029" type="#_x0000_t75" style="width:48pt;height:42.75pt" o:ole="">
            <v:imagedata r:id="rId29" o:title=""/>
          </v:shape>
          <o:OLEObject Type="Embed" ProgID="Word.Picture.8" ShapeID="_x0000_i1029" DrawAspect="Content" ObjectID="_1629029804" r:id="rId30"/>
        </w:object>
      </w:r>
    </w:p>
    <w:p w:rsidR="00000000" w:rsidRDefault="00B852F0">
      <w:pPr>
        <w:pStyle w:val="indenta"/>
      </w:pPr>
      <w:r>
        <w:tab/>
        <w:t>(b)</w:t>
      </w:r>
      <w:r>
        <w:tab/>
        <w:t>for Tasmania or the Australian Capital Territory—the amount worked out by using the formula:</w:t>
      </w:r>
    </w:p>
    <w:p w:rsidR="00000000" w:rsidRDefault="00B852F0">
      <w:pPr>
        <w:pStyle w:val="Formula"/>
        <w:ind w:left="1701" w:hanging="567"/>
      </w:pPr>
      <w:r>
        <w:lastRenderedPageBreak/>
        <w:tab/>
      </w:r>
      <w:r>
        <w:rPr>
          <w:position w:val="-38"/>
        </w:rPr>
        <w:object w:dxaOrig="1500" w:dyaOrig="859">
          <v:shape id="_x0000_i1030" type="#_x0000_t75" style="width:75pt;height:42.75pt" o:ole="">
            <v:imagedata r:id="rId31" o:title=""/>
          </v:shape>
          <o:OLEObject Type="Embed" ProgID="Word.Picture.8" ShapeID="_x0000_i1030" DrawAspect="Content" ObjectID="_1629029805" r:id="rId32"/>
        </w:object>
      </w:r>
    </w:p>
    <w:p w:rsidR="00000000" w:rsidRDefault="00B852F0">
      <w:pPr>
        <w:pStyle w:val="subsection"/>
      </w:pPr>
      <w:r>
        <w:tab/>
        <w:t>(2)</w:t>
      </w:r>
      <w:r>
        <w:tab/>
        <w:t>In this clause:</w:t>
      </w:r>
    </w:p>
    <w:p w:rsidR="00000000" w:rsidRDefault="00B852F0">
      <w:pPr>
        <w:pStyle w:val="Definition"/>
      </w:pPr>
      <w:r>
        <w:rPr>
          <w:b/>
          <w:bCs/>
          <w:i/>
          <w:iCs/>
        </w:rPr>
        <w:t>BA</w:t>
      </w:r>
      <w:r>
        <w:t xml:space="preserve"> (base amount) means $640,000,000.</w:t>
      </w:r>
    </w:p>
    <w:p w:rsidR="00000000" w:rsidRDefault="00B852F0">
      <w:pPr>
        <w:pStyle w:val="Definition"/>
      </w:pPr>
      <w:r>
        <w:rPr>
          <w:b/>
          <w:bCs/>
          <w:i/>
          <w:iCs/>
        </w:rPr>
        <w:t>SP</w:t>
      </w:r>
      <w:r>
        <w:t xml:space="preserve"> (state population) mean</w:t>
      </w:r>
      <w:r>
        <w:t>s the estimated population of the State on 31 December 1997.</w:t>
      </w:r>
    </w:p>
    <w:p w:rsidR="00000000" w:rsidRDefault="00B852F0">
      <w:pPr>
        <w:pStyle w:val="Definition"/>
      </w:pPr>
      <w:r>
        <w:rPr>
          <w:b/>
          <w:bCs/>
          <w:i/>
          <w:iCs/>
        </w:rPr>
        <w:t>TP</w:t>
      </w:r>
      <w:r>
        <w:t xml:space="preserve"> (total population) means the sum of the estimated populations of all the States on 31 December 1997.</w:t>
      </w:r>
    </w:p>
    <w:p w:rsidR="00000000" w:rsidRDefault="00B852F0"/>
    <w:p w:rsidR="00000000" w:rsidRDefault="00B852F0">
      <w:pPr>
        <w:pBdr>
          <w:top w:val="single" w:sz="6" w:space="1" w:color="auto"/>
        </w:pBdr>
      </w:pPr>
    </w:p>
    <w:p w:rsidR="00000000" w:rsidRDefault="00B852F0"/>
    <w:p w:rsidR="00000000" w:rsidRDefault="00B852F0">
      <w:pPr>
        <w:rPr>
          <w:i/>
          <w:iCs/>
        </w:rPr>
      </w:pPr>
      <w:r>
        <w:sym w:font="Symbol" w:char="F05B"/>
      </w:r>
      <w:r>
        <w:rPr>
          <w:i/>
          <w:iCs/>
        </w:rPr>
        <w:t>Minister’s second reading speech made in</w:t>
      </w:r>
      <w:r>
        <w:rPr>
          <w:i/>
          <w:iCs/>
        </w:rPr>
        <w:sym w:font="Symbol" w:char="F0BE"/>
      </w:r>
    </w:p>
    <w:p w:rsidR="00000000" w:rsidRDefault="00B852F0">
      <w:pPr>
        <w:rPr>
          <w:i/>
          <w:iCs/>
        </w:rPr>
      </w:pPr>
      <w:r>
        <w:rPr>
          <w:i/>
          <w:iCs/>
        </w:rPr>
        <w:t>House of Representatives on 26 June 1997</w:t>
      </w:r>
    </w:p>
    <w:p w:rsidR="00000000" w:rsidRDefault="00B852F0">
      <w:r>
        <w:rPr>
          <w:i/>
          <w:iCs/>
        </w:rPr>
        <w:t>Senate on 1 September 1997</w:t>
      </w:r>
      <w:r>
        <w:sym w:font="Symbol" w:char="F05D"/>
      </w:r>
    </w:p>
    <w:p w:rsidR="00000000" w:rsidRDefault="00B852F0"/>
    <w:p w:rsidR="00000000" w:rsidRDefault="00B852F0"/>
    <w:p w:rsidR="00000000" w:rsidRDefault="00B852F0"/>
    <w:p w:rsidR="00000000" w:rsidRDefault="00B852F0"/>
    <w:p w:rsidR="00000000" w:rsidRDefault="00B852F0"/>
    <w:p w:rsidR="00000000" w:rsidRDefault="00B852F0">
      <w:pPr>
        <w:framePr w:w="947" w:h="325" w:hSpace="181" w:wrap="notBeside" w:vAnchor="page" w:hAnchor="margin" w:y="11341"/>
      </w:pPr>
      <w:r>
        <w:t>(101/97)</w:t>
      </w:r>
    </w:p>
    <w:p w:rsidR="00000000" w:rsidRDefault="00B852F0"/>
    <w:sectPr w:rsidR="00000000">
      <w:headerReference w:type="even" r:id="rId33"/>
      <w:headerReference w:type="default" r:id="rId34"/>
      <w:footerReference w:type="even" r:id="rId35"/>
      <w:footerReference w:type="default" r:id="rId36"/>
      <w:headerReference w:type="first" r:id="rId37"/>
      <w:footerReference w:type="first" r:id="rId38"/>
      <w:pgSz w:w="11907" w:h="16840" w:code="9"/>
      <w:pgMar w:top="1531" w:right="2410" w:bottom="3544" w:left="2410" w:header="720" w:footer="411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2F0">
      <w:pPr>
        <w:spacing w:line="240" w:lineRule="auto"/>
      </w:pPr>
      <w:r>
        <w:separator/>
      </w:r>
    </w:p>
  </w:endnote>
  <w:endnote w:type="continuationSeparator" w:id="0">
    <w:p w:rsidR="00000000" w:rsidRDefault="00B85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Footer"/>
      <w:pBdr>
        <w:top w:val="single" w:sz="6" w:space="1" w:color="auto"/>
      </w:pBdr>
      <w:ind w:right="-1" w:firstLine="360"/>
      <w:rPr>
        <w:i/>
        <w:iCs/>
        <w:sz w:val="18"/>
        <w:szCs w:val="18"/>
      </w:rPr>
    </w:pPr>
  </w:p>
  <w:p w:rsidR="00000000" w:rsidRDefault="00B852F0">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States Grants (General Purposes)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131,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16</w:t>
    </w:r>
    <w:r>
      <w:rPr>
        <w:i/>
        <w:iCs/>
        <w:sz w:val="18"/>
        <w:szCs w:val="18"/>
      </w:rPr>
      <w:fldChar w:fldCharType="end"/>
    </w:r>
  </w:p>
  <w:p w:rsidR="00000000" w:rsidRDefault="00B852F0">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Scale:COMACT:131/97:Act 131/97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3/9/19 3:28 PM</w:t>
    </w:r>
    <w:r>
      <w:rPr>
        <w:i/>
        <w:iCs/>
        <w:sz w:val="18"/>
        <w:szCs w:val="18"/>
      </w:rPr>
      <w:fldChar w:fldCharType="end"/>
    </w:r>
  </w:p>
  <w:p w:rsidR="00000000" w:rsidRDefault="00B852F0">
    <w:pPr>
      <w:pStyle w:val="Footer"/>
      <w:rPr>
        <w:i/>
        <w:i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Footer"/>
      <w:pBdr>
        <w:top w:val="single" w:sz="6" w:space="1" w:color="auto"/>
      </w:pBdr>
      <w:ind w:right="-1" w:firstLine="360"/>
      <w:jc w:val="right"/>
      <w:rPr>
        <w:i/>
        <w:iCs/>
        <w:sz w:val="18"/>
        <w:szCs w:val="18"/>
      </w:rPr>
    </w:pPr>
  </w:p>
  <w:p w:rsidR="00000000" w:rsidRDefault="00B852F0">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States Gran</w:t>
    </w:r>
    <w:r>
      <w:rPr>
        <w:i/>
        <w:iCs/>
        <w:sz w:val="18"/>
        <w:szCs w:val="18"/>
      </w:rPr>
      <w:t>ts (General Purposes)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131, 1997</w:t>
    </w:r>
    <w:r>
      <w:rPr>
        <w:i/>
        <w:iCs/>
        <w:sz w:val="18"/>
        <w:szCs w:val="18"/>
      </w:rPr>
      <w:fldChar w:fldCharType="end"/>
    </w:r>
    <w:r>
      <w:rPr>
        <w:i/>
        <w:iCs/>
        <w:sz w:val="18"/>
        <w:szCs w:val="18"/>
      </w:rPr>
      <w:t xml:space="preserve">     </w:t>
    </w:r>
  </w:p>
  <w:p w:rsidR="00000000" w:rsidRDefault="00B852F0">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Scale:COMACT:131/97:Act 131/97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3/9/19 3:28 PM</w:t>
    </w:r>
    <w:r>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Footer"/>
      <w:pBdr>
        <w:top w:val="single" w:sz="6" w:space="1" w:color="auto"/>
      </w:pBdr>
      <w:ind w:right="-1" w:firstLine="360"/>
      <w:rPr>
        <w:i/>
        <w:iCs/>
        <w:sz w:val="18"/>
        <w:szCs w:val="18"/>
      </w:rPr>
    </w:pPr>
  </w:p>
  <w:p w:rsidR="00000000" w:rsidRDefault="00B852F0">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States Grants (General Purposes)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131,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16</w:t>
    </w:r>
    <w:r>
      <w:rPr>
        <w:i/>
        <w:iCs/>
        <w:sz w:val="18"/>
        <w:szCs w:val="18"/>
      </w:rPr>
      <w:fldChar w:fldCharType="end"/>
    </w:r>
  </w:p>
  <w:p w:rsidR="00000000" w:rsidRDefault="00B852F0">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Scale:COMACT:131/97:Act 131/97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3/9/19 3:28 PM</w:t>
    </w:r>
    <w:r>
      <w:rPr>
        <w:i/>
        <w:iCs/>
        <w:sz w:val="18"/>
        <w:szCs w:val="18"/>
      </w:rPr>
      <w:fldChar w:fldCharType="end"/>
    </w:r>
  </w:p>
  <w:p w:rsidR="00000000" w:rsidRDefault="00B852F0">
    <w:pPr>
      <w:pStyle w:val="Footer"/>
      <w:rPr>
        <w:i/>
        <w:iCs/>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Footer"/>
      <w:pBdr>
        <w:top w:val="single" w:sz="6" w:space="1" w:color="auto"/>
      </w:pBdr>
      <w:ind w:right="-1" w:firstLine="360"/>
      <w:jc w:val="right"/>
      <w:rPr>
        <w:i/>
        <w:iCs/>
        <w:sz w:val="18"/>
        <w:szCs w:val="18"/>
      </w:rPr>
    </w:pPr>
  </w:p>
  <w:p w:rsidR="00000000" w:rsidRDefault="00B852F0">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States Grants (General Purposes)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131, 1997</w:t>
    </w:r>
    <w:r>
      <w:rPr>
        <w:i/>
        <w:iCs/>
        <w:sz w:val="18"/>
        <w:szCs w:val="18"/>
      </w:rPr>
      <w:fldChar w:fldCharType="end"/>
    </w:r>
    <w:r>
      <w:rPr>
        <w:i/>
        <w:iCs/>
        <w:sz w:val="18"/>
        <w:szCs w:val="18"/>
      </w:rPr>
      <w:t xml:space="preserve">     </w:t>
    </w:r>
  </w:p>
  <w:p w:rsidR="00000000" w:rsidRDefault="00B852F0">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Scale:COMACT:131/97:Act 131/97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3/9/19 3:28 PM</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Footer"/>
      <w:pBdr>
        <w:top w:val="single" w:sz="6" w:space="1" w:color="auto"/>
      </w:pBdr>
      <w:ind w:right="-1" w:firstLine="360"/>
      <w:rPr>
        <w:i/>
        <w:iCs/>
        <w:sz w:val="18"/>
        <w:szCs w:val="18"/>
      </w:rPr>
    </w:pPr>
  </w:p>
  <w:p w:rsidR="00000000" w:rsidRDefault="00B852F0">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States Grants (General Purposes)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131,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16</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Footer"/>
      <w:pBdr>
        <w:top w:val="single" w:sz="6" w:space="1" w:color="auto"/>
      </w:pBdr>
      <w:ind w:right="-1" w:firstLine="360"/>
      <w:jc w:val="right"/>
      <w:rPr>
        <w:i/>
        <w:iCs/>
        <w:sz w:val="18"/>
        <w:szCs w:val="18"/>
      </w:rPr>
    </w:pPr>
  </w:p>
  <w:p w:rsidR="00000000" w:rsidRDefault="00B852F0">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States Grants (General Purposes)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131, 1997</w:t>
    </w:r>
    <w:r>
      <w:rPr>
        <w:i/>
        <w:iCs/>
        <w:sz w:val="18"/>
        <w:szCs w:val="18"/>
      </w:rPr>
      <w:fldChar w:fldCharType="end"/>
    </w:r>
    <w:r>
      <w:rPr>
        <w:i/>
        <w:iCs/>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Footer"/>
      <w:pBdr>
        <w:top w:val="single" w:sz="6" w:space="1" w:color="auto"/>
      </w:pBdr>
      <w:ind w:right="-1" w:firstLine="360"/>
      <w:jc w:val="right"/>
      <w:rPr>
        <w:i/>
        <w:iCs/>
        <w:sz w:val="18"/>
        <w:szCs w:val="18"/>
      </w:rPr>
    </w:pPr>
  </w:p>
  <w:p w:rsidR="00000000" w:rsidRDefault="00B852F0">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14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States Grants (General Purposes)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131, 1997</w:t>
    </w:r>
    <w:r>
      <w:rPr>
        <w:i/>
        <w:iCs/>
        <w:sz w:val="18"/>
        <w:szCs w:val="18"/>
      </w:rPr>
      <w:fldChar w:fldCharType="end"/>
    </w:r>
    <w:r>
      <w:rPr>
        <w:i/>
        <w:iCs/>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Footer"/>
      <w:pBdr>
        <w:top w:val="single" w:sz="6" w:space="1" w:color="auto"/>
      </w:pBdr>
      <w:ind w:right="-1" w:firstLine="360"/>
      <w:rPr>
        <w:i/>
        <w:iCs/>
        <w:sz w:val="18"/>
        <w:szCs w:val="18"/>
      </w:rPr>
    </w:pPr>
  </w:p>
  <w:p w:rsidR="00000000" w:rsidRDefault="00B852F0">
    <w:pPr>
      <w:pStyle w:val="Footer"/>
      <w:ind w:right="-1"/>
      <w:jc w:val="right"/>
      <w:rPr>
        <w:i/>
        <w:iCs/>
        <w:sz w:val="18"/>
        <w:szCs w:val="18"/>
      </w:rPr>
    </w:pP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States Grants (General Purposes)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w:instrText>
    </w:r>
    <w:r>
      <w:rPr>
        <w:i/>
        <w:iCs/>
        <w:sz w:val="18"/>
        <w:szCs w:val="18"/>
      </w:rPr>
      <w:instrText xml:space="preserve">STYLEREF Actno </w:instrText>
    </w:r>
    <w:r>
      <w:rPr>
        <w:i/>
        <w:iCs/>
        <w:sz w:val="18"/>
        <w:szCs w:val="18"/>
      </w:rPr>
      <w:fldChar w:fldCharType="separate"/>
    </w:r>
    <w:r>
      <w:rPr>
        <w:i/>
        <w:iCs/>
        <w:noProof/>
        <w:sz w:val="18"/>
        <w:szCs w:val="18"/>
      </w:rPr>
      <w:t>No. 131,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15</w:t>
    </w:r>
    <w:r>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Footer"/>
      <w:pBdr>
        <w:top w:val="single" w:sz="6" w:space="1" w:color="auto"/>
      </w:pBdr>
      <w:ind w:right="-1" w:firstLine="360"/>
      <w:rPr>
        <w:i/>
        <w:iCs/>
        <w:sz w:val="18"/>
        <w:szCs w:val="18"/>
      </w:rPr>
    </w:pPr>
  </w:p>
  <w:p w:rsidR="00000000" w:rsidRDefault="00B852F0">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States Grants (General Purposes)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131,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2F0">
      <w:pPr>
        <w:spacing w:line="240" w:lineRule="auto"/>
      </w:pPr>
      <w:r>
        <w:separator/>
      </w:r>
    </w:p>
  </w:footnote>
  <w:footnote w:type="continuationSeparator" w:id="0">
    <w:p w:rsidR="00000000" w:rsidRDefault="00B852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headerpart"/>
      <w:rPr>
        <w:b w:val="0"/>
        <w:bCs w:val="0"/>
      </w:rPr>
    </w:pPr>
  </w:p>
  <w:p w:rsidR="00000000" w:rsidRDefault="00B852F0">
    <w:pPr>
      <w:pStyle w:val="headerpart"/>
    </w:pPr>
  </w:p>
  <w:p w:rsidR="00000000" w:rsidRDefault="00B852F0">
    <w:pPr>
      <w:pStyle w:val="headerpart"/>
    </w:pPr>
  </w:p>
  <w:p w:rsidR="00000000" w:rsidRDefault="00B852F0">
    <w:pPr>
      <w:pStyle w:val="headerpart"/>
      <w:pBdr>
        <w:bottom w:val="single" w:sz="12" w:space="1" w:color="auto"/>
      </w:pBdr>
      <w:rPr>
        <w:sz w:val="24"/>
        <w:szCs w:val="24"/>
      </w:rPr>
    </w:pPr>
  </w:p>
  <w:p w:rsidR="00000000" w:rsidRDefault="00B852F0">
    <w:pP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headerpart"/>
      <w:jc w:val="right"/>
      <w:rPr>
        <w:sz w:val="24"/>
        <w:szCs w:val="24"/>
      </w:rPr>
    </w:pPr>
    <w:r>
      <w:rPr>
        <w:b w:val="0"/>
        <w:bCs w:val="0"/>
      </w:rPr>
      <w:fldChar w:fldCharType="begin"/>
    </w:r>
    <w:r>
      <w:rPr>
        <w:b w:val="0"/>
        <w:bCs w:val="0"/>
      </w:rPr>
      <w:instrText xml:space="preserve"> STYLEREF CharAmSchText </w:instrText>
    </w:r>
    <w:r>
      <w:rPr>
        <w:b w:val="0"/>
        <w:bCs w:val="0"/>
      </w:rPr>
      <w:fldChar w:fldCharType="separate"/>
    </w:r>
    <w:r>
      <w:rPr>
        <w:b w:val="0"/>
        <w:bCs w:val="0"/>
        <w:noProof/>
      </w:rPr>
      <w:t>Amendment of the States Grants (General Purposes) Act 1994</w:t>
    </w:r>
    <w:r>
      <w:rPr>
        <w:b w:val="0"/>
        <w:bCs w:val="0"/>
      </w:rPr>
      <w:fldChar w:fldCharType="end"/>
    </w:r>
    <w:r>
      <w:rPr>
        <w:b w:val="0"/>
        <w:bCs w:val="0"/>
      </w:rPr>
      <w:t xml:space="preserve">  </w:t>
    </w:r>
    <w:r>
      <w:fldChar w:fldCharType="begin"/>
    </w:r>
    <w:r>
      <w:instrText xml:space="preserve"> ST</w:instrText>
    </w:r>
    <w:r>
      <w:instrText xml:space="preserve">YLEREF CharAmSchNo </w:instrText>
    </w:r>
    <w:r>
      <w:fldChar w:fldCharType="separate"/>
    </w:r>
    <w:r>
      <w:rPr>
        <w:noProof/>
      </w:rPr>
      <w:t>Schedule 1</w:t>
    </w:r>
    <w:r>
      <w:fldChar w:fldCharType="end"/>
    </w:r>
  </w:p>
  <w:p w:rsidR="00000000" w:rsidRDefault="00B852F0">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tabs>
        <w:tab w:val="center" w:pos="368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headerpartodd"/>
      <w:ind w:left="0" w:firstLine="0"/>
      <w:jc w:val="right"/>
    </w:pPr>
  </w:p>
  <w:p w:rsidR="00000000" w:rsidRDefault="00B852F0">
    <w:pPr>
      <w:pStyle w:val="headerpartodd"/>
      <w:ind w:left="0" w:firstLine="0"/>
      <w:jc w:val="right"/>
      <w:rPr>
        <w:i/>
        <w:iCs/>
      </w:rPr>
    </w:pPr>
  </w:p>
  <w:p w:rsidR="00000000" w:rsidRDefault="00B852F0">
    <w:pPr>
      <w:pStyle w:val="headerpartodd"/>
      <w:ind w:left="0" w:firstLine="0"/>
      <w:jc w:val="right"/>
    </w:pPr>
  </w:p>
  <w:p w:rsidR="00000000" w:rsidRDefault="00B852F0">
    <w:pPr>
      <w:pStyle w:val="headerpartodd"/>
      <w:ind w:left="0" w:firstLine="0"/>
      <w:jc w:val="right"/>
    </w:pPr>
  </w:p>
  <w:p w:rsidR="00000000" w:rsidRDefault="00B852F0">
    <w:pPr>
      <w:pStyle w:val="headerpartodd"/>
      <w:pBdr>
        <w:bottom w:val="single" w:sz="12" w:space="1" w:color="auto"/>
      </w:pBdr>
      <w:ind w:left="0" w:firstLine="0"/>
      <w:jc w:val="right"/>
      <w:rPr>
        <w:i/>
        <w:iCs/>
      </w:rPr>
    </w:pPr>
  </w:p>
  <w:p w:rsidR="00000000" w:rsidRDefault="00B852F0">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tabs>
        <w:tab w:val="center"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headerpart"/>
      <w:rPr>
        <w:b w:val="0"/>
        <w:bCs w:val="0"/>
      </w:rPr>
    </w:pPr>
  </w:p>
  <w:p w:rsidR="00000000" w:rsidRDefault="00B852F0">
    <w:pPr>
      <w:pStyle w:val="headerpart"/>
    </w:pPr>
  </w:p>
  <w:p w:rsidR="00000000" w:rsidRDefault="00B852F0">
    <w:pPr>
      <w:pStyle w:val="headerpart"/>
    </w:pPr>
  </w:p>
  <w:p w:rsidR="00000000" w:rsidRDefault="00B852F0">
    <w:pPr>
      <w:pStyle w:val="headerpart"/>
      <w:pBdr>
        <w:bottom w:val="single" w:sz="12" w:space="1" w:color="auto"/>
      </w:pBdr>
      <w:rPr>
        <w:sz w:val="24"/>
        <w:szCs w:val="24"/>
      </w:rPr>
    </w:pPr>
  </w:p>
  <w:p w:rsidR="00000000" w:rsidRDefault="00B852F0">
    <w:pPr>
      <w:pBdr>
        <w:bottom w:val="single" w:sz="6"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headerpartodd"/>
      <w:ind w:left="0" w:firstLine="0"/>
      <w:jc w:val="right"/>
    </w:pPr>
  </w:p>
  <w:p w:rsidR="00000000" w:rsidRDefault="00B852F0">
    <w:pPr>
      <w:pStyle w:val="headerpartodd"/>
      <w:ind w:left="0" w:firstLine="0"/>
      <w:jc w:val="right"/>
      <w:rPr>
        <w:i/>
        <w:iCs/>
      </w:rPr>
    </w:pPr>
  </w:p>
  <w:p w:rsidR="00000000" w:rsidRDefault="00B852F0">
    <w:pPr>
      <w:pStyle w:val="headerpartodd"/>
      <w:ind w:left="0" w:firstLine="0"/>
      <w:jc w:val="right"/>
    </w:pPr>
  </w:p>
  <w:p w:rsidR="00000000" w:rsidRDefault="00B852F0">
    <w:pPr>
      <w:pStyle w:val="headerpartodd"/>
      <w:ind w:left="0" w:firstLine="0"/>
      <w:jc w:val="right"/>
    </w:pPr>
  </w:p>
  <w:p w:rsidR="00000000" w:rsidRDefault="00B852F0">
    <w:pPr>
      <w:pStyle w:val="headerpartodd"/>
      <w:pBdr>
        <w:bottom w:val="single" w:sz="12" w:space="1" w:color="auto"/>
      </w:pBdr>
      <w:ind w:left="0" w:firstLine="0"/>
      <w:jc w:val="right"/>
      <w:rPr>
        <w:i/>
        <w:iCs/>
      </w:rPr>
    </w:pPr>
  </w:p>
  <w:p w:rsidR="00000000" w:rsidRDefault="00B852F0">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tabs>
        <w:tab w:val="center" w:pos="368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headerpart"/>
      <w:rPr>
        <w:b w:val="0"/>
        <w:bCs w:val="0"/>
      </w:rPr>
    </w:pPr>
  </w:p>
  <w:p w:rsidR="00000000" w:rsidRDefault="00B852F0">
    <w:pPr>
      <w:pStyle w:val="headerpart"/>
    </w:pPr>
  </w:p>
  <w:p w:rsidR="00000000" w:rsidRDefault="00B852F0">
    <w:pPr>
      <w:pStyle w:val="headerpart"/>
    </w:pPr>
  </w:p>
  <w:p w:rsidR="00000000" w:rsidRDefault="00B852F0">
    <w:pPr>
      <w:pStyle w:val="headerpart"/>
      <w:pBdr>
        <w:bottom w:val="single" w:sz="12" w:space="1" w:color="auto"/>
      </w:pBdr>
      <w:rPr>
        <w:sz w:val="24"/>
        <w:szCs w:val="24"/>
      </w:rPr>
    </w:pPr>
  </w:p>
  <w:p w:rsidR="00000000" w:rsidRDefault="00B852F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headerpartodd"/>
      <w:ind w:left="0" w:firstLine="0"/>
    </w:pPr>
  </w:p>
  <w:p w:rsidR="00000000" w:rsidRDefault="00B852F0">
    <w:pPr>
      <w:pStyle w:val="headerpartodd"/>
      <w:ind w:left="0" w:firstLine="0"/>
      <w:rPr>
        <w:i/>
        <w:iCs/>
      </w:rPr>
    </w:pPr>
  </w:p>
  <w:p w:rsidR="00000000" w:rsidRDefault="00B852F0">
    <w:pPr>
      <w:pStyle w:val="headerpartodd"/>
      <w:ind w:left="0" w:firstLine="0"/>
    </w:pPr>
  </w:p>
  <w:p w:rsidR="00000000" w:rsidRDefault="00B852F0">
    <w:pPr>
      <w:pStyle w:val="headerpartodd"/>
      <w:ind w:left="0" w:firstLine="0"/>
    </w:pPr>
  </w:p>
  <w:p w:rsidR="00000000" w:rsidRDefault="00B852F0">
    <w:pPr>
      <w:pStyle w:val="headerpartodd"/>
      <w:pBdr>
        <w:bottom w:val="single" w:sz="12" w:space="1" w:color="auto"/>
      </w:pBdr>
      <w:ind w:left="0" w:firstLine="0"/>
      <w:jc w:val="right"/>
      <w:rPr>
        <w:i/>
        <w:iCs/>
      </w:rPr>
    </w:pPr>
  </w:p>
  <w:p w:rsidR="00000000" w:rsidRDefault="00B852F0">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F0">
    <w:pPr>
      <w:pStyle w:val="headerpart"/>
      <w:rPr>
        <w:b w:val="0"/>
        <w:bCs w:val="0"/>
        <w:sz w:val="24"/>
        <w:szCs w:val="24"/>
      </w:rPr>
    </w:pPr>
    <w:r>
      <w:fldChar w:fldCharType="begin"/>
    </w:r>
    <w:r>
      <w:instrText xml:space="preserve"> STYLEREF CharAmSchNo </w:instrText>
    </w:r>
    <w:r>
      <w:fldChar w:fldCharType="separate"/>
    </w:r>
    <w:r>
      <w:rPr>
        <w:noProof/>
      </w:rPr>
      <w:t>Schedule 1</w:t>
    </w:r>
    <w:r>
      <w:fldChar w:fldCharType="end"/>
    </w:r>
    <w:r>
      <w:t xml:space="preserve"> </w:t>
    </w:r>
    <w:r>
      <w:rPr>
        <w:b w:val="0"/>
        <w:bCs w:val="0"/>
      </w:rPr>
      <w:t xml:space="preserve"> </w:t>
    </w:r>
    <w:r>
      <w:rPr>
        <w:b w:val="0"/>
        <w:bCs w:val="0"/>
      </w:rPr>
      <w:fldChar w:fldCharType="begin"/>
    </w:r>
    <w:r>
      <w:rPr>
        <w:b w:val="0"/>
        <w:bCs w:val="0"/>
      </w:rPr>
      <w:instrText xml:space="preserve"> STYLEREF CharAmSchText </w:instrText>
    </w:r>
    <w:r>
      <w:rPr>
        <w:b w:val="0"/>
        <w:bCs w:val="0"/>
      </w:rPr>
      <w:fldChar w:fldCharType="separate"/>
    </w:r>
    <w:r>
      <w:rPr>
        <w:b w:val="0"/>
        <w:bCs w:val="0"/>
        <w:noProof/>
      </w:rPr>
      <w:t>Amendment of the States Grants (General Purposes) Act 1994</w:t>
    </w:r>
    <w:r>
      <w:rPr>
        <w:b w:val="0"/>
        <w:bCs w:val="0"/>
      </w:rPr>
      <w:fldChar w:fldCharType="end"/>
    </w:r>
  </w:p>
  <w:p w:rsidR="00000000" w:rsidRDefault="00B852F0">
    <w:pPr>
      <w:pBdr>
        <w:bottom w:val="sing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F0"/>
    <w:rsid w:val="00B85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character" w:customStyle="1" w:styleId="CharSubdNo">
    <w:name w:val="CharSubdNo"/>
    <w:basedOn w:val="DefaultParagraphFont"/>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Normal"/>
    <w:uiPriority w:val="99"/>
    <w:pPr>
      <w:spacing w:line="240" w:lineRule="auto"/>
      <w:ind w:left="1134"/>
    </w:p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paragraph" w:customStyle="1" w:styleId="iyh">
    <w:name w:val="iyh"/>
    <w:basedOn w:val="Item"/>
    <w:uiPriority w:val="99"/>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character" w:customStyle="1" w:styleId="CharSubdNo">
    <w:name w:val="CharSubdNo"/>
    <w:basedOn w:val="DefaultParagraphFont"/>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Normal"/>
    <w:uiPriority w:val="99"/>
    <w:pPr>
      <w:spacing w:line="240" w:lineRule="auto"/>
      <w:ind w:left="1134"/>
    </w:p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paragraph" w:customStyle="1" w:styleId="iyh">
    <w:name w:val="iyh"/>
    <w:basedOn w:val="Item"/>
    <w:uiPriority w:val="99"/>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oleObject" Target="embeddings/oleObject3.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wmf"/><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image" Target="media/image3.wmf"/><Relationship Id="rId33" Type="http://schemas.openxmlformats.org/officeDocument/2006/relationships/header" Target="header9.xml"/><Relationship Id="rId38" Type="http://schemas.openxmlformats.org/officeDocument/2006/relationships/footer" Target="footer9.xml"/><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image" Target="media/image5.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0\TEMPLATE.OPC\BILL_A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Template>
  <TotalTime>0</TotalTime>
  <Pages>21</Pages>
  <Words>3509</Words>
  <Characters>17510</Characters>
  <Application>Microsoft Office Word</Application>
  <DocSecurity>0</DocSecurity>
  <Lines>1945</Lines>
  <Paragraphs>1616</Paragraphs>
  <ScaleCrop>false</ScaleCrop>
  <HeadingPairs>
    <vt:vector size="2" baseType="variant">
      <vt:variant>
        <vt:lpstr>Title</vt:lpstr>
      </vt:variant>
      <vt:variant>
        <vt:i4>1</vt:i4>
      </vt:variant>
    </vt:vector>
  </HeadingPairs>
  <TitlesOfParts>
    <vt:vector size="1" baseType="lpstr">
      <vt:lpstr>State Grants (GP) Amdt Bill 1997</vt:lpstr>
    </vt:vector>
  </TitlesOfParts>
  <Company>Office of Parliamentary Counsel</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Grants (GP) Amdt Bill 1997</dc:title>
  <dc:creator>Firstname Surname</dc:creator>
  <cp:lastModifiedBy>Purba, Wendy</cp:lastModifiedBy>
  <cp:revision>2</cp:revision>
  <dcterms:created xsi:type="dcterms:W3CDTF">2019-09-03T05:28:00Z</dcterms:created>
  <dcterms:modified xsi:type="dcterms:W3CDTF">2019-09-03T05:28:00Z</dcterms:modified>
</cp:coreProperties>
</file>