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845" w:rsidRDefault="00766978">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78pt" fillcolor="window">
            <v:imagedata r:id="rId9" o:title=""/>
          </v:shape>
        </w:pict>
      </w:r>
    </w:p>
    <w:p w:rsidR="00013845" w:rsidRDefault="00013845"/>
    <w:p w:rsidR="00013845" w:rsidRDefault="00013845" w:rsidP="00013845">
      <w:pPr>
        <w:spacing w:line="240" w:lineRule="auto"/>
      </w:pPr>
    </w:p>
    <w:p w:rsidR="00013845" w:rsidRDefault="00013845" w:rsidP="00013845"/>
    <w:p w:rsidR="00013845" w:rsidRDefault="00013845" w:rsidP="00013845"/>
    <w:p w:rsidR="00013845" w:rsidRDefault="00013845" w:rsidP="00013845"/>
    <w:p w:rsidR="00013845" w:rsidRDefault="00013845" w:rsidP="00013845"/>
    <w:p w:rsidR="0048364F" w:rsidRPr="00212D5A" w:rsidRDefault="00F903F4" w:rsidP="0048364F">
      <w:pPr>
        <w:pStyle w:val="ShortT"/>
      </w:pPr>
      <w:r w:rsidRPr="00212D5A">
        <w:t>Water Amendment (</w:t>
      </w:r>
      <w:r w:rsidR="00CB53F5" w:rsidRPr="00212D5A">
        <w:t>Water for the Environment Special Account</w:t>
      </w:r>
      <w:r w:rsidRPr="00212D5A">
        <w:t>)</w:t>
      </w:r>
      <w:r w:rsidR="00CB53F5" w:rsidRPr="00212D5A">
        <w:t xml:space="preserve"> </w:t>
      </w:r>
      <w:r w:rsidR="00013845">
        <w:t>Act</w:t>
      </w:r>
      <w:r w:rsidR="00C164CA" w:rsidRPr="00212D5A">
        <w:t xml:space="preserve"> 201</w:t>
      </w:r>
      <w:r w:rsidR="001267CA">
        <w:t>3</w:t>
      </w:r>
    </w:p>
    <w:p w:rsidR="0048364F" w:rsidRPr="00212D5A" w:rsidRDefault="0048364F" w:rsidP="0048364F"/>
    <w:p w:rsidR="0048364F" w:rsidRPr="00212D5A" w:rsidRDefault="00C164CA" w:rsidP="00013845">
      <w:pPr>
        <w:pStyle w:val="Actno"/>
        <w:spacing w:before="400"/>
      </w:pPr>
      <w:r w:rsidRPr="00212D5A">
        <w:t>No.</w:t>
      </w:r>
      <w:r w:rsidR="000916B9">
        <w:t xml:space="preserve"> 3</w:t>
      </w:r>
      <w:r w:rsidRPr="00212D5A">
        <w:t>, 201</w:t>
      </w:r>
      <w:r w:rsidR="001267CA">
        <w:t>3</w:t>
      </w:r>
    </w:p>
    <w:p w:rsidR="0048364F" w:rsidRPr="00212D5A" w:rsidRDefault="0048364F" w:rsidP="0048364F"/>
    <w:p w:rsidR="00013845" w:rsidRDefault="00013845" w:rsidP="00013845"/>
    <w:p w:rsidR="00013845" w:rsidRDefault="00013845" w:rsidP="00013845"/>
    <w:p w:rsidR="00013845" w:rsidRDefault="00013845" w:rsidP="00013845"/>
    <w:p w:rsidR="00013845" w:rsidRDefault="00013845" w:rsidP="00013845"/>
    <w:p w:rsidR="0048364F" w:rsidRPr="00212D5A" w:rsidRDefault="00013845" w:rsidP="0048364F">
      <w:pPr>
        <w:pStyle w:val="LongT"/>
      </w:pPr>
      <w:r>
        <w:t>An Act</w:t>
      </w:r>
      <w:r w:rsidR="0048364F" w:rsidRPr="00212D5A">
        <w:t xml:space="preserve"> to </w:t>
      </w:r>
      <w:r w:rsidR="00CB53F5" w:rsidRPr="00212D5A">
        <w:t xml:space="preserve">amend the </w:t>
      </w:r>
      <w:r w:rsidR="00CB53F5" w:rsidRPr="00212D5A">
        <w:rPr>
          <w:i/>
        </w:rPr>
        <w:t>Water Act 2007</w:t>
      </w:r>
      <w:r w:rsidR="00CE2EFD" w:rsidRPr="00212D5A">
        <w:t xml:space="preserve"> to establish a Special Account</w:t>
      </w:r>
      <w:r w:rsidR="0048364F" w:rsidRPr="00212D5A">
        <w:t>, and for related purposes</w:t>
      </w:r>
    </w:p>
    <w:p w:rsidR="0048364F" w:rsidRPr="00212D5A" w:rsidRDefault="0048364F" w:rsidP="0048364F">
      <w:pPr>
        <w:pStyle w:val="Header"/>
        <w:tabs>
          <w:tab w:val="clear" w:pos="4150"/>
          <w:tab w:val="clear" w:pos="8307"/>
        </w:tabs>
      </w:pPr>
      <w:r w:rsidRPr="00212D5A">
        <w:rPr>
          <w:rStyle w:val="CharAmSchNo"/>
        </w:rPr>
        <w:t xml:space="preserve"> </w:t>
      </w:r>
      <w:r w:rsidRPr="00212D5A">
        <w:rPr>
          <w:rStyle w:val="CharAmSchText"/>
        </w:rPr>
        <w:t xml:space="preserve"> </w:t>
      </w:r>
    </w:p>
    <w:p w:rsidR="0048364F" w:rsidRPr="00212D5A" w:rsidRDefault="0048364F" w:rsidP="0048364F">
      <w:pPr>
        <w:pStyle w:val="Header"/>
        <w:tabs>
          <w:tab w:val="clear" w:pos="4150"/>
          <w:tab w:val="clear" w:pos="8307"/>
        </w:tabs>
      </w:pPr>
      <w:r w:rsidRPr="00212D5A">
        <w:rPr>
          <w:rStyle w:val="CharAmPartNo"/>
        </w:rPr>
        <w:t xml:space="preserve"> </w:t>
      </w:r>
      <w:r w:rsidRPr="00212D5A">
        <w:rPr>
          <w:rStyle w:val="CharAmPartText"/>
        </w:rPr>
        <w:t xml:space="preserve"> </w:t>
      </w:r>
    </w:p>
    <w:p w:rsidR="0048364F" w:rsidRPr="00212D5A" w:rsidRDefault="0048364F" w:rsidP="0048364F">
      <w:pPr>
        <w:sectPr w:rsidR="0048364F" w:rsidRPr="00212D5A" w:rsidSect="00013845">
          <w:headerReference w:type="even" r:id="rId10"/>
          <w:headerReference w:type="default" r:id="rId11"/>
          <w:footerReference w:type="even" r:id="rId12"/>
          <w:footerReference w:type="default" r:id="rId13"/>
          <w:headerReference w:type="first" r:id="rId14"/>
          <w:footerReference w:type="first" r:id="rId15"/>
          <w:pgSz w:w="11907" w:h="16839"/>
          <w:pgMar w:top="1418" w:right="2409" w:bottom="4252" w:left="2409" w:header="720" w:footer="3402" w:gutter="0"/>
          <w:cols w:space="708"/>
          <w:docGrid w:linePitch="360"/>
        </w:sectPr>
      </w:pPr>
    </w:p>
    <w:p w:rsidR="0048364F" w:rsidRPr="00212D5A" w:rsidRDefault="0048364F" w:rsidP="00F57B34">
      <w:pPr>
        <w:rPr>
          <w:sz w:val="36"/>
        </w:rPr>
      </w:pPr>
      <w:r w:rsidRPr="00212D5A">
        <w:rPr>
          <w:sz w:val="36"/>
        </w:rPr>
        <w:lastRenderedPageBreak/>
        <w:t>Contents</w:t>
      </w:r>
    </w:p>
    <w:bookmarkStart w:id="1" w:name="BKCheck15B_1"/>
    <w:bookmarkEnd w:id="1"/>
    <w:p w:rsidR="00013845" w:rsidRDefault="00013845">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013845">
        <w:rPr>
          <w:noProof/>
        </w:rPr>
        <w:tab/>
      </w:r>
      <w:r w:rsidRPr="00013845">
        <w:rPr>
          <w:noProof/>
        </w:rPr>
        <w:fldChar w:fldCharType="begin"/>
      </w:r>
      <w:r w:rsidRPr="00013845">
        <w:rPr>
          <w:noProof/>
        </w:rPr>
        <w:instrText xml:space="preserve"> PAGEREF _Toc348373458 \h </w:instrText>
      </w:r>
      <w:r w:rsidRPr="00013845">
        <w:rPr>
          <w:noProof/>
        </w:rPr>
      </w:r>
      <w:r w:rsidRPr="00013845">
        <w:rPr>
          <w:noProof/>
        </w:rPr>
        <w:fldChar w:fldCharType="separate"/>
      </w:r>
      <w:r w:rsidR="000916B9">
        <w:rPr>
          <w:noProof/>
        </w:rPr>
        <w:t>1</w:t>
      </w:r>
      <w:r w:rsidRPr="00013845">
        <w:rPr>
          <w:noProof/>
        </w:rPr>
        <w:fldChar w:fldCharType="end"/>
      </w:r>
    </w:p>
    <w:p w:rsidR="00013845" w:rsidRDefault="00013845">
      <w:pPr>
        <w:pStyle w:val="TOC5"/>
        <w:rPr>
          <w:rFonts w:asciiTheme="minorHAnsi" w:eastAsiaTheme="minorEastAsia" w:hAnsiTheme="minorHAnsi" w:cstheme="minorBidi"/>
          <w:noProof/>
          <w:kern w:val="0"/>
          <w:sz w:val="22"/>
          <w:szCs w:val="22"/>
        </w:rPr>
      </w:pPr>
      <w:r>
        <w:rPr>
          <w:noProof/>
        </w:rPr>
        <w:t>2</w:t>
      </w:r>
      <w:r>
        <w:rPr>
          <w:noProof/>
        </w:rPr>
        <w:tab/>
        <w:t>Commencement</w:t>
      </w:r>
      <w:r w:rsidRPr="00013845">
        <w:rPr>
          <w:noProof/>
        </w:rPr>
        <w:tab/>
      </w:r>
      <w:r w:rsidRPr="00013845">
        <w:rPr>
          <w:noProof/>
        </w:rPr>
        <w:fldChar w:fldCharType="begin"/>
      </w:r>
      <w:r w:rsidRPr="00013845">
        <w:rPr>
          <w:noProof/>
        </w:rPr>
        <w:instrText xml:space="preserve"> PAGEREF _Toc348373459 \h </w:instrText>
      </w:r>
      <w:r w:rsidRPr="00013845">
        <w:rPr>
          <w:noProof/>
        </w:rPr>
      </w:r>
      <w:r w:rsidRPr="00013845">
        <w:rPr>
          <w:noProof/>
        </w:rPr>
        <w:fldChar w:fldCharType="separate"/>
      </w:r>
      <w:r w:rsidR="000916B9">
        <w:rPr>
          <w:noProof/>
        </w:rPr>
        <w:t>2</w:t>
      </w:r>
      <w:r w:rsidRPr="00013845">
        <w:rPr>
          <w:noProof/>
        </w:rPr>
        <w:fldChar w:fldCharType="end"/>
      </w:r>
    </w:p>
    <w:p w:rsidR="00013845" w:rsidRDefault="00013845">
      <w:pPr>
        <w:pStyle w:val="TOC5"/>
        <w:rPr>
          <w:rFonts w:asciiTheme="minorHAnsi" w:eastAsiaTheme="minorEastAsia" w:hAnsiTheme="minorHAnsi" w:cstheme="minorBidi"/>
          <w:noProof/>
          <w:kern w:val="0"/>
          <w:sz w:val="22"/>
          <w:szCs w:val="22"/>
        </w:rPr>
      </w:pPr>
      <w:r>
        <w:rPr>
          <w:noProof/>
        </w:rPr>
        <w:t>3</w:t>
      </w:r>
      <w:r>
        <w:rPr>
          <w:noProof/>
        </w:rPr>
        <w:tab/>
        <w:t>Schedule(s)</w:t>
      </w:r>
      <w:r w:rsidRPr="00013845">
        <w:rPr>
          <w:noProof/>
        </w:rPr>
        <w:tab/>
      </w:r>
      <w:r w:rsidRPr="00013845">
        <w:rPr>
          <w:noProof/>
        </w:rPr>
        <w:fldChar w:fldCharType="begin"/>
      </w:r>
      <w:r w:rsidRPr="00013845">
        <w:rPr>
          <w:noProof/>
        </w:rPr>
        <w:instrText xml:space="preserve"> PAGEREF _Toc348373460 \h </w:instrText>
      </w:r>
      <w:r w:rsidRPr="00013845">
        <w:rPr>
          <w:noProof/>
        </w:rPr>
      </w:r>
      <w:r w:rsidRPr="00013845">
        <w:rPr>
          <w:noProof/>
        </w:rPr>
        <w:fldChar w:fldCharType="separate"/>
      </w:r>
      <w:r w:rsidR="000916B9">
        <w:rPr>
          <w:noProof/>
        </w:rPr>
        <w:t>2</w:t>
      </w:r>
      <w:r w:rsidRPr="00013845">
        <w:rPr>
          <w:noProof/>
        </w:rPr>
        <w:fldChar w:fldCharType="end"/>
      </w:r>
    </w:p>
    <w:p w:rsidR="00013845" w:rsidRDefault="00013845">
      <w:pPr>
        <w:pStyle w:val="TOC6"/>
        <w:rPr>
          <w:rFonts w:asciiTheme="minorHAnsi" w:eastAsiaTheme="minorEastAsia" w:hAnsiTheme="minorHAnsi" w:cstheme="minorBidi"/>
          <w:b w:val="0"/>
          <w:noProof/>
          <w:kern w:val="0"/>
          <w:sz w:val="22"/>
          <w:szCs w:val="22"/>
        </w:rPr>
      </w:pPr>
      <w:r>
        <w:rPr>
          <w:noProof/>
        </w:rPr>
        <w:t>Schedule 1—Water for the Environment Special Account</w:t>
      </w:r>
      <w:r w:rsidRPr="00013845">
        <w:rPr>
          <w:b w:val="0"/>
          <w:noProof/>
          <w:sz w:val="18"/>
        </w:rPr>
        <w:tab/>
      </w:r>
      <w:r w:rsidRPr="00013845">
        <w:rPr>
          <w:b w:val="0"/>
          <w:noProof/>
          <w:sz w:val="18"/>
        </w:rPr>
        <w:fldChar w:fldCharType="begin"/>
      </w:r>
      <w:r w:rsidRPr="00013845">
        <w:rPr>
          <w:b w:val="0"/>
          <w:noProof/>
          <w:sz w:val="18"/>
        </w:rPr>
        <w:instrText xml:space="preserve"> PAGEREF _Toc348373461 \h </w:instrText>
      </w:r>
      <w:r w:rsidRPr="00013845">
        <w:rPr>
          <w:b w:val="0"/>
          <w:noProof/>
          <w:sz w:val="18"/>
        </w:rPr>
      </w:r>
      <w:r w:rsidRPr="00013845">
        <w:rPr>
          <w:b w:val="0"/>
          <w:noProof/>
          <w:sz w:val="18"/>
        </w:rPr>
        <w:fldChar w:fldCharType="separate"/>
      </w:r>
      <w:r w:rsidR="000916B9">
        <w:rPr>
          <w:b w:val="0"/>
          <w:noProof/>
          <w:sz w:val="18"/>
        </w:rPr>
        <w:t>3</w:t>
      </w:r>
      <w:r w:rsidRPr="00013845">
        <w:rPr>
          <w:b w:val="0"/>
          <w:noProof/>
          <w:sz w:val="18"/>
        </w:rPr>
        <w:fldChar w:fldCharType="end"/>
      </w:r>
    </w:p>
    <w:p w:rsidR="00013845" w:rsidRDefault="00013845">
      <w:pPr>
        <w:pStyle w:val="TOC9"/>
        <w:rPr>
          <w:rFonts w:asciiTheme="minorHAnsi" w:eastAsiaTheme="minorEastAsia" w:hAnsiTheme="minorHAnsi" w:cstheme="minorBidi"/>
          <w:i w:val="0"/>
          <w:noProof/>
          <w:kern w:val="0"/>
          <w:sz w:val="22"/>
          <w:szCs w:val="22"/>
        </w:rPr>
      </w:pPr>
      <w:r>
        <w:rPr>
          <w:noProof/>
        </w:rPr>
        <w:t>Water Act 2007</w:t>
      </w:r>
      <w:r w:rsidRPr="00013845">
        <w:rPr>
          <w:i w:val="0"/>
          <w:noProof/>
          <w:sz w:val="18"/>
        </w:rPr>
        <w:tab/>
      </w:r>
      <w:r w:rsidRPr="00013845">
        <w:rPr>
          <w:i w:val="0"/>
          <w:noProof/>
          <w:sz w:val="18"/>
        </w:rPr>
        <w:fldChar w:fldCharType="begin"/>
      </w:r>
      <w:r w:rsidRPr="00013845">
        <w:rPr>
          <w:i w:val="0"/>
          <w:noProof/>
          <w:sz w:val="18"/>
        </w:rPr>
        <w:instrText xml:space="preserve"> PAGEREF _Toc348373462 \h </w:instrText>
      </w:r>
      <w:r w:rsidRPr="00013845">
        <w:rPr>
          <w:i w:val="0"/>
          <w:noProof/>
          <w:sz w:val="18"/>
        </w:rPr>
      </w:r>
      <w:r w:rsidRPr="00013845">
        <w:rPr>
          <w:i w:val="0"/>
          <w:noProof/>
          <w:sz w:val="18"/>
        </w:rPr>
        <w:fldChar w:fldCharType="separate"/>
      </w:r>
      <w:r w:rsidR="000916B9">
        <w:rPr>
          <w:i w:val="0"/>
          <w:noProof/>
          <w:sz w:val="18"/>
        </w:rPr>
        <w:t>3</w:t>
      </w:r>
      <w:r w:rsidRPr="00013845">
        <w:rPr>
          <w:i w:val="0"/>
          <w:noProof/>
          <w:sz w:val="18"/>
        </w:rPr>
        <w:fldChar w:fldCharType="end"/>
      </w:r>
    </w:p>
    <w:p w:rsidR="0048364F" w:rsidRPr="00212D5A" w:rsidRDefault="00013845" w:rsidP="0048364F">
      <w:r>
        <w:fldChar w:fldCharType="end"/>
      </w:r>
    </w:p>
    <w:p w:rsidR="0048364F" w:rsidRPr="00212D5A" w:rsidRDefault="0048364F" w:rsidP="0048364F">
      <w:pPr>
        <w:sectPr w:rsidR="0048364F" w:rsidRPr="00212D5A" w:rsidSect="00013845">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p>
    <w:p w:rsidR="00013845" w:rsidRDefault="00766978">
      <w:r>
        <w:lastRenderedPageBreak/>
        <w:pict>
          <v:shape id="_x0000_i1026" type="#_x0000_t75" style="width:107.25pt;height:78pt" fillcolor="window">
            <v:imagedata r:id="rId9" o:title=""/>
          </v:shape>
        </w:pict>
      </w:r>
    </w:p>
    <w:p w:rsidR="00013845" w:rsidRDefault="00013845"/>
    <w:p w:rsidR="00013845" w:rsidRDefault="00013845" w:rsidP="00013845">
      <w:pPr>
        <w:spacing w:line="240" w:lineRule="auto"/>
      </w:pPr>
    </w:p>
    <w:p w:rsidR="00013845" w:rsidRDefault="000916B9" w:rsidP="00013845">
      <w:pPr>
        <w:pStyle w:val="ShortTP1"/>
      </w:pPr>
      <w:fldSimple w:instr=" STYLEREF ShortT ">
        <w:r>
          <w:rPr>
            <w:noProof/>
          </w:rPr>
          <w:t>Water Amendment (Water for the Environment Special Account) Act 2013</w:t>
        </w:r>
      </w:fldSimple>
    </w:p>
    <w:p w:rsidR="00013845" w:rsidRDefault="000916B9" w:rsidP="00013845">
      <w:pPr>
        <w:pStyle w:val="ActNoP1"/>
      </w:pPr>
      <w:fldSimple w:instr=" STYLEREF Actno ">
        <w:r>
          <w:rPr>
            <w:noProof/>
          </w:rPr>
          <w:t>No. 3, 2013</w:t>
        </w:r>
      </w:fldSimple>
    </w:p>
    <w:p w:rsidR="00013845" w:rsidRDefault="00013845">
      <w:pPr>
        <w:pStyle w:val="p1LinesBef"/>
      </w:pPr>
    </w:p>
    <w:p w:rsidR="00013845" w:rsidRDefault="00013845">
      <w:pPr>
        <w:spacing w:line="40" w:lineRule="exact"/>
        <w:rPr>
          <w:b/>
          <w:sz w:val="28"/>
        </w:rPr>
      </w:pPr>
    </w:p>
    <w:p w:rsidR="00013845" w:rsidRDefault="00013845">
      <w:pPr>
        <w:pStyle w:val="p1LinesAfter"/>
      </w:pPr>
    </w:p>
    <w:p w:rsidR="0048364F" w:rsidRPr="00212D5A" w:rsidRDefault="00013845" w:rsidP="00212D5A">
      <w:pPr>
        <w:pStyle w:val="Page1"/>
      </w:pPr>
      <w:r>
        <w:t>An Act</w:t>
      </w:r>
      <w:r w:rsidR="00212D5A" w:rsidRPr="00212D5A">
        <w:t xml:space="preserve"> to amend the </w:t>
      </w:r>
      <w:r w:rsidR="00212D5A" w:rsidRPr="00212D5A">
        <w:rPr>
          <w:i/>
        </w:rPr>
        <w:t>Water Act 2007</w:t>
      </w:r>
      <w:r w:rsidR="00212D5A" w:rsidRPr="00212D5A">
        <w:t xml:space="preserve"> to establish a Special Account, and for related purposes</w:t>
      </w:r>
    </w:p>
    <w:p w:rsidR="000916B9" w:rsidRDefault="000916B9">
      <w:pPr>
        <w:pStyle w:val="AssentDt"/>
        <w:spacing w:before="240"/>
        <w:rPr>
          <w:sz w:val="24"/>
        </w:rPr>
      </w:pPr>
      <w:r>
        <w:rPr>
          <w:sz w:val="24"/>
        </w:rPr>
        <w:t>[</w:t>
      </w:r>
      <w:r>
        <w:rPr>
          <w:i/>
          <w:sz w:val="24"/>
        </w:rPr>
        <w:t>Assented to 15 February 2013</w:t>
      </w:r>
      <w:r>
        <w:rPr>
          <w:sz w:val="24"/>
        </w:rPr>
        <w:t>]</w:t>
      </w:r>
    </w:p>
    <w:p w:rsidR="000916B9" w:rsidRDefault="000916B9"/>
    <w:p w:rsidR="0048364F" w:rsidRPr="00212D5A" w:rsidRDefault="0048364F" w:rsidP="00212D5A">
      <w:pPr>
        <w:spacing w:before="240" w:line="240" w:lineRule="auto"/>
        <w:rPr>
          <w:sz w:val="32"/>
        </w:rPr>
      </w:pPr>
      <w:r w:rsidRPr="00212D5A">
        <w:rPr>
          <w:sz w:val="32"/>
        </w:rPr>
        <w:t>The Parliament of Australia enacts:</w:t>
      </w:r>
    </w:p>
    <w:p w:rsidR="0048364F" w:rsidRPr="00212D5A" w:rsidRDefault="0048364F" w:rsidP="00212D5A">
      <w:pPr>
        <w:pStyle w:val="ActHead5"/>
      </w:pPr>
      <w:bookmarkStart w:id="2" w:name="_Toc348373458"/>
      <w:r w:rsidRPr="00212D5A">
        <w:rPr>
          <w:rStyle w:val="CharSectno"/>
        </w:rPr>
        <w:t>1</w:t>
      </w:r>
      <w:r w:rsidRPr="00212D5A">
        <w:t xml:space="preserve">  Short title</w:t>
      </w:r>
      <w:bookmarkEnd w:id="2"/>
    </w:p>
    <w:p w:rsidR="0048364F" w:rsidRPr="00212D5A" w:rsidRDefault="0048364F" w:rsidP="00212D5A">
      <w:pPr>
        <w:pStyle w:val="subsection"/>
      </w:pPr>
      <w:r w:rsidRPr="00212D5A">
        <w:tab/>
      </w:r>
      <w:r w:rsidRPr="00212D5A">
        <w:tab/>
        <w:t xml:space="preserve">This Act may be cited as the </w:t>
      </w:r>
      <w:r w:rsidR="00CB53F5" w:rsidRPr="00212D5A">
        <w:rPr>
          <w:i/>
        </w:rPr>
        <w:t xml:space="preserve">Water Amendment (Water for the Environment Special Account) </w:t>
      </w:r>
      <w:r w:rsidR="00C164CA" w:rsidRPr="00212D5A">
        <w:rPr>
          <w:i/>
        </w:rPr>
        <w:t>Act 201</w:t>
      </w:r>
      <w:r w:rsidR="001267CA">
        <w:rPr>
          <w:i/>
        </w:rPr>
        <w:t>3</w:t>
      </w:r>
      <w:r w:rsidRPr="00212D5A">
        <w:t>.</w:t>
      </w:r>
    </w:p>
    <w:p w:rsidR="0048364F" w:rsidRPr="00212D5A" w:rsidRDefault="0048364F" w:rsidP="00212D5A">
      <w:pPr>
        <w:pStyle w:val="ActHead5"/>
      </w:pPr>
      <w:bookmarkStart w:id="3" w:name="_Toc348373459"/>
      <w:r w:rsidRPr="00212D5A">
        <w:rPr>
          <w:rStyle w:val="CharSectno"/>
        </w:rPr>
        <w:lastRenderedPageBreak/>
        <w:t>2</w:t>
      </w:r>
      <w:r w:rsidRPr="00212D5A">
        <w:t xml:space="preserve">  Commencement</w:t>
      </w:r>
      <w:bookmarkEnd w:id="3"/>
    </w:p>
    <w:p w:rsidR="00113CB1" w:rsidRPr="00212D5A" w:rsidRDefault="00113CB1" w:rsidP="00212D5A">
      <w:pPr>
        <w:pStyle w:val="subsection"/>
      </w:pPr>
      <w:r w:rsidRPr="00212D5A">
        <w:tab/>
        <w:t>(1)</w:t>
      </w:r>
      <w:r w:rsidRPr="00212D5A">
        <w:tab/>
        <w:t>Each provision of this Act specified in column 1 of the table commences, or is taken to have commenced, in accordance with column 2 of the table. Any other statement in column 2 has effect according to its terms.</w:t>
      </w:r>
    </w:p>
    <w:p w:rsidR="00113CB1" w:rsidRPr="00212D5A" w:rsidRDefault="00113CB1" w:rsidP="00212D5A">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701"/>
        <w:gridCol w:w="3828"/>
        <w:gridCol w:w="1582"/>
      </w:tblGrid>
      <w:tr w:rsidR="00113CB1" w:rsidRPr="00212D5A" w:rsidTr="00B306A6">
        <w:trPr>
          <w:tblHeader/>
        </w:trPr>
        <w:tc>
          <w:tcPr>
            <w:tcW w:w="7111" w:type="dxa"/>
            <w:gridSpan w:val="3"/>
            <w:tcBorders>
              <w:top w:val="single" w:sz="12" w:space="0" w:color="auto"/>
              <w:bottom w:val="single" w:sz="6" w:space="0" w:color="auto"/>
            </w:tcBorders>
            <w:shd w:val="clear" w:color="auto" w:fill="auto"/>
            <w:hideMark/>
          </w:tcPr>
          <w:p w:rsidR="00113CB1" w:rsidRPr="00212D5A" w:rsidRDefault="00113CB1" w:rsidP="00212D5A">
            <w:pPr>
              <w:pStyle w:val="Tabletext"/>
              <w:keepNext/>
              <w:rPr>
                <w:b/>
              </w:rPr>
            </w:pPr>
            <w:r w:rsidRPr="00212D5A">
              <w:rPr>
                <w:b/>
              </w:rPr>
              <w:t>Commencement information</w:t>
            </w:r>
          </w:p>
        </w:tc>
      </w:tr>
      <w:tr w:rsidR="00113CB1" w:rsidRPr="00212D5A" w:rsidTr="00B306A6">
        <w:trPr>
          <w:tblHeader/>
        </w:trPr>
        <w:tc>
          <w:tcPr>
            <w:tcW w:w="1701" w:type="dxa"/>
            <w:tcBorders>
              <w:top w:val="single" w:sz="6" w:space="0" w:color="auto"/>
              <w:bottom w:val="single" w:sz="6" w:space="0" w:color="auto"/>
            </w:tcBorders>
            <w:shd w:val="clear" w:color="auto" w:fill="auto"/>
            <w:hideMark/>
          </w:tcPr>
          <w:p w:rsidR="00113CB1" w:rsidRPr="00212D5A" w:rsidRDefault="00113CB1" w:rsidP="00212D5A">
            <w:pPr>
              <w:pStyle w:val="Tabletext"/>
              <w:keepNext/>
              <w:rPr>
                <w:b/>
              </w:rPr>
            </w:pPr>
            <w:r w:rsidRPr="00212D5A">
              <w:rPr>
                <w:b/>
              </w:rPr>
              <w:t>Column 1</w:t>
            </w:r>
          </w:p>
        </w:tc>
        <w:tc>
          <w:tcPr>
            <w:tcW w:w="3828" w:type="dxa"/>
            <w:tcBorders>
              <w:top w:val="single" w:sz="6" w:space="0" w:color="auto"/>
              <w:bottom w:val="single" w:sz="6" w:space="0" w:color="auto"/>
            </w:tcBorders>
            <w:shd w:val="clear" w:color="auto" w:fill="auto"/>
            <w:hideMark/>
          </w:tcPr>
          <w:p w:rsidR="00113CB1" w:rsidRPr="00212D5A" w:rsidRDefault="00113CB1" w:rsidP="00212D5A">
            <w:pPr>
              <w:pStyle w:val="Tabletext"/>
              <w:keepNext/>
              <w:rPr>
                <w:b/>
              </w:rPr>
            </w:pPr>
            <w:r w:rsidRPr="00212D5A">
              <w:rPr>
                <w:b/>
              </w:rPr>
              <w:t>Column 2</w:t>
            </w:r>
          </w:p>
        </w:tc>
        <w:tc>
          <w:tcPr>
            <w:tcW w:w="1582" w:type="dxa"/>
            <w:tcBorders>
              <w:top w:val="single" w:sz="6" w:space="0" w:color="auto"/>
              <w:bottom w:val="single" w:sz="6" w:space="0" w:color="auto"/>
            </w:tcBorders>
            <w:shd w:val="clear" w:color="auto" w:fill="auto"/>
            <w:hideMark/>
          </w:tcPr>
          <w:p w:rsidR="00113CB1" w:rsidRPr="00212D5A" w:rsidRDefault="00113CB1" w:rsidP="00212D5A">
            <w:pPr>
              <w:pStyle w:val="Tabletext"/>
              <w:keepNext/>
              <w:rPr>
                <w:b/>
              </w:rPr>
            </w:pPr>
            <w:r w:rsidRPr="00212D5A">
              <w:rPr>
                <w:b/>
              </w:rPr>
              <w:t>Column 3</w:t>
            </w:r>
          </w:p>
        </w:tc>
      </w:tr>
      <w:tr w:rsidR="00113CB1" w:rsidRPr="00212D5A" w:rsidTr="00B306A6">
        <w:trPr>
          <w:tblHeader/>
        </w:trPr>
        <w:tc>
          <w:tcPr>
            <w:tcW w:w="1701" w:type="dxa"/>
            <w:tcBorders>
              <w:top w:val="single" w:sz="6" w:space="0" w:color="auto"/>
              <w:bottom w:val="single" w:sz="12" w:space="0" w:color="auto"/>
            </w:tcBorders>
            <w:shd w:val="clear" w:color="auto" w:fill="auto"/>
            <w:hideMark/>
          </w:tcPr>
          <w:p w:rsidR="00113CB1" w:rsidRPr="00212D5A" w:rsidRDefault="00113CB1" w:rsidP="00212D5A">
            <w:pPr>
              <w:pStyle w:val="Tabletext"/>
              <w:keepNext/>
              <w:rPr>
                <w:b/>
              </w:rPr>
            </w:pPr>
            <w:r w:rsidRPr="00212D5A">
              <w:rPr>
                <w:b/>
              </w:rPr>
              <w:t>Provision(s)</w:t>
            </w:r>
          </w:p>
        </w:tc>
        <w:tc>
          <w:tcPr>
            <w:tcW w:w="3828" w:type="dxa"/>
            <w:tcBorders>
              <w:top w:val="single" w:sz="6" w:space="0" w:color="auto"/>
              <w:bottom w:val="single" w:sz="12" w:space="0" w:color="auto"/>
            </w:tcBorders>
            <w:shd w:val="clear" w:color="auto" w:fill="auto"/>
            <w:hideMark/>
          </w:tcPr>
          <w:p w:rsidR="00113CB1" w:rsidRPr="00212D5A" w:rsidRDefault="00113CB1" w:rsidP="00212D5A">
            <w:pPr>
              <w:pStyle w:val="Tabletext"/>
              <w:keepNext/>
              <w:rPr>
                <w:b/>
              </w:rPr>
            </w:pPr>
            <w:r w:rsidRPr="00212D5A">
              <w:rPr>
                <w:b/>
              </w:rPr>
              <w:t>Commencement</w:t>
            </w:r>
          </w:p>
        </w:tc>
        <w:tc>
          <w:tcPr>
            <w:tcW w:w="1582" w:type="dxa"/>
            <w:tcBorders>
              <w:top w:val="single" w:sz="6" w:space="0" w:color="auto"/>
              <w:bottom w:val="single" w:sz="12" w:space="0" w:color="auto"/>
            </w:tcBorders>
            <w:shd w:val="clear" w:color="auto" w:fill="auto"/>
            <w:hideMark/>
          </w:tcPr>
          <w:p w:rsidR="00113CB1" w:rsidRPr="00212D5A" w:rsidRDefault="00113CB1" w:rsidP="00212D5A">
            <w:pPr>
              <w:pStyle w:val="Tabletext"/>
              <w:keepNext/>
              <w:rPr>
                <w:b/>
              </w:rPr>
            </w:pPr>
            <w:r w:rsidRPr="00212D5A">
              <w:rPr>
                <w:b/>
              </w:rPr>
              <w:t>Date/Details</w:t>
            </w:r>
          </w:p>
        </w:tc>
      </w:tr>
      <w:tr w:rsidR="00113CB1" w:rsidRPr="00212D5A" w:rsidTr="00B306A6">
        <w:tc>
          <w:tcPr>
            <w:tcW w:w="1701" w:type="dxa"/>
            <w:tcBorders>
              <w:top w:val="single" w:sz="12" w:space="0" w:color="auto"/>
              <w:bottom w:val="single" w:sz="4" w:space="0" w:color="auto"/>
            </w:tcBorders>
            <w:shd w:val="clear" w:color="auto" w:fill="auto"/>
            <w:hideMark/>
          </w:tcPr>
          <w:p w:rsidR="00113CB1" w:rsidRPr="00212D5A" w:rsidRDefault="00113CB1" w:rsidP="00212D5A">
            <w:pPr>
              <w:pStyle w:val="Tabletext"/>
            </w:pPr>
            <w:r w:rsidRPr="00212D5A">
              <w:t>1.  Sections</w:t>
            </w:r>
            <w:r w:rsidR="00212D5A" w:rsidRPr="00212D5A">
              <w:t> </w:t>
            </w:r>
            <w:r w:rsidRPr="00212D5A">
              <w:t>1 to 3 and anything in this Act not elsewhere covered by this table</w:t>
            </w:r>
          </w:p>
        </w:tc>
        <w:tc>
          <w:tcPr>
            <w:tcW w:w="3828" w:type="dxa"/>
            <w:tcBorders>
              <w:top w:val="single" w:sz="12" w:space="0" w:color="auto"/>
              <w:bottom w:val="single" w:sz="4" w:space="0" w:color="auto"/>
            </w:tcBorders>
            <w:shd w:val="clear" w:color="auto" w:fill="auto"/>
            <w:hideMark/>
          </w:tcPr>
          <w:p w:rsidR="00113CB1" w:rsidRPr="00212D5A" w:rsidRDefault="00113CB1" w:rsidP="00212D5A">
            <w:pPr>
              <w:pStyle w:val="Tabletext"/>
            </w:pPr>
            <w:r w:rsidRPr="00212D5A">
              <w:t>The day this Act receives the Royal Assent.</w:t>
            </w:r>
          </w:p>
        </w:tc>
        <w:tc>
          <w:tcPr>
            <w:tcW w:w="1582" w:type="dxa"/>
            <w:tcBorders>
              <w:top w:val="single" w:sz="12" w:space="0" w:color="auto"/>
              <w:bottom w:val="single" w:sz="4" w:space="0" w:color="auto"/>
            </w:tcBorders>
            <w:shd w:val="clear" w:color="auto" w:fill="auto"/>
          </w:tcPr>
          <w:p w:rsidR="00113CB1" w:rsidRPr="00212D5A" w:rsidRDefault="00D223F0" w:rsidP="00212D5A">
            <w:pPr>
              <w:pStyle w:val="Tabletext"/>
            </w:pPr>
            <w:r>
              <w:t>15 February 2013</w:t>
            </w:r>
          </w:p>
        </w:tc>
      </w:tr>
      <w:tr w:rsidR="00113CB1" w:rsidRPr="00212D5A" w:rsidTr="00B306A6">
        <w:tc>
          <w:tcPr>
            <w:tcW w:w="1701" w:type="dxa"/>
            <w:tcBorders>
              <w:bottom w:val="single" w:sz="12" w:space="0" w:color="auto"/>
            </w:tcBorders>
            <w:shd w:val="clear" w:color="auto" w:fill="auto"/>
            <w:hideMark/>
          </w:tcPr>
          <w:p w:rsidR="00113CB1" w:rsidRPr="00212D5A" w:rsidRDefault="00113CB1" w:rsidP="00212D5A">
            <w:pPr>
              <w:pStyle w:val="Tabletext"/>
            </w:pPr>
            <w:r w:rsidRPr="00212D5A">
              <w:t>2.  Schedule</w:t>
            </w:r>
            <w:r w:rsidR="00212D5A" w:rsidRPr="00212D5A">
              <w:t> </w:t>
            </w:r>
            <w:r w:rsidRPr="00212D5A">
              <w:t>1</w:t>
            </w:r>
          </w:p>
        </w:tc>
        <w:tc>
          <w:tcPr>
            <w:tcW w:w="3828" w:type="dxa"/>
            <w:tcBorders>
              <w:bottom w:val="single" w:sz="12" w:space="0" w:color="auto"/>
            </w:tcBorders>
            <w:shd w:val="clear" w:color="auto" w:fill="auto"/>
          </w:tcPr>
          <w:p w:rsidR="00113CB1" w:rsidRPr="00212D5A" w:rsidRDefault="00113CB1" w:rsidP="00212D5A">
            <w:pPr>
              <w:pStyle w:val="Tabletext"/>
            </w:pPr>
            <w:r w:rsidRPr="00212D5A">
              <w:t>The later of:</w:t>
            </w:r>
          </w:p>
          <w:p w:rsidR="00113CB1" w:rsidRPr="00212D5A" w:rsidRDefault="00113CB1" w:rsidP="00212D5A">
            <w:pPr>
              <w:pStyle w:val="Tablea"/>
            </w:pPr>
            <w:r w:rsidRPr="00212D5A">
              <w:t>(a) the start of the day this Act receives the Royal Assent; and</w:t>
            </w:r>
          </w:p>
          <w:p w:rsidR="00113CB1" w:rsidRPr="00212D5A" w:rsidRDefault="00113CB1" w:rsidP="00212D5A">
            <w:pPr>
              <w:pStyle w:val="Tablea"/>
            </w:pPr>
            <w:r w:rsidRPr="00212D5A">
              <w:t xml:space="preserve">(b) the start </w:t>
            </w:r>
            <w:r w:rsidR="005A32AB" w:rsidRPr="00212D5A">
              <w:t xml:space="preserve">of </w:t>
            </w:r>
            <w:r w:rsidRPr="00212D5A">
              <w:t xml:space="preserve">the </w:t>
            </w:r>
            <w:r w:rsidR="00B306A6" w:rsidRPr="00212D5A">
              <w:t xml:space="preserve">day the </w:t>
            </w:r>
            <w:r w:rsidRPr="00212D5A">
              <w:rPr>
                <w:i/>
              </w:rPr>
              <w:t>Water Amendment (Long</w:t>
            </w:r>
            <w:r w:rsidR="001267CA">
              <w:rPr>
                <w:i/>
              </w:rPr>
              <w:noBreakHyphen/>
            </w:r>
            <w:r w:rsidRPr="00212D5A">
              <w:rPr>
                <w:i/>
              </w:rPr>
              <w:t>term Average Sustainable Diversion Limit Adjustment) Act 2012</w:t>
            </w:r>
            <w:r w:rsidRPr="00212D5A">
              <w:t xml:space="preserve"> receives the Royal Assent.</w:t>
            </w:r>
          </w:p>
          <w:p w:rsidR="00113CB1" w:rsidRPr="00212D5A" w:rsidRDefault="00113CB1" w:rsidP="00212D5A">
            <w:pPr>
              <w:pStyle w:val="Tabletext"/>
            </w:pPr>
            <w:r w:rsidRPr="00212D5A">
              <w:t xml:space="preserve">However, the provision(s) do not commence at all if the event mentioned in </w:t>
            </w:r>
            <w:r w:rsidR="00212D5A" w:rsidRPr="00212D5A">
              <w:t>paragraph (</w:t>
            </w:r>
            <w:r w:rsidRPr="00212D5A">
              <w:t>b) does not occur.</w:t>
            </w:r>
          </w:p>
        </w:tc>
        <w:tc>
          <w:tcPr>
            <w:tcW w:w="1582" w:type="dxa"/>
            <w:tcBorders>
              <w:bottom w:val="single" w:sz="12" w:space="0" w:color="auto"/>
            </w:tcBorders>
            <w:shd w:val="clear" w:color="auto" w:fill="auto"/>
          </w:tcPr>
          <w:p w:rsidR="00113CB1" w:rsidRDefault="00D223F0" w:rsidP="00212D5A">
            <w:pPr>
              <w:pStyle w:val="Tabletext"/>
            </w:pPr>
            <w:r>
              <w:t>15 February 2013</w:t>
            </w:r>
          </w:p>
          <w:p w:rsidR="00D223F0" w:rsidRPr="00212D5A" w:rsidRDefault="00D223F0" w:rsidP="00212D5A">
            <w:pPr>
              <w:pStyle w:val="Tabletext"/>
            </w:pPr>
            <w:r>
              <w:t>(paragraph (a) applies)</w:t>
            </w:r>
          </w:p>
        </w:tc>
      </w:tr>
    </w:tbl>
    <w:p w:rsidR="00113CB1" w:rsidRPr="00212D5A" w:rsidRDefault="00113CB1" w:rsidP="00212D5A">
      <w:pPr>
        <w:pStyle w:val="notetext"/>
      </w:pPr>
      <w:r w:rsidRPr="00212D5A">
        <w:rPr>
          <w:snapToGrid w:val="0"/>
          <w:lang w:eastAsia="en-US"/>
        </w:rPr>
        <w:t xml:space="preserve">Note: </w:t>
      </w:r>
      <w:r w:rsidRPr="00212D5A">
        <w:rPr>
          <w:snapToGrid w:val="0"/>
          <w:lang w:eastAsia="en-US"/>
        </w:rPr>
        <w:tab/>
        <w:t>This table relates only to the provisions of this Act as originally enacted. It will not be amended to deal with any later amendments of this Act.</w:t>
      </w:r>
    </w:p>
    <w:p w:rsidR="00113CB1" w:rsidRPr="00212D5A" w:rsidRDefault="00113CB1" w:rsidP="00212D5A">
      <w:pPr>
        <w:pStyle w:val="subsection"/>
      </w:pPr>
      <w:r w:rsidRPr="00212D5A">
        <w:tab/>
        <w:t>(2)</w:t>
      </w:r>
      <w:r w:rsidRPr="00212D5A">
        <w:tab/>
        <w:t>Any information in column 3 of the table is not part of this Act. Information may be inserted in this column, or information in it may be edited, in any published version of this Act.</w:t>
      </w:r>
    </w:p>
    <w:p w:rsidR="0048364F" w:rsidRPr="00212D5A" w:rsidRDefault="0048364F" w:rsidP="00212D5A">
      <w:pPr>
        <w:pStyle w:val="ActHead5"/>
      </w:pPr>
      <w:bookmarkStart w:id="4" w:name="_Toc348373460"/>
      <w:r w:rsidRPr="00212D5A">
        <w:rPr>
          <w:rStyle w:val="CharSectno"/>
        </w:rPr>
        <w:t>3</w:t>
      </w:r>
      <w:r w:rsidRPr="00212D5A">
        <w:t xml:space="preserve">  Schedule(s)</w:t>
      </w:r>
      <w:bookmarkEnd w:id="4"/>
    </w:p>
    <w:p w:rsidR="0048364F" w:rsidRPr="00212D5A" w:rsidRDefault="0048364F" w:rsidP="00212D5A">
      <w:pPr>
        <w:pStyle w:val="subsection"/>
      </w:pPr>
      <w:r w:rsidRPr="00212D5A">
        <w:tab/>
      </w:r>
      <w:r w:rsidRPr="00212D5A">
        <w:tab/>
        <w:t>Each Act that is specified in a Schedule to this Act is amended or repealed as set out in the applicable items in the Schedule concerned, and any other item in a Schedule to this Act has effect according to its terms.</w:t>
      </w:r>
    </w:p>
    <w:p w:rsidR="009F64BE" w:rsidRPr="00212D5A" w:rsidRDefault="009F64BE" w:rsidP="00212D5A">
      <w:pPr>
        <w:pStyle w:val="PageBreak"/>
      </w:pPr>
      <w:r w:rsidRPr="00212D5A">
        <w:br w:type="page"/>
      </w:r>
    </w:p>
    <w:p w:rsidR="00EE63F3" w:rsidRPr="00212D5A" w:rsidRDefault="00EE63F3" w:rsidP="00212D5A">
      <w:pPr>
        <w:pStyle w:val="ActHead6"/>
      </w:pPr>
      <w:bookmarkStart w:id="5" w:name="_Toc348373461"/>
      <w:bookmarkStart w:id="6" w:name="opcAmSched"/>
      <w:bookmarkStart w:id="7" w:name="opcCurrentFind"/>
      <w:r w:rsidRPr="00212D5A">
        <w:rPr>
          <w:rStyle w:val="CharAmSchNo"/>
        </w:rPr>
        <w:lastRenderedPageBreak/>
        <w:t>Schedule</w:t>
      </w:r>
      <w:r w:rsidR="00212D5A" w:rsidRPr="00212D5A">
        <w:rPr>
          <w:rStyle w:val="CharAmSchNo"/>
        </w:rPr>
        <w:t> </w:t>
      </w:r>
      <w:r w:rsidRPr="00212D5A">
        <w:rPr>
          <w:rStyle w:val="CharAmSchNo"/>
        </w:rPr>
        <w:t>1</w:t>
      </w:r>
      <w:r w:rsidRPr="00212D5A">
        <w:t>—</w:t>
      </w:r>
      <w:r w:rsidR="00C80F63" w:rsidRPr="00212D5A">
        <w:rPr>
          <w:rStyle w:val="CharAmSchText"/>
        </w:rPr>
        <w:t>Water for the Environment Special Account</w:t>
      </w:r>
      <w:bookmarkEnd w:id="5"/>
    </w:p>
    <w:bookmarkEnd w:id="6"/>
    <w:bookmarkEnd w:id="7"/>
    <w:p w:rsidR="00EE63F3" w:rsidRPr="00212D5A" w:rsidRDefault="00EE63F3" w:rsidP="00212D5A">
      <w:pPr>
        <w:pStyle w:val="Header"/>
      </w:pPr>
      <w:r w:rsidRPr="00212D5A">
        <w:rPr>
          <w:rStyle w:val="CharAmPartNo"/>
        </w:rPr>
        <w:t xml:space="preserve"> </w:t>
      </w:r>
      <w:r w:rsidRPr="00212D5A">
        <w:rPr>
          <w:rStyle w:val="CharAmPartText"/>
        </w:rPr>
        <w:t xml:space="preserve"> </w:t>
      </w:r>
    </w:p>
    <w:p w:rsidR="00770DCC" w:rsidRPr="00212D5A" w:rsidRDefault="00770DCC" w:rsidP="00212D5A">
      <w:pPr>
        <w:pStyle w:val="ActHead9"/>
        <w:rPr>
          <w:i w:val="0"/>
        </w:rPr>
      </w:pPr>
      <w:bookmarkStart w:id="8" w:name="_Toc348373462"/>
      <w:r w:rsidRPr="00212D5A">
        <w:t>Water Act 2007</w:t>
      </w:r>
      <w:bookmarkEnd w:id="8"/>
    </w:p>
    <w:p w:rsidR="00E24DDA" w:rsidRPr="000B37EC" w:rsidRDefault="00E24DDA" w:rsidP="00E24DDA">
      <w:pPr>
        <w:pStyle w:val="ItemHead"/>
      </w:pPr>
      <w:r w:rsidRPr="000B37EC">
        <w:t>1A  Subsection 4(1)</w:t>
      </w:r>
    </w:p>
    <w:p w:rsidR="00E24DDA" w:rsidRPr="000B37EC" w:rsidRDefault="00E24DDA" w:rsidP="00E24DDA">
      <w:pPr>
        <w:pStyle w:val="Item"/>
      </w:pPr>
      <w:r w:rsidRPr="000B37EC">
        <w:t>Insert:</w:t>
      </w:r>
    </w:p>
    <w:p w:rsidR="00E24DDA" w:rsidRPr="000B37EC" w:rsidRDefault="00E24DDA" w:rsidP="00E24DDA">
      <w:pPr>
        <w:pStyle w:val="Definition"/>
      </w:pPr>
      <w:r w:rsidRPr="000B37EC">
        <w:rPr>
          <w:b/>
          <w:i/>
        </w:rPr>
        <w:t>Lock 1</w:t>
      </w:r>
      <w:r w:rsidRPr="000B37EC">
        <w:t xml:space="preserve"> means Weir and</w:t>
      </w:r>
      <w:r w:rsidRPr="000B37EC">
        <w:rPr>
          <w:i/>
        </w:rPr>
        <w:t xml:space="preserve"> </w:t>
      </w:r>
      <w:r w:rsidRPr="000B37EC">
        <w:t>Lock No 1 Blanchetown referred to in Schedule A to the Agreement.</w:t>
      </w:r>
    </w:p>
    <w:p w:rsidR="00E24DDA" w:rsidRPr="000B37EC" w:rsidRDefault="00E24DDA" w:rsidP="00E24DDA">
      <w:pPr>
        <w:pStyle w:val="ItemHead"/>
      </w:pPr>
      <w:r w:rsidRPr="000B37EC">
        <w:t>1B  Subsection 4(1)</w:t>
      </w:r>
    </w:p>
    <w:p w:rsidR="00E24DDA" w:rsidRPr="000B37EC" w:rsidRDefault="00E24DDA" w:rsidP="00E24DDA">
      <w:pPr>
        <w:pStyle w:val="Item"/>
      </w:pPr>
      <w:r w:rsidRPr="000B37EC">
        <w:t>Insert:</w:t>
      </w:r>
    </w:p>
    <w:p w:rsidR="00E24DDA" w:rsidRPr="000B37EC" w:rsidRDefault="00E24DDA" w:rsidP="00E24DDA">
      <w:pPr>
        <w:pStyle w:val="Definition"/>
      </w:pPr>
      <w:r w:rsidRPr="000B37EC">
        <w:rPr>
          <w:b/>
          <w:i/>
        </w:rPr>
        <w:t xml:space="preserve">Lower Lakes </w:t>
      </w:r>
      <w:r w:rsidRPr="000B37EC">
        <w:t>means Lake Albert and Lake Alexandrina in South Australia.</w:t>
      </w:r>
    </w:p>
    <w:p w:rsidR="00E24DDA" w:rsidRPr="000B37EC" w:rsidRDefault="00E24DDA" w:rsidP="00E24DDA">
      <w:pPr>
        <w:pStyle w:val="ItemHead"/>
      </w:pPr>
      <w:r w:rsidRPr="000B37EC">
        <w:t>1C  Subsection 4(1)</w:t>
      </w:r>
    </w:p>
    <w:p w:rsidR="00E24DDA" w:rsidRPr="000B37EC" w:rsidRDefault="00E24DDA" w:rsidP="00E24DDA">
      <w:pPr>
        <w:pStyle w:val="Item"/>
      </w:pPr>
      <w:r w:rsidRPr="000B37EC">
        <w:t>Insert:</w:t>
      </w:r>
    </w:p>
    <w:p w:rsidR="00E24DDA" w:rsidRPr="000B37EC" w:rsidRDefault="00E24DDA" w:rsidP="00E24DDA">
      <w:pPr>
        <w:pStyle w:val="Definition"/>
      </w:pPr>
      <w:r w:rsidRPr="000B37EC">
        <w:rPr>
          <w:b/>
          <w:i/>
        </w:rPr>
        <w:t>Murray Mouth Barrages</w:t>
      </w:r>
      <w:r w:rsidRPr="000B37EC">
        <w:t xml:space="preserve"> means the Murray Mouth Barrages referred to in Schedule A to the Agreement.</w:t>
      </w:r>
    </w:p>
    <w:p w:rsidR="00770DCC" w:rsidRPr="00212D5A" w:rsidRDefault="00770DCC" w:rsidP="00212D5A">
      <w:pPr>
        <w:pStyle w:val="ItemHead"/>
      </w:pPr>
      <w:r w:rsidRPr="00212D5A">
        <w:t>1  Subsection 4(1)</w:t>
      </w:r>
    </w:p>
    <w:p w:rsidR="00770DCC" w:rsidRPr="00212D5A" w:rsidRDefault="00770DCC" w:rsidP="00212D5A">
      <w:pPr>
        <w:pStyle w:val="Item"/>
      </w:pPr>
      <w:r w:rsidRPr="00212D5A">
        <w:t>Insert:</w:t>
      </w:r>
    </w:p>
    <w:p w:rsidR="00770DCC" w:rsidRPr="00212D5A" w:rsidRDefault="00770DCC" w:rsidP="00212D5A">
      <w:pPr>
        <w:pStyle w:val="Definition"/>
      </w:pPr>
      <w:r w:rsidRPr="00212D5A">
        <w:rPr>
          <w:b/>
          <w:i/>
        </w:rPr>
        <w:t>Water for the Environment Special Account</w:t>
      </w:r>
      <w:r w:rsidRPr="00212D5A">
        <w:t xml:space="preserve"> means the Special Account established by section</w:t>
      </w:r>
      <w:r w:rsidR="00212D5A" w:rsidRPr="00212D5A">
        <w:t> </w:t>
      </w:r>
      <w:r w:rsidRPr="00212D5A">
        <w:t>86AB.</w:t>
      </w:r>
    </w:p>
    <w:p w:rsidR="00770DCC" w:rsidRPr="00212D5A" w:rsidRDefault="00770DCC" w:rsidP="00212D5A">
      <w:pPr>
        <w:pStyle w:val="ItemHead"/>
      </w:pPr>
      <w:r w:rsidRPr="00212D5A">
        <w:t>2  After Part</w:t>
      </w:r>
      <w:r w:rsidR="00212D5A" w:rsidRPr="00212D5A">
        <w:t> </w:t>
      </w:r>
      <w:r w:rsidRPr="00212D5A">
        <w:t>2</w:t>
      </w:r>
    </w:p>
    <w:p w:rsidR="00770DCC" w:rsidRPr="00212D5A" w:rsidRDefault="00770DCC" w:rsidP="00212D5A">
      <w:pPr>
        <w:pStyle w:val="Item"/>
      </w:pPr>
      <w:r w:rsidRPr="00212D5A">
        <w:t>Insert:</w:t>
      </w:r>
    </w:p>
    <w:p w:rsidR="00770DCC" w:rsidRPr="00212D5A" w:rsidRDefault="00770DCC" w:rsidP="00212D5A">
      <w:pPr>
        <w:pStyle w:val="ActHead2"/>
      </w:pPr>
      <w:bookmarkStart w:id="9" w:name="_Toc348373463"/>
      <w:r w:rsidRPr="00212D5A">
        <w:rPr>
          <w:rStyle w:val="CharPartNo"/>
        </w:rPr>
        <w:lastRenderedPageBreak/>
        <w:t>Part</w:t>
      </w:r>
      <w:r w:rsidR="00212D5A" w:rsidRPr="00212D5A">
        <w:rPr>
          <w:rStyle w:val="CharPartNo"/>
        </w:rPr>
        <w:t> </w:t>
      </w:r>
      <w:r w:rsidRPr="00212D5A">
        <w:rPr>
          <w:rStyle w:val="CharPartNo"/>
        </w:rPr>
        <w:t>2AA</w:t>
      </w:r>
      <w:r w:rsidRPr="00212D5A">
        <w:t>—</w:t>
      </w:r>
      <w:r w:rsidRPr="00212D5A">
        <w:rPr>
          <w:rStyle w:val="CharPartText"/>
        </w:rPr>
        <w:t>Water for the Environment Special Account</w:t>
      </w:r>
      <w:bookmarkEnd w:id="9"/>
    </w:p>
    <w:p w:rsidR="00770DCC" w:rsidRPr="00212D5A" w:rsidRDefault="00770DCC" w:rsidP="00212D5A">
      <w:pPr>
        <w:pStyle w:val="Header"/>
      </w:pPr>
      <w:r w:rsidRPr="00212D5A">
        <w:rPr>
          <w:rStyle w:val="CharDivNo"/>
        </w:rPr>
        <w:t xml:space="preserve"> </w:t>
      </w:r>
      <w:r w:rsidRPr="00212D5A">
        <w:rPr>
          <w:rStyle w:val="CharDivText"/>
        </w:rPr>
        <w:t xml:space="preserve"> </w:t>
      </w:r>
    </w:p>
    <w:p w:rsidR="00770DCC" w:rsidRPr="00212D5A" w:rsidRDefault="00770DCC" w:rsidP="00212D5A">
      <w:pPr>
        <w:pStyle w:val="ActHead5"/>
        <w:rPr>
          <w:i/>
        </w:rPr>
      </w:pPr>
      <w:bookmarkStart w:id="10" w:name="_Toc348373464"/>
      <w:r w:rsidRPr="00212D5A">
        <w:rPr>
          <w:rStyle w:val="CharSectno"/>
        </w:rPr>
        <w:t>86AA</w:t>
      </w:r>
      <w:r w:rsidRPr="00212D5A">
        <w:t xml:space="preserve">  Object of this Part</w:t>
      </w:r>
      <w:bookmarkEnd w:id="10"/>
    </w:p>
    <w:p w:rsidR="00770DCC" w:rsidRPr="00212D5A" w:rsidRDefault="00770DCC" w:rsidP="00212D5A">
      <w:pPr>
        <w:pStyle w:val="subsection"/>
      </w:pPr>
      <w:r w:rsidRPr="00212D5A">
        <w:tab/>
        <w:t>(1)</w:t>
      </w:r>
      <w:r w:rsidRPr="00212D5A">
        <w:tab/>
        <w:t>The object of this Part is to enhance the environmental outcomes that can be achieved by the Basin Plan, as in force from time to time, by:</w:t>
      </w:r>
    </w:p>
    <w:p w:rsidR="00770DCC" w:rsidRPr="00212D5A" w:rsidRDefault="00770DCC" w:rsidP="00212D5A">
      <w:pPr>
        <w:pStyle w:val="paragraph"/>
      </w:pPr>
      <w:r w:rsidRPr="00212D5A">
        <w:tab/>
        <w:t>(a)</w:t>
      </w:r>
      <w:r w:rsidRPr="00212D5A">
        <w:tab/>
        <w:t>protecting and restoring the environmental assets of the Murray</w:t>
      </w:r>
      <w:r w:rsidR="001267CA">
        <w:noBreakHyphen/>
      </w:r>
      <w:r w:rsidRPr="00212D5A">
        <w:t>Darling Basin; and</w:t>
      </w:r>
    </w:p>
    <w:p w:rsidR="00770DCC" w:rsidRPr="00212D5A" w:rsidRDefault="00770DCC" w:rsidP="00212D5A">
      <w:pPr>
        <w:pStyle w:val="paragraph"/>
      </w:pPr>
      <w:r w:rsidRPr="00212D5A">
        <w:tab/>
        <w:t>(b)</w:t>
      </w:r>
      <w:r w:rsidRPr="00212D5A">
        <w:tab/>
        <w:t>protecting biodiversity dependent on the Basin water resources;</w:t>
      </w:r>
    </w:p>
    <w:p w:rsidR="00770DCC" w:rsidRPr="00212D5A" w:rsidRDefault="00770DCC" w:rsidP="00212D5A">
      <w:pPr>
        <w:pStyle w:val="subsection2"/>
      </w:pPr>
      <w:r w:rsidRPr="00212D5A">
        <w:t>so as to give effect to relevant international agreements.</w:t>
      </w:r>
    </w:p>
    <w:p w:rsidR="00E24DDA" w:rsidRPr="000B37EC" w:rsidRDefault="00E24DDA" w:rsidP="00E24DDA">
      <w:pPr>
        <w:pStyle w:val="subsection"/>
      </w:pPr>
      <w:r w:rsidRPr="000B37EC">
        <w:tab/>
        <w:t>(2)</w:t>
      </w:r>
      <w:r w:rsidRPr="000B37EC">
        <w:tab/>
        <w:t>Without limiting subsection (1), environmental outcomes can be enhanced in the following ways:</w:t>
      </w:r>
    </w:p>
    <w:p w:rsidR="00E24DDA" w:rsidRPr="000B37EC" w:rsidRDefault="00E24DDA" w:rsidP="00E24DDA">
      <w:pPr>
        <w:pStyle w:val="paragraph"/>
        <w:rPr>
          <w:i/>
        </w:rPr>
      </w:pPr>
      <w:r w:rsidRPr="000B37EC">
        <w:tab/>
        <w:t>(a)</w:t>
      </w:r>
      <w:r w:rsidRPr="000B37EC">
        <w:tab/>
        <w:t>further reducing salinity levels in the Coorong and Lower Lakes so that improved water quality contributes to the health of insects, fish and plants that form important parts of the food chain, with the aim of achieving the following outcomes:</w:t>
      </w:r>
    </w:p>
    <w:p w:rsidR="00E24DDA" w:rsidRPr="000B37EC" w:rsidRDefault="00E24DDA" w:rsidP="00E24DDA">
      <w:pPr>
        <w:pStyle w:val="paragraphsub"/>
      </w:pPr>
      <w:r w:rsidRPr="000B37EC">
        <w:tab/>
        <w:t>(i)</w:t>
      </w:r>
      <w:r w:rsidRPr="000B37EC">
        <w:tab/>
        <w:t>the maximum average daily salinity in the Coorong South Lagoon is less than 100 grams per litre;</w:t>
      </w:r>
    </w:p>
    <w:p w:rsidR="00E24DDA" w:rsidRPr="000B37EC" w:rsidRDefault="00E24DDA" w:rsidP="00E24DDA">
      <w:pPr>
        <w:pStyle w:val="paragraphsub"/>
      </w:pPr>
      <w:r w:rsidRPr="000B37EC">
        <w:tab/>
        <w:t>(ii)</w:t>
      </w:r>
      <w:r w:rsidRPr="000B37EC">
        <w:tab/>
        <w:t>the maximum average daily salinity in the Coorong North Lagoon is less than 50 grams per litre;</w:t>
      </w:r>
    </w:p>
    <w:p w:rsidR="00E24DDA" w:rsidRPr="000B37EC" w:rsidRDefault="00E24DDA" w:rsidP="00E24DDA">
      <w:pPr>
        <w:pStyle w:val="paragraphsub"/>
      </w:pPr>
      <w:r w:rsidRPr="000B37EC">
        <w:tab/>
        <w:t>(iii)</w:t>
      </w:r>
      <w:r w:rsidRPr="000B37EC">
        <w:tab/>
        <w:t>the average daily salinity in Lake Alexandrina is less than 1000 microsiemens per centimetre for 95% of years and 1500 microsiemens per centimetre all of the time;</w:t>
      </w:r>
    </w:p>
    <w:p w:rsidR="00E24DDA" w:rsidRPr="000B37EC" w:rsidRDefault="00E24DDA" w:rsidP="00E24DDA">
      <w:pPr>
        <w:pStyle w:val="paragraph"/>
      </w:pPr>
      <w:r w:rsidRPr="000B37EC">
        <w:tab/>
        <w:t>(b)</w:t>
      </w:r>
      <w:r w:rsidRPr="000B37EC">
        <w:tab/>
        <w:t>keeping water levels in the Lower Lakes above:</w:t>
      </w:r>
    </w:p>
    <w:p w:rsidR="00E24DDA" w:rsidRPr="000B37EC" w:rsidRDefault="00E24DDA" w:rsidP="00E24DDA">
      <w:pPr>
        <w:pStyle w:val="paragraphsub"/>
        <w:rPr>
          <w:color w:val="000000"/>
        </w:rPr>
      </w:pPr>
      <w:r w:rsidRPr="000B37EC">
        <w:tab/>
        <w:t>(i)</w:t>
      </w:r>
      <w:r w:rsidRPr="000B37EC">
        <w:tab/>
        <w:t xml:space="preserve">0.4 metres Australian Height Datum for 95% of the time; </w:t>
      </w:r>
      <w:r w:rsidRPr="000B37EC">
        <w:rPr>
          <w:color w:val="000000"/>
        </w:rPr>
        <w:t>and</w:t>
      </w:r>
    </w:p>
    <w:p w:rsidR="00E24DDA" w:rsidRPr="000B37EC" w:rsidRDefault="00E24DDA" w:rsidP="00E24DDA">
      <w:pPr>
        <w:pStyle w:val="paragraphsub"/>
        <w:rPr>
          <w:color w:val="000000"/>
        </w:rPr>
      </w:pPr>
      <w:r w:rsidRPr="000B37EC">
        <w:rPr>
          <w:color w:val="000000"/>
        </w:rPr>
        <w:tab/>
        <w:t>(ii)</w:t>
      </w:r>
      <w:r w:rsidRPr="000B37EC">
        <w:rPr>
          <w:color w:val="000000"/>
        </w:rPr>
        <w:tab/>
        <w:t>0.0 metres Australian Height Datum at all times;</w:t>
      </w:r>
    </w:p>
    <w:p w:rsidR="00E24DDA" w:rsidRPr="000B37EC" w:rsidRDefault="00E24DDA" w:rsidP="00E24DDA">
      <w:pPr>
        <w:pStyle w:val="paragraph"/>
      </w:pPr>
      <w:r w:rsidRPr="000B37EC">
        <w:tab/>
      </w:r>
      <w:r w:rsidRPr="000B37EC">
        <w:tab/>
        <w:t>to provide additional flows to the Coorong, and to prevent acidification, acid drainage and riverbank collapse below Lock 1;</w:t>
      </w:r>
    </w:p>
    <w:p w:rsidR="00E24DDA" w:rsidRPr="000B37EC" w:rsidRDefault="00E24DDA" w:rsidP="00E24DDA">
      <w:pPr>
        <w:pStyle w:val="paragraph"/>
      </w:pPr>
      <w:r w:rsidRPr="000B37EC">
        <w:lastRenderedPageBreak/>
        <w:tab/>
        <w:t>(c)</w:t>
      </w:r>
      <w:r w:rsidRPr="000B37EC">
        <w:tab/>
        <w:t>ensuring the mouth of the River Murray is open without the need for dredging in at least 95% of years, with flows every year through the Murray Mouth Barrages;</w:t>
      </w:r>
    </w:p>
    <w:p w:rsidR="00E24DDA" w:rsidRPr="000B37EC" w:rsidRDefault="00E24DDA" w:rsidP="00E24DDA">
      <w:pPr>
        <w:pStyle w:val="paragraph"/>
      </w:pPr>
      <w:r w:rsidRPr="000B37EC">
        <w:tab/>
        <w:t>(d)</w:t>
      </w:r>
      <w:r w:rsidRPr="000B37EC">
        <w:tab/>
        <w:t>discharging 2 million tonnes of salt per year from the Murray</w:t>
      </w:r>
      <w:r w:rsidR="001267CA">
        <w:noBreakHyphen/>
      </w:r>
      <w:r w:rsidRPr="000B37EC">
        <w:t>Darling Basin as a long</w:t>
      </w:r>
      <w:r w:rsidR="001267CA">
        <w:noBreakHyphen/>
      </w:r>
      <w:r w:rsidRPr="000B37EC">
        <w:t>term average;</w:t>
      </w:r>
    </w:p>
    <w:p w:rsidR="00E24DDA" w:rsidRPr="000B37EC" w:rsidRDefault="00E24DDA" w:rsidP="00E24DDA">
      <w:pPr>
        <w:pStyle w:val="paragraph"/>
      </w:pPr>
      <w:r w:rsidRPr="000B37EC">
        <w:tab/>
        <w:t>(e)</w:t>
      </w:r>
      <w:r w:rsidRPr="000B37EC">
        <w:tab/>
        <w:t>further increasing flows to the Coorong through the Murray Mouth Barrages, and supporting fish migration;</w:t>
      </w:r>
    </w:p>
    <w:p w:rsidR="00E24DDA" w:rsidRPr="000B37EC" w:rsidRDefault="00E24DDA" w:rsidP="00E24DDA">
      <w:pPr>
        <w:pStyle w:val="paragraph"/>
      </w:pPr>
      <w:r w:rsidRPr="000B37EC">
        <w:tab/>
        <w:t>(f)</w:t>
      </w:r>
      <w:r w:rsidRPr="000B37EC">
        <w:tab/>
        <w:t>in conjunction with removing or easing constraints referred to in subparagraph (h)(ii), providing opportunities for environmental watering of an additional 35,000 hectares of floodplains in the River Murray System, to do the following:</w:t>
      </w:r>
    </w:p>
    <w:p w:rsidR="00E24DDA" w:rsidRPr="000B37EC" w:rsidRDefault="00E24DDA" w:rsidP="00E24DDA">
      <w:pPr>
        <w:pStyle w:val="paragraphsub"/>
      </w:pPr>
      <w:r w:rsidRPr="000B37EC">
        <w:tab/>
        <w:t>(i)</w:t>
      </w:r>
      <w:r w:rsidRPr="000B37EC">
        <w:tab/>
        <w:t>improve the health of forests and the habitats of fish and birds;</w:t>
      </w:r>
    </w:p>
    <w:p w:rsidR="00E24DDA" w:rsidRPr="000B37EC" w:rsidRDefault="00E24DDA" w:rsidP="00E24DDA">
      <w:pPr>
        <w:pStyle w:val="paragraphsub"/>
      </w:pPr>
      <w:r w:rsidRPr="000B37EC">
        <w:tab/>
        <w:t>(ii)</w:t>
      </w:r>
      <w:r w:rsidRPr="000B37EC">
        <w:tab/>
        <w:t>improve connections between the floodplains and rivers in the River Murray System;</w:t>
      </w:r>
    </w:p>
    <w:p w:rsidR="00E24DDA" w:rsidRPr="000B37EC" w:rsidRDefault="00E24DDA" w:rsidP="00E24DDA">
      <w:pPr>
        <w:pStyle w:val="paragraphsub"/>
      </w:pPr>
      <w:r w:rsidRPr="000B37EC">
        <w:tab/>
        <w:t>(iii)</w:t>
      </w:r>
      <w:r w:rsidRPr="000B37EC">
        <w:tab/>
        <w:t>replenish groundwater;</w:t>
      </w:r>
    </w:p>
    <w:p w:rsidR="00E24DDA" w:rsidRPr="000B37EC" w:rsidRDefault="00E24DDA" w:rsidP="00E24DDA">
      <w:pPr>
        <w:pStyle w:val="paragraph"/>
      </w:pPr>
      <w:r w:rsidRPr="000B37EC">
        <w:tab/>
        <w:t>(g)</w:t>
      </w:r>
      <w:r w:rsidRPr="000B37EC">
        <w:tab/>
        <w:t>increasing the flows of rivers and streams, and providing water to low and middle level floodplains and habitats that are adjacent to rivers and streams, in the River Murray System:</w:t>
      </w:r>
    </w:p>
    <w:p w:rsidR="00E24DDA" w:rsidRPr="000B37EC" w:rsidRDefault="00E24DDA" w:rsidP="00E24DDA">
      <w:pPr>
        <w:pStyle w:val="paragraphsub"/>
      </w:pPr>
      <w:r w:rsidRPr="000B37EC">
        <w:tab/>
        <w:t>(i)</w:t>
      </w:r>
      <w:r w:rsidRPr="000B37EC">
        <w:tab/>
        <w:t>to enhance environmental outcomes within those floodplains, habitats, rivers and streams; and</w:t>
      </w:r>
    </w:p>
    <w:p w:rsidR="00E24DDA" w:rsidRPr="000B37EC" w:rsidRDefault="00E24DDA" w:rsidP="00E24DDA">
      <w:pPr>
        <w:pStyle w:val="paragraphsub"/>
      </w:pPr>
      <w:r w:rsidRPr="000B37EC">
        <w:tab/>
        <w:t>(ii)</w:t>
      </w:r>
      <w:r w:rsidRPr="000B37EC">
        <w:tab/>
        <w:t>to improve connections between those floodplains and habitats, and those rivers and streams;</w:t>
      </w:r>
    </w:p>
    <w:p w:rsidR="00E24DDA" w:rsidRPr="000B37EC" w:rsidRDefault="00E24DDA" w:rsidP="00E24DDA">
      <w:pPr>
        <w:pStyle w:val="paragraph"/>
      </w:pPr>
      <w:r w:rsidRPr="000B37EC">
        <w:tab/>
        <w:t>(h)</w:t>
      </w:r>
      <w:r w:rsidRPr="000B37EC">
        <w:tab/>
        <w:t>in any other way that is consistent with:</w:t>
      </w:r>
    </w:p>
    <w:p w:rsidR="00E24DDA" w:rsidRPr="000B37EC" w:rsidRDefault="00E24DDA" w:rsidP="00E24DDA">
      <w:pPr>
        <w:pStyle w:val="paragraphsub"/>
      </w:pPr>
      <w:r w:rsidRPr="000B37EC">
        <w:tab/>
        <w:t>(i)</w:t>
      </w:r>
      <w:r w:rsidRPr="000B37EC">
        <w:tab/>
        <w:t>the Authority’s modelling of the effect of increasing the volume of the Basin water resources that is available for environmental use by 3200 gigalitres; and</w:t>
      </w:r>
    </w:p>
    <w:p w:rsidR="00E24DDA" w:rsidRPr="000B37EC" w:rsidRDefault="00E24DDA" w:rsidP="00E24DDA">
      <w:pPr>
        <w:pStyle w:val="paragraphsub"/>
      </w:pPr>
      <w:r w:rsidRPr="000B37EC">
        <w:tab/>
        <w:t>(ii)</w:t>
      </w:r>
      <w:r w:rsidRPr="000B37EC">
        <w:tab/>
        <w:t>easing or removing constraints on the capacity to deliver environmental water to the environmental assets of the Murray</w:t>
      </w:r>
      <w:r w:rsidR="001267CA">
        <w:noBreakHyphen/>
      </w:r>
      <w:r w:rsidRPr="000B37EC">
        <w:t>Darling Basin.</w:t>
      </w:r>
    </w:p>
    <w:p w:rsidR="00770DCC" w:rsidRPr="00212D5A" w:rsidRDefault="00770DCC" w:rsidP="00212D5A">
      <w:pPr>
        <w:pStyle w:val="subsection"/>
      </w:pPr>
      <w:r w:rsidRPr="00212D5A">
        <w:tab/>
        <w:t>(3)</w:t>
      </w:r>
      <w:r w:rsidRPr="00212D5A">
        <w:tab/>
        <w:t>The object of this Part</w:t>
      </w:r>
      <w:r w:rsidRPr="00212D5A">
        <w:rPr>
          <w:i/>
        </w:rPr>
        <w:t xml:space="preserve"> </w:t>
      </w:r>
      <w:r w:rsidRPr="00212D5A">
        <w:t>is to be achieved by:</w:t>
      </w:r>
    </w:p>
    <w:p w:rsidR="00E26C95" w:rsidRPr="00212D5A" w:rsidRDefault="00E26C95" w:rsidP="00212D5A">
      <w:pPr>
        <w:pStyle w:val="paragraph"/>
      </w:pPr>
      <w:r w:rsidRPr="00212D5A">
        <w:tab/>
        <w:t>(a)</w:t>
      </w:r>
      <w:r w:rsidRPr="00212D5A">
        <w:tab/>
        <w:t>easing or removing constraints on the capacity to deliver environmental water to the environmental assets of the Murray</w:t>
      </w:r>
      <w:r w:rsidR="001267CA">
        <w:noBreakHyphen/>
      </w:r>
      <w:r w:rsidRPr="00212D5A">
        <w:t>Darling Basin;</w:t>
      </w:r>
      <w:r w:rsidR="00141766" w:rsidRPr="00212D5A">
        <w:t xml:space="preserve"> and</w:t>
      </w:r>
    </w:p>
    <w:p w:rsidR="00770DCC" w:rsidRPr="00212D5A" w:rsidRDefault="00770DCC" w:rsidP="00212D5A">
      <w:pPr>
        <w:pStyle w:val="paragraph"/>
      </w:pPr>
      <w:r w:rsidRPr="00212D5A">
        <w:tab/>
        <w:t>(</w:t>
      </w:r>
      <w:r w:rsidR="00984432" w:rsidRPr="00212D5A">
        <w:t>b</w:t>
      </w:r>
      <w:r w:rsidRPr="00212D5A">
        <w:t>)</w:t>
      </w:r>
      <w:r w:rsidRPr="00212D5A">
        <w:tab/>
        <w:t xml:space="preserve">increasing the volume of the Basin water resources that is available for environmental use by </w:t>
      </w:r>
      <w:r w:rsidR="00E26C95" w:rsidRPr="00212D5A">
        <w:t>450 gigalitres.</w:t>
      </w:r>
    </w:p>
    <w:p w:rsidR="00770DCC" w:rsidRPr="00212D5A" w:rsidRDefault="00770DCC" w:rsidP="00212D5A">
      <w:pPr>
        <w:pStyle w:val="ActHead5"/>
      </w:pPr>
      <w:bookmarkStart w:id="11" w:name="_Toc348373465"/>
      <w:r w:rsidRPr="00212D5A">
        <w:rPr>
          <w:rStyle w:val="CharSectno"/>
        </w:rPr>
        <w:lastRenderedPageBreak/>
        <w:t>86AB</w:t>
      </w:r>
      <w:r w:rsidRPr="00212D5A">
        <w:t xml:space="preserve">  Water for the Environment Special Account</w:t>
      </w:r>
      <w:bookmarkEnd w:id="11"/>
    </w:p>
    <w:p w:rsidR="00770DCC" w:rsidRPr="00212D5A" w:rsidRDefault="00770DCC" w:rsidP="00212D5A">
      <w:pPr>
        <w:pStyle w:val="subsection"/>
      </w:pPr>
      <w:r w:rsidRPr="00212D5A">
        <w:tab/>
        <w:t>(1)</w:t>
      </w:r>
      <w:r w:rsidRPr="00212D5A">
        <w:tab/>
        <w:t>The Water for the Environment Special Account is established by this section.</w:t>
      </w:r>
    </w:p>
    <w:p w:rsidR="00770DCC" w:rsidRPr="00212D5A" w:rsidRDefault="00770DCC" w:rsidP="00212D5A">
      <w:pPr>
        <w:pStyle w:val="subsection"/>
      </w:pPr>
      <w:r w:rsidRPr="00212D5A">
        <w:tab/>
        <w:t>(2)</w:t>
      </w:r>
      <w:r w:rsidRPr="00212D5A">
        <w:tab/>
        <w:t xml:space="preserve">The Account is a Special Account for the purposes of the </w:t>
      </w:r>
      <w:r w:rsidRPr="00212D5A">
        <w:rPr>
          <w:i/>
        </w:rPr>
        <w:t>Financial Management and Accountability Act 1997</w:t>
      </w:r>
      <w:r w:rsidRPr="00212D5A">
        <w:t>.</w:t>
      </w:r>
    </w:p>
    <w:p w:rsidR="00770DCC" w:rsidRPr="00212D5A" w:rsidRDefault="00770DCC" w:rsidP="00212D5A">
      <w:pPr>
        <w:pStyle w:val="ActHead5"/>
      </w:pPr>
      <w:bookmarkStart w:id="12" w:name="_Toc348373466"/>
      <w:r w:rsidRPr="00212D5A">
        <w:rPr>
          <w:rStyle w:val="CharSectno"/>
        </w:rPr>
        <w:t>86AC</w:t>
      </w:r>
      <w:r w:rsidRPr="00212D5A">
        <w:t xml:space="preserve">  Credits to the Water for the Environment Special Account</w:t>
      </w:r>
      <w:bookmarkEnd w:id="12"/>
    </w:p>
    <w:p w:rsidR="00770DCC" w:rsidRPr="00212D5A" w:rsidRDefault="00770DCC" w:rsidP="00212D5A">
      <w:pPr>
        <w:pStyle w:val="subsection"/>
      </w:pPr>
      <w:r w:rsidRPr="00212D5A">
        <w:tab/>
        <w:t>(1)</w:t>
      </w:r>
      <w:r w:rsidRPr="00212D5A">
        <w:tab/>
        <w:t>There must be credited to the Water for the Environment Special Account the following amounts:</w:t>
      </w:r>
    </w:p>
    <w:p w:rsidR="00770DCC" w:rsidRPr="00212D5A" w:rsidRDefault="00770DCC" w:rsidP="00212D5A">
      <w:pPr>
        <w:pStyle w:val="paragraph"/>
      </w:pPr>
      <w:r w:rsidRPr="00212D5A">
        <w:tab/>
        <w:t>(a)</w:t>
      </w:r>
      <w:r w:rsidRPr="00212D5A">
        <w:tab/>
        <w:t>all amounts appropriated by the Parliament for the purposes of that Account;</w:t>
      </w:r>
    </w:p>
    <w:p w:rsidR="00770DCC" w:rsidRPr="00212D5A" w:rsidRDefault="00770DCC" w:rsidP="00212D5A">
      <w:pPr>
        <w:pStyle w:val="paragraph"/>
      </w:pPr>
      <w:r w:rsidRPr="00212D5A">
        <w:tab/>
        <w:t>(b)</w:t>
      </w:r>
      <w:r w:rsidRPr="00212D5A">
        <w:tab/>
        <w:t>amounts paid by a Basin State, under an agreement between the Commonwealth and the State, for crediting to that Account;</w:t>
      </w:r>
    </w:p>
    <w:p w:rsidR="00770DCC" w:rsidRPr="00212D5A" w:rsidRDefault="00770DCC" w:rsidP="00212D5A">
      <w:pPr>
        <w:pStyle w:val="paragraph"/>
      </w:pPr>
      <w:r w:rsidRPr="00212D5A">
        <w:tab/>
        <w:t>(c)</w:t>
      </w:r>
      <w:r w:rsidRPr="00212D5A">
        <w:tab/>
        <w:t>amounts received for crediting to that Account by the Commonwealth under any other agreement;</w:t>
      </w:r>
    </w:p>
    <w:p w:rsidR="00770DCC" w:rsidRPr="00212D5A" w:rsidRDefault="00770DCC" w:rsidP="00212D5A">
      <w:pPr>
        <w:pStyle w:val="paragraph"/>
      </w:pPr>
      <w:r w:rsidRPr="00212D5A">
        <w:tab/>
        <w:t>(d)</w:t>
      </w:r>
      <w:r w:rsidRPr="00212D5A">
        <w:tab/>
        <w:t>amounts equal to money received by the Commonwealth in relation to property paid for with amounts debited from that Account;</w:t>
      </w:r>
    </w:p>
    <w:p w:rsidR="00770DCC" w:rsidRPr="00212D5A" w:rsidRDefault="00770DCC" w:rsidP="00212D5A">
      <w:pPr>
        <w:pStyle w:val="paragraph"/>
      </w:pPr>
      <w:r w:rsidRPr="00212D5A">
        <w:tab/>
        <w:t>(e)</w:t>
      </w:r>
      <w:r w:rsidRPr="00212D5A">
        <w:tab/>
        <w:t>amounts equal to amounts of any gifts given or bequests made for the purposes of that Account.</w:t>
      </w:r>
    </w:p>
    <w:p w:rsidR="00770DCC" w:rsidRPr="00212D5A" w:rsidRDefault="00770DCC" w:rsidP="00212D5A">
      <w:pPr>
        <w:pStyle w:val="notetext"/>
      </w:pPr>
      <w:r w:rsidRPr="00212D5A">
        <w:t>Note:</w:t>
      </w:r>
      <w:r w:rsidRPr="00212D5A">
        <w:tab/>
        <w:t>An Appropriation Act provides for amounts to be credited to a Special Account if any of the purposes of the Account is a purpose that is covered by an item in the Appropriation Act.</w:t>
      </w:r>
    </w:p>
    <w:p w:rsidR="00770DCC" w:rsidRPr="00212D5A" w:rsidRDefault="00770DCC" w:rsidP="00212D5A">
      <w:pPr>
        <w:pStyle w:val="subsection"/>
      </w:pPr>
      <w:r w:rsidRPr="00212D5A">
        <w:tab/>
        <w:t>(2)</w:t>
      </w:r>
      <w:r w:rsidRPr="00212D5A">
        <w:tab/>
        <w:t>Amounts equal to money received by the Commonwealth from the disposal of or other dealings with water access rights paid for with amounts debited from the Water for the Environment Special Account are not to be credited to that Account.</w:t>
      </w:r>
    </w:p>
    <w:p w:rsidR="00770DCC" w:rsidRPr="00212D5A" w:rsidRDefault="00770DCC" w:rsidP="00212D5A">
      <w:pPr>
        <w:pStyle w:val="notetext"/>
      </w:pPr>
      <w:r w:rsidRPr="00212D5A">
        <w:t>Note:</w:t>
      </w:r>
      <w:r w:rsidRPr="00212D5A">
        <w:tab/>
        <w:t xml:space="preserve">Such amounts are instead credited to the Environmental Water Holdings Special </w:t>
      </w:r>
      <w:r w:rsidRPr="00212D5A">
        <w:rPr>
          <w:caps/>
        </w:rPr>
        <w:t>A</w:t>
      </w:r>
      <w:r w:rsidRPr="00212D5A">
        <w:t>ccount (see paragraphs 105(2)(</w:t>
      </w:r>
      <w:r w:rsidR="003C2251" w:rsidRPr="00212D5A">
        <w:t>a</w:t>
      </w:r>
      <w:r w:rsidRPr="00212D5A">
        <w:t>) and 112(1)(b)).</w:t>
      </w:r>
    </w:p>
    <w:p w:rsidR="00770DCC" w:rsidRPr="00212D5A" w:rsidRDefault="00770DCC" w:rsidP="00212D5A">
      <w:pPr>
        <w:pStyle w:val="ActHead5"/>
      </w:pPr>
      <w:bookmarkStart w:id="13" w:name="_Toc348373467"/>
      <w:r w:rsidRPr="00212D5A">
        <w:rPr>
          <w:rStyle w:val="CharSectno"/>
        </w:rPr>
        <w:t>86AD</w:t>
      </w:r>
      <w:r w:rsidRPr="00212D5A">
        <w:t xml:space="preserve">  Purposes of the Water for the Environment Special Account</w:t>
      </w:r>
      <w:bookmarkEnd w:id="13"/>
    </w:p>
    <w:p w:rsidR="00770DCC" w:rsidRPr="00212D5A" w:rsidRDefault="00770DCC" w:rsidP="00212D5A">
      <w:pPr>
        <w:pStyle w:val="subsection"/>
        <w:keepNext/>
      </w:pPr>
      <w:r w:rsidRPr="00212D5A">
        <w:tab/>
        <w:t>(1)</w:t>
      </w:r>
      <w:r w:rsidRPr="00212D5A">
        <w:tab/>
        <w:t>This section sets out the purposes of the Water for the Environment Special Account.</w:t>
      </w:r>
    </w:p>
    <w:p w:rsidR="00770DCC" w:rsidRPr="00212D5A" w:rsidRDefault="00770DCC" w:rsidP="00212D5A">
      <w:pPr>
        <w:pStyle w:val="subsection"/>
      </w:pPr>
      <w:r w:rsidRPr="00212D5A">
        <w:tab/>
        <w:t>(2)</w:t>
      </w:r>
      <w:r w:rsidRPr="00212D5A">
        <w:tab/>
        <w:t>Amounts standing to the credit of the Water for the Environment Special Account may be debited for any of the following purposes:</w:t>
      </w:r>
    </w:p>
    <w:p w:rsidR="00770DCC" w:rsidRPr="00212D5A" w:rsidRDefault="00770DCC" w:rsidP="00212D5A">
      <w:pPr>
        <w:pStyle w:val="paragraph"/>
      </w:pPr>
      <w:r w:rsidRPr="00212D5A">
        <w:lastRenderedPageBreak/>
        <w:tab/>
        <w:t>(a)</w:t>
      </w:r>
      <w:r w:rsidRPr="00212D5A">
        <w:tab/>
        <w:t xml:space="preserve">making payments in relation to projects whose aim is to further the object of this Part by doing </w:t>
      </w:r>
      <w:r w:rsidR="00DE03DE" w:rsidRPr="00212D5A">
        <w:t xml:space="preserve">one or more of </w:t>
      </w:r>
      <w:r w:rsidRPr="00212D5A">
        <w:t>the following:</w:t>
      </w:r>
    </w:p>
    <w:p w:rsidR="00770DCC" w:rsidRPr="00212D5A" w:rsidRDefault="00770DCC" w:rsidP="00212D5A">
      <w:pPr>
        <w:pStyle w:val="paragraphsub"/>
      </w:pPr>
      <w:r w:rsidRPr="00212D5A">
        <w:tab/>
        <w:t>(i)</w:t>
      </w:r>
      <w:r w:rsidRPr="00212D5A">
        <w:tab/>
        <w:t>improving the water efficiency of the infrastructure that uses Basin water resources for irrigation;</w:t>
      </w:r>
    </w:p>
    <w:p w:rsidR="00770DCC" w:rsidRPr="00212D5A" w:rsidRDefault="00770DCC" w:rsidP="00212D5A">
      <w:pPr>
        <w:pStyle w:val="paragraphsub"/>
      </w:pPr>
      <w:r w:rsidRPr="00212D5A">
        <w:tab/>
        <w:t>(ii)</w:t>
      </w:r>
      <w:r w:rsidRPr="00212D5A">
        <w:tab/>
        <w:t>improving the water efficiency of any other infrastructure that delivers, stores or drains Basin water resources for the primary purpose of providing water for irrigation;</w:t>
      </w:r>
    </w:p>
    <w:p w:rsidR="00770DCC" w:rsidRPr="00212D5A" w:rsidRDefault="00770DCC" w:rsidP="00212D5A">
      <w:pPr>
        <w:pStyle w:val="paragraphsub"/>
      </w:pPr>
      <w:r w:rsidRPr="00212D5A">
        <w:tab/>
        <w:t>(iii)</w:t>
      </w:r>
      <w:r w:rsidRPr="00212D5A">
        <w:tab/>
        <w:t>improving or modifying any infrastructure (including bridges and roads) that constrains the delivery of environmental water to the environmental assets of the Murray</w:t>
      </w:r>
      <w:r w:rsidR="001267CA">
        <w:noBreakHyphen/>
      </w:r>
      <w:r w:rsidRPr="00212D5A">
        <w:t>Darling Basin in order to ease or remove those constraints;</w:t>
      </w:r>
    </w:p>
    <w:p w:rsidR="00EA76C5" w:rsidRPr="000B37EC" w:rsidRDefault="00EA76C5" w:rsidP="00EA76C5">
      <w:pPr>
        <w:pStyle w:val="paragraphsub"/>
      </w:pPr>
      <w:r w:rsidRPr="000B37EC">
        <w:tab/>
        <w:t>(iv)</w:t>
      </w:r>
      <w:r w:rsidRPr="000B37EC">
        <w:tab/>
        <w:t>better utilising existing dams and storages to deliver environmental water to the environmental assets of the Murray</w:t>
      </w:r>
      <w:r w:rsidR="001267CA">
        <w:noBreakHyphen/>
      </w:r>
      <w:r w:rsidRPr="000B37EC">
        <w:t>Darling Basin</w:t>
      </w:r>
      <w:r w:rsidRPr="000B37EC">
        <w:rPr>
          <w:sz w:val="24"/>
          <w:szCs w:val="24"/>
        </w:rPr>
        <w:t>;</w:t>
      </w:r>
    </w:p>
    <w:p w:rsidR="00770DCC" w:rsidRPr="00212D5A" w:rsidRDefault="00770DCC" w:rsidP="00212D5A">
      <w:pPr>
        <w:pStyle w:val="paragraphsub"/>
      </w:pPr>
      <w:r w:rsidRPr="00212D5A">
        <w:tab/>
        <w:t>(v)</w:t>
      </w:r>
      <w:r w:rsidRPr="00212D5A">
        <w:tab/>
        <w:t>entering agreements to acquire an interest in, or in relation to, land (including easements) to facilitate environmental watering of the environmental assets of the Murray</w:t>
      </w:r>
      <w:r w:rsidR="001267CA">
        <w:noBreakHyphen/>
      </w:r>
      <w:r w:rsidRPr="00212D5A">
        <w:t>Darling Basin;</w:t>
      </w:r>
    </w:p>
    <w:p w:rsidR="00770DCC" w:rsidRPr="00212D5A" w:rsidRDefault="00770DCC" w:rsidP="00212D5A">
      <w:pPr>
        <w:pStyle w:val="paragraphsub"/>
      </w:pPr>
      <w:r w:rsidRPr="00212D5A">
        <w:tab/>
        <w:t>(vi)</w:t>
      </w:r>
      <w:r w:rsidRPr="00212D5A">
        <w:tab/>
        <w:t>improving the rules, policies, practices and procedures in relation to the use and management of the Basin water resources;</w:t>
      </w:r>
    </w:p>
    <w:p w:rsidR="00770DCC" w:rsidRPr="00212D5A" w:rsidRDefault="00770DCC" w:rsidP="00212D5A">
      <w:pPr>
        <w:pStyle w:val="paragraph"/>
      </w:pPr>
      <w:r w:rsidRPr="00212D5A">
        <w:tab/>
        <w:t>(b)</w:t>
      </w:r>
      <w:r w:rsidRPr="00212D5A">
        <w:tab/>
        <w:t xml:space="preserve">purchasing water access rights </w:t>
      </w:r>
      <w:r w:rsidR="00DE03DE" w:rsidRPr="00212D5A">
        <w:t xml:space="preserve">in relation to </w:t>
      </w:r>
      <w:r w:rsidRPr="00212D5A">
        <w:t>Basin water resources for the purpose of furthering the object of this Part;</w:t>
      </w:r>
    </w:p>
    <w:p w:rsidR="00770DCC" w:rsidRPr="00212D5A" w:rsidRDefault="00770DCC" w:rsidP="00212D5A">
      <w:pPr>
        <w:pStyle w:val="paragraph"/>
      </w:pPr>
      <w:r w:rsidRPr="00212D5A">
        <w:tab/>
        <w:t>(c)</w:t>
      </w:r>
      <w:r w:rsidRPr="00212D5A">
        <w:tab/>
        <w:t>making any other payments:</w:t>
      </w:r>
    </w:p>
    <w:p w:rsidR="00770DCC" w:rsidRPr="00212D5A" w:rsidRDefault="00770DCC" w:rsidP="00212D5A">
      <w:pPr>
        <w:pStyle w:val="paragraphsub"/>
      </w:pPr>
      <w:r w:rsidRPr="00212D5A">
        <w:tab/>
        <w:t>(i)</w:t>
      </w:r>
      <w:r w:rsidRPr="00212D5A">
        <w:tab/>
        <w:t>in relation to projects whose aim is to further the object of this Part; or</w:t>
      </w:r>
    </w:p>
    <w:p w:rsidR="00770DCC" w:rsidRPr="00212D5A" w:rsidRDefault="00770DCC" w:rsidP="00212D5A">
      <w:pPr>
        <w:pStyle w:val="paragraphsub"/>
      </w:pPr>
      <w:r w:rsidRPr="00212D5A">
        <w:tab/>
        <w:t>(ii)</w:t>
      </w:r>
      <w:r w:rsidRPr="00212D5A">
        <w:tab/>
        <w:t>to address any detrimental social or economic impact on the wellbeing of any community in the Murray</w:t>
      </w:r>
      <w:r w:rsidR="001267CA">
        <w:noBreakHyphen/>
      </w:r>
      <w:r w:rsidRPr="00212D5A">
        <w:t>Darling Basin</w:t>
      </w:r>
      <w:r w:rsidRPr="00212D5A">
        <w:rPr>
          <w:i/>
        </w:rPr>
        <w:t xml:space="preserve"> </w:t>
      </w:r>
      <w:r w:rsidRPr="00212D5A">
        <w:t xml:space="preserve">that is associated with a project or purchase referred to in </w:t>
      </w:r>
      <w:r w:rsidR="00212D5A" w:rsidRPr="00212D5A">
        <w:t>paragraph (</w:t>
      </w:r>
      <w:r w:rsidRPr="00212D5A">
        <w:t xml:space="preserve">a) or (b) or </w:t>
      </w:r>
      <w:r w:rsidR="00212D5A" w:rsidRPr="00212D5A">
        <w:t>subparagraph (</w:t>
      </w:r>
      <w:r w:rsidRPr="00212D5A">
        <w:t>c)(i) so as to offset any such impact;</w:t>
      </w:r>
    </w:p>
    <w:p w:rsidR="00770DCC" w:rsidRDefault="00770DCC" w:rsidP="00212D5A">
      <w:pPr>
        <w:pStyle w:val="paragraph"/>
      </w:pPr>
      <w:r w:rsidRPr="00212D5A">
        <w:tab/>
        <w:t>(d)</w:t>
      </w:r>
      <w:r w:rsidRPr="00212D5A">
        <w:tab/>
        <w:t>meeting the expenses of administering the Account.</w:t>
      </w:r>
    </w:p>
    <w:p w:rsidR="004A3239" w:rsidRPr="000B37EC" w:rsidRDefault="004A3239" w:rsidP="004A3239">
      <w:pPr>
        <w:pStyle w:val="notetext"/>
      </w:pPr>
      <w:r w:rsidRPr="000B37EC">
        <w:t>Note 1:</w:t>
      </w:r>
      <w:r w:rsidRPr="000B37EC">
        <w:tab/>
        <w:t>As a result of subsection (4) of this section, water access rights may be purchased only if the purchase is related to an adjustment of a long</w:t>
      </w:r>
      <w:r w:rsidR="001267CA">
        <w:noBreakHyphen/>
      </w:r>
      <w:r w:rsidRPr="000B37EC">
        <w:t xml:space="preserve">term average sustainable diversion limit under section 23A. That section requires the Basin Plan to prescribe criteria in relation to such adjustments. The effect of the criteria prescribed by the Basin </w:t>
      </w:r>
      <w:r w:rsidRPr="000B37EC">
        <w:rPr>
          <w:lang w:eastAsia="en-US"/>
        </w:rPr>
        <w:t xml:space="preserve">Plan is that water access rights may be purchased only in conjunction with </w:t>
      </w:r>
      <w:r w:rsidRPr="000B37EC">
        <w:rPr>
          <w:lang w:eastAsia="en-US"/>
        </w:rPr>
        <w:lastRenderedPageBreak/>
        <w:t>improving irrigation water use efficiency on farms or an alternative arrangement proposed by a Basin State.</w:t>
      </w:r>
    </w:p>
    <w:p w:rsidR="004A3239" w:rsidRPr="000B37EC" w:rsidRDefault="004A3239" w:rsidP="004A3239">
      <w:pPr>
        <w:pStyle w:val="notetext"/>
      </w:pPr>
      <w:r w:rsidRPr="000B37EC">
        <w:t>Note 2:</w:t>
      </w:r>
      <w:r w:rsidRPr="000B37EC">
        <w:tab/>
        <w:t>Under this Part, the Commonwealth will not conduct open tender rounds that are available to all water access entitlement holders in a water resource plan area to purchase water access rights.</w:t>
      </w:r>
    </w:p>
    <w:p w:rsidR="00770DCC" w:rsidRPr="00212D5A" w:rsidRDefault="00770DCC" w:rsidP="00212D5A">
      <w:pPr>
        <w:pStyle w:val="subsection"/>
      </w:pPr>
      <w:r w:rsidRPr="00212D5A">
        <w:tab/>
        <w:t>(3)</w:t>
      </w:r>
      <w:r w:rsidRPr="00212D5A">
        <w:tab/>
        <w:t>For the purposes of this section, the expenses of administering the Water for the Environment Special Account do not include the cost of salaries of the Department.</w:t>
      </w:r>
    </w:p>
    <w:p w:rsidR="00770DCC" w:rsidRPr="00212D5A" w:rsidRDefault="00770DCC" w:rsidP="00212D5A">
      <w:pPr>
        <w:pStyle w:val="subsection"/>
      </w:pPr>
      <w:r w:rsidRPr="00212D5A">
        <w:tab/>
        <w:t>(4)</w:t>
      </w:r>
      <w:r w:rsidRPr="00212D5A">
        <w:tab/>
        <w:t xml:space="preserve">An amount may be debited from the Water for the Environment Special Account for the purpose of making a payment in relation to a project or purchase referred to in </w:t>
      </w:r>
      <w:r w:rsidR="00212D5A" w:rsidRPr="00212D5A">
        <w:t>paragraph (</w:t>
      </w:r>
      <w:r w:rsidRPr="00212D5A">
        <w:t xml:space="preserve">2)(a) or (b) or </w:t>
      </w:r>
      <w:r w:rsidR="00212D5A" w:rsidRPr="00212D5A">
        <w:t>subparagraph (</w:t>
      </w:r>
      <w:r w:rsidRPr="00212D5A">
        <w:t>2)(c)(i) only if the project or purchase is</w:t>
      </w:r>
      <w:r w:rsidR="00EF357D" w:rsidRPr="00212D5A">
        <w:t xml:space="preserve"> related to </w:t>
      </w:r>
      <w:r w:rsidRPr="00212D5A">
        <w:t>a</w:t>
      </w:r>
      <w:r w:rsidR="003A0714" w:rsidRPr="00212D5A">
        <w:t>n</w:t>
      </w:r>
      <w:r w:rsidR="00EF357D" w:rsidRPr="00212D5A">
        <w:t xml:space="preserve"> </w:t>
      </w:r>
      <w:r w:rsidRPr="00212D5A">
        <w:t>adjustment</w:t>
      </w:r>
      <w:r w:rsidR="003A0714" w:rsidRPr="00212D5A">
        <w:t xml:space="preserve"> </w:t>
      </w:r>
      <w:r w:rsidRPr="00212D5A">
        <w:t>of a long</w:t>
      </w:r>
      <w:r w:rsidR="001267CA">
        <w:noBreakHyphen/>
      </w:r>
      <w:r w:rsidRPr="00212D5A">
        <w:t>term average sustainable diversion limit for the water resources of a particular water resource plan area (or a particular part of those water resources) under section</w:t>
      </w:r>
      <w:r w:rsidR="00212D5A" w:rsidRPr="00212D5A">
        <w:t> </w:t>
      </w:r>
      <w:r w:rsidRPr="00212D5A">
        <w:t xml:space="preserve">23A </w:t>
      </w:r>
      <w:r w:rsidR="00E25250" w:rsidRPr="00212D5A">
        <w:t>(whether or not the adjustment has been proposed</w:t>
      </w:r>
      <w:r w:rsidR="00224827" w:rsidRPr="00212D5A">
        <w:t>,</w:t>
      </w:r>
      <w:r w:rsidR="00E25250" w:rsidRPr="00212D5A">
        <w:t xml:space="preserve"> </w:t>
      </w:r>
      <w:r w:rsidR="00224827" w:rsidRPr="00212D5A">
        <w:t xml:space="preserve">and whether or not the adjustment has been </w:t>
      </w:r>
      <w:r w:rsidR="00E25250" w:rsidRPr="00212D5A">
        <w:t xml:space="preserve">adopted as an amendment) </w:t>
      </w:r>
      <w:r w:rsidRPr="00212D5A">
        <w:t>because the project or purchase achieves the object of this Part in accordance with subsection 86AA(3).</w:t>
      </w:r>
    </w:p>
    <w:p w:rsidR="00770DCC" w:rsidRPr="00212D5A" w:rsidRDefault="00770DCC" w:rsidP="00212D5A">
      <w:pPr>
        <w:pStyle w:val="notetext"/>
      </w:pPr>
      <w:r w:rsidRPr="00212D5A">
        <w:t>Note:</w:t>
      </w:r>
      <w:r w:rsidRPr="00212D5A">
        <w:tab/>
        <w:t xml:space="preserve">A proposed adjustment </w:t>
      </w:r>
      <w:r w:rsidR="003C2251" w:rsidRPr="00212D5A">
        <w:t>may be</w:t>
      </w:r>
      <w:r w:rsidRPr="00212D5A">
        <w:t xml:space="preserve"> adopted by the Minister as an amendment of the Basin Plan under subsection 23B(6).</w:t>
      </w:r>
    </w:p>
    <w:p w:rsidR="00770DCC" w:rsidRPr="00212D5A" w:rsidRDefault="00770DCC" w:rsidP="00212D5A">
      <w:pPr>
        <w:pStyle w:val="ActHead5"/>
      </w:pPr>
      <w:bookmarkStart w:id="14" w:name="_Toc348373468"/>
      <w:r w:rsidRPr="00212D5A">
        <w:rPr>
          <w:rStyle w:val="CharSectno"/>
        </w:rPr>
        <w:t>86AE</w:t>
      </w:r>
      <w:r w:rsidRPr="00212D5A">
        <w:t xml:space="preserve">  Commonwealth environmental water holdings</w:t>
      </w:r>
      <w:bookmarkEnd w:id="14"/>
    </w:p>
    <w:p w:rsidR="00770DCC" w:rsidRPr="00212D5A" w:rsidRDefault="00770DCC" w:rsidP="00212D5A">
      <w:pPr>
        <w:pStyle w:val="subsection"/>
      </w:pPr>
      <w:r w:rsidRPr="00212D5A">
        <w:tab/>
        <w:t>(1)</w:t>
      </w:r>
      <w:r w:rsidRPr="00212D5A">
        <w:tab/>
        <w:t>To avoid doubt, water access rights acquired by the Commonwealth with amounts debited from the Water for the Environment Special Account form part of the Commonwealth environmental water holdings (see section</w:t>
      </w:r>
      <w:r w:rsidR="00212D5A" w:rsidRPr="00212D5A">
        <w:t> </w:t>
      </w:r>
      <w:r w:rsidRPr="00212D5A">
        <w:t>108).</w:t>
      </w:r>
    </w:p>
    <w:p w:rsidR="00770DCC" w:rsidRPr="00212D5A" w:rsidRDefault="00770DCC" w:rsidP="00212D5A">
      <w:pPr>
        <w:pStyle w:val="notetext"/>
      </w:pPr>
      <w:r w:rsidRPr="00212D5A">
        <w:t>Note:</w:t>
      </w:r>
      <w:r w:rsidRPr="00212D5A">
        <w:tab/>
        <w:t xml:space="preserve">The Commonwealth Environmental Water Holder must (subject to </w:t>
      </w:r>
      <w:r w:rsidR="00212D5A" w:rsidRPr="00212D5A">
        <w:t>subsection (</w:t>
      </w:r>
      <w:r w:rsidRPr="00212D5A">
        <w:t>2) of this section) dispose or otherwise deal with Commonwealth environmental water holdings in accordance with sections</w:t>
      </w:r>
      <w:r w:rsidR="00212D5A" w:rsidRPr="00212D5A">
        <w:t> </w:t>
      </w:r>
      <w:r w:rsidRPr="00212D5A">
        <w:t>105 and 106.</w:t>
      </w:r>
    </w:p>
    <w:p w:rsidR="00770DCC" w:rsidRPr="00212D5A" w:rsidRDefault="00770DCC" w:rsidP="00212D5A">
      <w:pPr>
        <w:pStyle w:val="subsection"/>
      </w:pPr>
      <w:r w:rsidRPr="00212D5A">
        <w:tab/>
        <w:t>(2)</w:t>
      </w:r>
      <w:r w:rsidRPr="00212D5A">
        <w:tab/>
        <w:t>Paragraphs 105(3)(b) and (4)(b) and 106(2)(b) and (c), and subsection 105(5), do not apply in relation to any water access right that forms part of the Commonwealth environmental water holdings if the water access right was acquired by the Commonwealth with amounts debited from the Water for the Environment Special Account.</w:t>
      </w:r>
    </w:p>
    <w:p w:rsidR="00770DCC" w:rsidRPr="00212D5A" w:rsidRDefault="00770DCC" w:rsidP="00212D5A">
      <w:pPr>
        <w:pStyle w:val="ActHead5"/>
      </w:pPr>
      <w:bookmarkStart w:id="15" w:name="_Toc348373469"/>
      <w:r w:rsidRPr="00212D5A">
        <w:rPr>
          <w:rStyle w:val="CharSectno"/>
        </w:rPr>
        <w:lastRenderedPageBreak/>
        <w:t>86AF</w:t>
      </w:r>
      <w:r w:rsidRPr="00212D5A">
        <w:t xml:space="preserve">  Arrangements to make payments</w:t>
      </w:r>
      <w:bookmarkEnd w:id="15"/>
    </w:p>
    <w:p w:rsidR="00770DCC" w:rsidRPr="00212D5A" w:rsidRDefault="00770DCC" w:rsidP="00212D5A">
      <w:pPr>
        <w:pStyle w:val="subsection"/>
      </w:pPr>
      <w:r w:rsidRPr="00212D5A">
        <w:tab/>
        <w:t>(1)</w:t>
      </w:r>
      <w:r w:rsidRPr="00212D5A">
        <w:tab/>
        <w:t>The Minister may, on behalf of the Commonwealth, enter into arrangements and make payments for the purposes of subsection 86AD(2).</w:t>
      </w:r>
    </w:p>
    <w:p w:rsidR="00770DCC" w:rsidRPr="00212D5A" w:rsidRDefault="00770DCC" w:rsidP="00212D5A">
      <w:pPr>
        <w:pStyle w:val="subsection"/>
      </w:pPr>
      <w:r w:rsidRPr="00212D5A">
        <w:tab/>
        <w:t>(2)</w:t>
      </w:r>
      <w:r w:rsidRPr="00212D5A">
        <w:tab/>
        <w:t>If a Basin State is granted financial assistance with an amount debited from the Water for the Environment Special Account, the terms and conditions on which that financial assistance is granted are to be set out in a written agreement between the Commonwealth and the Basin State.</w:t>
      </w:r>
    </w:p>
    <w:p w:rsidR="00770DCC" w:rsidRPr="00212D5A" w:rsidRDefault="00770DCC" w:rsidP="00212D5A">
      <w:pPr>
        <w:pStyle w:val="ActHead5"/>
      </w:pPr>
      <w:bookmarkStart w:id="16" w:name="_Toc348373470"/>
      <w:r w:rsidRPr="00212D5A">
        <w:rPr>
          <w:rStyle w:val="CharSectno"/>
        </w:rPr>
        <w:t>86AG</w:t>
      </w:r>
      <w:r w:rsidRPr="00212D5A">
        <w:t xml:space="preserve">  Amounts to be credited to the Water for the Environment Special Account</w:t>
      </w:r>
      <w:bookmarkEnd w:id="16"/>
    </w:p>
    <w:p w:rsidR="00770DCC" w:rsidRPr="00212D5A" w:rsidRDefault="00770DCC" w:rsidP="00212D5A">
      <w:pPr>
        <w:pStyle w:val="subsection"/>
      </w:pPr>
      <w:r w:rsidRPr="00212D5A">
        <w:tab/>
      </w:r>
      <w:r w:rsidRPr="00212D5A">
        <w:tab/>
        <w:t>At the beginning of 1</w:t>
      </w:r>
      <w:r w:rsidR="00212D5A" w:rsidRPr="00212D5A">
        <w:t> </w:t>
      </w:r>
      <w:r w:rsidRPr="00212D5A">
        <w:t xml:space="preserve">July in each financial year specified in the following table, the amount specified </w:t>
      </w:r>
      <w:r w:rsidR="00DE03DE" w:rsidRPr="00212D5A">
        <w:t xml:space="preserve">in the table </w:t>
      </w:r>
      <w:r w:rsidRPr="00212D5A">
        <w:t>for that year is credited by force of this section to the Water for the Environment Special Account.</w:t>
      </w:r>
    </w:p>
    <w:p w:rsidR="00770DCC" w:rsidRPr="00212D5A" w:rsidRDefault="00770DCC" w:rsidP="00212D5A">
      <w:pPr>
        <w:pStyle w:val="Tabletext"/>
      </w:pPr>
    </w:p>
    <w:tbl>
      <w:tblPr>
        <w:tblW w:w="7225"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4156"/>
        <w:gridCol w:w="2355"/>
      </w:tblGrid>
      <w:tr w:rsidR="00770DCC" w:rsidRPr="00212D5A" w:rsidTr="00C16827">
        <w:trPr>
          <w:tblHeader/>
        </w:trPr>
        <w:tc>
          <w:tcPr>
            <w:tcW w:w="7225" w:type="dxa"/>
            <w:gridSpan w:val="3"/>
            <w:tcBorders>
              <w:top w:val="single" w:sz="12" w:space="0" w:color="auto"/>
              <w:bottom w:val="single" w:sz="6" w:space="0" w:color="auto"/>
            </w:tcBorders>
            <w:shd w:val="clear" w:color="auto" w:fill="auto"/>
          </w:tcPr>
          <w:p w:rsidR="00770DCC" w:rsidRPr="00212D5A" w:rsidRDefault="00770DCC" w:rsidP="00212D5A">
            <w:pPr>
              <w:pStyle w:val="Tabletext"/>
              <w:keepNext/>
              <w:rPr>
                <w:b/>
              </w:rPr>
            </w:pPr>
            <w:r w:rsidRPr="00212D5A">
              <w:rPr>
                <w:b/>
              </w:rPr>
              <w:t>Yearly payments</w:t>
            </w:r>
          </w:p>
        </w:tc>
      </w:tr>
      <w:tr w:rsidR="00770DCC" w:rsidRPr="00212D5A" w:rsidTr="00C16827">
        <w:trPr>
          <w:tblHeader/>
        </w:trPr>
        <w:tc>
          <w:tcPr>
            <w:tcW w:w="714" w:type="dxa"/>
            <w:tcBorders>
              <w:top w:val="single" w:sz="6" w:space="0" w:color="auto"/>
              <w:bottom w:val="single" w:sz="12" w:space="0" w:color="auto"/>
            </w:tcBorders>
            <w:shd w:val="clear" w:color="auto" w:fill="auto"/>
          </w:tcPr>
          <w:p w:rsidR="00770DCC" w:rsidRPr="00212D5A" w:rsidRDefault="00770DCC" w:rsidP="00212D5A">
            <w:pPr>
              <w:pStyle w:val="Tabletext"/>
              <w:keepNext/>
              <w:rPr>
                <w:b/>
              </w:rPr>
            </w:pPr>
            <w:r w:rsidRPr="00212D5A">
              <w:rPr>
                <w:b/>
              </w:rPr>
              <w:t>Item</w:t>
            </w:r>
          </w:p>
        </w:tc>
        <w:tc>
          <w:tcPr>
            <w:tcW w:w="4156" w:type="dxa"/>
            <w:tcBorders>
              <w:top w:val="single" w:sz="6" w:space="0" w:color="auto"/>
              <w:bottom w:val="single" w:sz="12" w:space="0" w:color="auto"/>
            </w:tcBorders>
            <w:shd w:val="clear" w:color="auto" w:fill="auto"/>
          </w:tcPr>
          <w:p w:rsidR="00770DCC" w:rsidRPr="00212D5A" w:rsidRDefault="00770DCC" w:rsidP="00212D5A">
            <w:pPr>
              <w:pStyle w:val="Tabletext"/>
              <w:keepNext/>
              <w:rPr>
                <w:b/>
              </w:rPr>
            </w:pPr>
            <w:r w:rsidRPr="00212D5A">
              <w:rPr>
                <w:b/>
              </w:rPr>
              <w:t>Financial year</w:t>
            </w:r>
          </w:p>
        </w:tc>
        <w:tc>
          <w:tcPr>
            <w:tcW w:w="2355" w:type="dxa"/>
            <w:tcBorders>
              <w:top w:val="single" w:sz="6" w:space="0" w:color="auto"/>
              <w:bottom w:val="single" w:sz="12" w:space="0" w:color="auto"/>
            </w:tcBorders>
            <w:shd w:val="clear" w:color="auto" w:fill="auto"/>
          </w:tcPr>
          <w:p w:rsidR="00770DCC" w:rsidRPr="00212D5A" w:rsidRDefault="00770DCC" w:rsidP="00212D5A">
            <w:pPr>
              <w:pStyle w:val="Tabletext"/>
              <w:keepNext/>
              <w:rPr>
                <w:b/>
              </w:rPr>
            </w:pPr>
            <w:r w:rsidRPr="00212D5A">
              <w:rPr>
                <w:b/>
              </w:rPr>
              <w:t>Amount for financial year</w:t>
            </w:r>
          </w:p>
        </w:tc>
      </w:tr>
      <w:tr w:rsidR="004A7E69" w:rsidRPr="00212D5A" w:rsidTr="00C16827">
        <w:tc>
          <w:tcPr>
            <w:tcW w:w="714" w:type="dxa"/>
            <w:tcBorders>
              <w:top w:val="single" w:sz="12" w:space="0" w:color="auto"/>
            </w:tcBorders>
            <w:shd w:val="clear" w:color="auto" w:fill="auto"/>
          </w:tcPr>
          <w:p w:rsidR="004A7E69" w:rsidRPr="00212D5A" w:rsidRDefault="004A7E69" w:rsidP="00212D5A">
            <w:pPr>
              <w:pStyle w:val="Tabletext"/>
            </w:pPr>
            <w:r w:rsidRPr="00212D5A">
              <w:t>1</w:t>
            </w:r>
          </w:p>
        </w:tc>
        <w:tc>
          <w:tcPr>
            <w:tcW w:w="4156" w:type="dxa"/>
            <w:tcBorders>
              <w:top w:val="single" w:sz="12" w:space="0" w:color="auto"/>
            </w:tcBorders>
            <w:shd w:val="clear" w:color="auto" w:fill="auto"/>
          </w:tcPr>
          <w:p w:rsidR="004A7E69" w:rsidRPr="00212D5A" w:rsidRDefault="004A7E69" w:rsidP="00212D5A">
            <w:pPr>
              <w:pStyle w:val="Tabletext"/>
            </w:pPr>
            <w:r w:rsidRPr="00212D5A">
              <w:t>2014</w:t>
            </w:r>
            <w:r w:rsidR="001267CA">
              <w:noBreakHyphen/>
            </w:r>
            <w:r w:rsidRPr="00212D5A">
              <w:t>2015</w:t>
            </w:r>
          </w:p>
        </w:tc>
        <w:tc>
          <w:tcPr>
            <w:tcW w:w="2355" w:type="dxa"/>
            <w:tcBorders>
              <w:top w:val="single" w:sz="12" w:space="0" w:color="auto"/>
            </w:tcBorders>
            <w:shd w:val="clear" w:color="auto" w:fill="auto"/>
          </w:tcPr>
          <w:p w:rsidR="004A7E69" w:rsidRPr="00212D5A" w:rsidRDefault="004A7E69" w:rsidP="00212D5A">
            <w:pPr>
              <w:pStyle w:val="Tabletext"/>
            </w:pPr>
            <w:r w:rsidRPr="00212D5A">
              <w:t>$15,000,000.00</w:t>
            </w:r>
          </w:p>
        </w:tc>
      </w:tr>
      <w:tr w:rsidR="004A7E69" w:rsidRPr="00212D5A" w:rsidTr="00C16827">
        <w:tc>
          <w:tcPr>
            <w:tcW w:w="714" w:type="dxa"/>
            <w:shd w:val="clear" w:color="auto" w:fill="auto"/>
          </w:tcPr>
          <w:p w:rsidR="004A7E69" w:rsidRPr="00212D5A" w:rsidRDefault="004A7E69" w:rsidP="00212D5A">
            <w:pPr>
              <w:pStyle w:val="Tabletext"/>
            </w:pPr>
            <w:r w:rsidRPr="00212D5A">
              <w:t>2</w:t>
            </w:r>
          </w:p>
        </w:tc>
        <w:tc>
          <w:tcPr>
            <w:tcW w:w="4156" w:type="dxa"/>
            <w:shd w:val="clear" w:color="auto" w:fill="auto"/>
          </w:tcPr>
          <w:p w:rsidR="004A7E69" w:rsidRPr="00212D5A" w:rsidRDefault="004A7E69" w:rsidP="00212D5A">
            <w:pPr>
              <w:pStyle w:val="Tabletext"/>
            </w:pPr>
            <w:r w:rsidRPr="00212D5A">
              <w:t>2015</w:t>
            </w:r>
            <w:r w:rsidR="001267CA">
              <w:noBreakHyphen/>
            </w:r>
            <w:r w:rsidRPr="00212D5A">
              <w:t>2016</w:t>
            </w:r>
          </w:p>
        </w:tc>
        <w:tc>
          <w:tcPr>
            <w:tcW w:w="2355" w:type="dxa"/>
            <w:shd w:val="clear" w:color="auto" w:fill="auto"/>
          </w:tcPr>
          <w:p w:rsidR="004A7E69" w:rsidRPr="00212D5A" w:rsidRDefault="004A7E69" w:rsidP="00212D5A">
            <w:pPr>
              <w:pStyle w:val="Tabletext"/>
            </w:pPr>
            <w:r w:rsidRPr="00212D5A">
              <w:t>$40,000,000.00</w:t>
            </w:r>
          </w:p>
        </w:tc>
      </w:tr>
      <w:tr w:rsidR="004A7E69" w:rsidRPr="00212D5A" w:rsidTr="00C16827">
        <w:tc>
          <w:tcPr>
            <w:tcW w:w="714" w:type="dxa"/>
            <w:shd w:val="clear" w:color="auto" w:fill="auto"/>
          </w:tcPr>
          <w:p w:rsidR="004A7E69" w:rsidRPr="00212D5A" w:rsidRDefault="004A7E69" w:rsidP="00212D5A">
            <w:pPr>
              <w:pStyle w:val="Tabletext"/>
            </w:pPr>
            <w:r w:rsidRPr="00212D5A">
              <w:t>3</w:t>
            </w:r>
          </w:p>
        </w:tc>
        <w:tc>
          <w:tcPr>
            <w:tcW w:w="4156" w:type="dxa"/>
            <w:shd w:val="clear" w:color="auto" w:fill="auto"/>
          </w:tcPr>
          <w:p w:rsidR="004A7E69" w:rsidRPr="00212D5A" w:rsidRDefault="004A7E69" w:rsidP="00212D5A">
            <w:pPr>
              <w:pStyle w:val="Tabletext"/>
            </w:pPr>
            <w:r w:rsidRPr="00212D5A">
              <w:t>2016</w:t>
            </w:r>
            <w:r w:rsidR="001267CA">
              <w:noBreakHyphen/>
            </w:r>
            <w:r w:rsidRPr="00212D5A">
              <w:t>2017</w:t>
            </w:r>
          </w:p>
        </w:tc>
        <w:tc>
          <w:tcPr>
            <w:tcW w:w="2355" w:type="dxa"/>
            <w:shd w:val="clear" w:color="auto" w:fill="auto"/>
          </w:tcPr>
          <w:p w:rsidR="004A7E69" w:rsidRPr="00212D5A" w:rsidRDefault="004A7E69" w:rsidP="00212D5A">
            <w:pPr>
              <w:pStyle w:val="Tabletext"/>
            </w:pPr>
            <w:r w:rsidRPr="00212D5A">
              <w:t>$110,000,000.00</w:t>
            </w:r>
          </w:p>
        </w:tc>
      </w:tr>
      <w:tr w:rsidR="004A7E69" w:rsidRPr="00212D5A" w:rsidTr="00C16827">
        <w:tc>
          <w:tcPr>
            <w:tcW w:w="714" w:type="dxa"/>
            <w:shd w:val="clear" w:color="auto" w:fill="auto"/>
          </w:tcPr>
          <w:p w:rsidR="004A7E69" w:rsidRPr="00212D5A" w:rsidRDefault="004A7E69" w:rsidP="00212D5A">
            <w:pPr>
              <w:pStyle w:val="Tabletext"/>
            </w:pPr>
            <w:r w:rsidRPr="00212D5A">
              <w:t>4</w:t>
            </w:r>
          </w:p>
        </w:tc>
        <w:tc>
          <w:tcPr>
            <w:tcW w:w="4156" w:type="dxa"/>
            <w:shd w:val="clear" w:color="auto" w:fill="auto"/>
          </w:tcPr>
          <w:p w:rsidR="004A7E69" w:rsidRPr="00212D5A" w:rsidRDefault="004A7E69" w:rsidP="00212D5A">
            <w:pPr>
              <w:pStyle w:val="Tabletext"/>
            </w:pPr>
            <w:r w:rsidRPr="00212D5A">
              <w:t>2017</w:t>
            </w:r>
            <w:r w:rsidR="001267CA">
              <w:noBreakHyphen/>
            </w:r>
            <w:r w:rsidRPr="00212D5A">
              <w:t>2018</w:t>
            </w:r>
          </w:p>
        </w:tc>
        <w:tc>
          <w:tcPr>
            <w:tcW w:w="2355" w:type="dxa"/>
            <w:shd w:val="clear" w:color="auto" w:fill="auto"/>
          </w:tcPr>
          <w:p w:rsidR="004A7E69" w:rsidRPr="00212D5A" w:rsidRDefault="004A7E69" w:rsidP="00212D5A">
            <w:pPr>
              <w:pStyle w:val="Tabletext"/>
            </w:pPr>
            <w:r w:rsidRPr="00212D5A">
              <w:t>$430,000,000.00</w:t>
            </w:r>
          </w:p>
        </w:tc>
      </w:tr>
      <w:tr w:rsidR="004A7E69" w:rsidRPr="00212D5A" w:rsidTr="00C16827">
        <w:tc>
          <w:tcPr>
            <w:tcW w:w="714" w:type="dxa"/>
            <w:shd w:val="clear" w:color="auto" w:fill="auto"/>
          </w:tcPr>
          <w:p w:rsidR="004A7E69" w:rsidRPr="00212D5A" w:rsidRDefault="004A7E69" w:rsidP="00212D5A">
            <w:pPr>
              <w:pStyle w:val="Tabletext"/>
            </w:pPr>
            <w:r w:rsidRPr="00212D5A">
              <w:t>5</w:t>
            </w:r>
          </w:p>
        </w:tc>
        <w:tc>
          <w:tcPr>
            <w:tcW w:w="4156" w:type="dxa"/>
            <w:shd w:val="clear" w:color="auto" w:fill="auto"/>
          </w:tcPr>
          <w:p w:rsidR="004A7E69" w:rsidRPr="00212D5A" w:rsidRDefault="004A7E69" w:rsidP="00212D5A">
            <w:pPr>
              <w:pStyle w:val="Tabletext"/>
            </w:pPr>
            <w:r w:rsidRPr="00212D5A">
              <w:t>2018</w:t>
            </w:r>
            <w:r w:rsidR="001267CA">
              <w:noBreakHyphen/>
            </w:r>
            <w:r w:rsidRPr="00212D5A">
              <w:t>2019</w:t>
            </w:r>
          </w:p>
        </w:tc>
        <w:tc>
          <w:tcPr>
            <w:tcW w:w="2355" w:type="dxa"/>
            <w:shd w:val="clear" w:color="auto" w:fill="auto"/>
          </w:tcPr>
          <w:p w:rsidR="004A7E69" w:rsidRPr="00212D5A" w:rsidRDefault="004A7E69" w:rsidP="00212D5A">
            <w:pPr>
              <w:pStyle w:val="Tabletext"/>
            </w:pPr>
            <w:r w:rsidRPr="00212D5A">
              <w:t>$320,000,000.00</w:t>
            </w:r>
          </w:p>
        </w:tc>
      </w:tr>
      <w:tr w:rsidR="004A7E69" w:rsidRPr="00212D5A" w:rsidTr="00C16827">
        <w:tc>
          <w:tcPr>
            <w:tcW w:w="714" w:type="dxa"/>
            <w:shd w:val="clear" w:color="auto" w:fill="auto"/>
          </w:tcPr>
          <w:p w:rsidR="004A7E69" w:rsidRPr="00212D5A" w:rsidRDefault="004A7E69" w:rsidP="00212D5A">
            <w:pPr>
              <w:pStyle w:val="Tabletext"/>
            </w:pPr>
            <w:r w:rsidRPr="00212D5A">
              <w:t>6</w:t>
            </w:r>
          </w:p>
        </w:tc>
        <w:tc>
          <w:tcPr>
            <w:tcW w:w="4156" w:type="dxa"/>
            <w:shd w:val="clear" w:color="auto" w:fill="auto"/>
          </w:tcPr>
          <w:p w:rsidR="004A7E69" w:rsidRPr="00212D5A" w:rsidRDefault="004A7E69" w:rsidP="00212D5A">
            <w:pPr>
              <w:pStyle w:val="Tabletext"/>
            </w:pPr>
            <w:r w:rsidRPr="00212D5A">
              <w:t>2019</w:t>
            </w:r>
            <w:r w:rsidR="001267CA">
              <w:noBreakHyphen/>
            </w:r>
            <w:r w:rsidRPr="00212D5A">
              <w:t>2020</w:t>
            </w:r>
          </w:p>
        </w:tc>
        <w:tc>
          <w:tcPr>
            <w:tcW w:w="2355" w:type="dxa"/>
            <w:shd w:val="clear" w:color="auto" w:fill="auto"/>
          </w:tcPr>
          <w:p w:rsidR="004A7E69" w:rsidRPr="00212D5A" w:rsidRDefault="004A7E69" w:rsidP="00212D5A">
            <w:pPr>
              <w:pStyle w:val="Tabletext"/>
            </w:pPr>
            <w:r w:rsidRPr="00212D5A">
              <w:t>$350,000,000.00</w:t>
            </w:r>
          </w:p>
        </w:tc>
      </w:tr>
      <w:tr w:rsidR="004A7E69" w:rsidRPr="00212D5A" w:rsidTr="00C16827">
        <w:tc>
          <w:tcPr>
            <w:tcW w:w="714" w:type="dxa"/>
            <w:shd w:val="clear" w:color="auto" w:fill="auto"/>
          </w:tcPr>
          <w:p w:rsidR="004A7E69" w:rsidRPr="00212D5A" w:rsidRDefault="004A7E69" w:rsidP="00212D5A">
            <w:pPr>
              <w:pStyle w:val="Tabletext"/>
            </w:pPr>
            <w:r w:rsidRPr="00212D5A">
              <w:t>7</w:t>
            </w:r>
          </w:p>
        </w:tc>
        <w:tc>
          <w:tcPr>
            <w:tcW w:w="4156" w:type="dxa"/>
            <w:shd w:val="clear" w:color="auto" w:fill="auto"/>
          </w:tcPr>
          <w:p w:rsidR="004A7E69" w:rsidRPr="00212D5A" w:rsidRDefault="004A7E69" w:rsidP="00212D5A">
            <w:pPr>
              <w:pStyle w:val="Tabletext"/>
            </w:pPr>
            <w:r w:rsidRPr="00212D5A">
              <w:t>2020</w:t>
            </w:r>
            <w:r w:rsidR="001267CA">
              <w:noBreakHyphen/>
            </w:r>
            <w:r w:rsidRPr="00212D5A">
              <w:t>2021</w:t>
            </w:r>
          </w:p>
        </w:tc>
        <w:tc>
          <w:tcPr>
            <w:tcW w:w="2355" w:type="dxa"/>
            <w:shd w:val="clear" w:color="auto" w:fill="auto"/>
          </w:tcPr>
          <w:p w:rsidR="004A7E69" w:rsidRPr="00212D5A" w:rsidRDefault="004A7E69" w:rsidP="00212D5A">
            <w:pPr>
              <w:pStyle w:val="Tabletext"/>
            </w:pPr>
            <w:r w:rsidRPr="00212D5A">
              <w:t>$315,000,000.00</w:t>
            </w:r>
          </w:p>
        </w:tc>
      </w:tr>
      <w:tr w:rsidR="004A7E69" w:rsidRPr="00212D5A" w:rsidTr="00C16827">
        <w:tc>
          <w:tcPr>
            <w:tcW w:w="714" w:type="dxa"/>
            <w:shd w:val="clear" w:color="auto" w:fill="auto"/>
          </w:tcPr>
          <w:p w:rsidR="004A7E69" w:rsidRPr="00212D5A" w:rsidRDefault="004A7E69" w:rsidP="00212D5A">
            <w:pPr>
              <w:pStyle w:val="Tabletext"/>
            </w:pPr>
            <w:r w:rsidRPr="00212D5A">
              <w:t>8</w:t>
            </w:r>
          </w:p>
        </w:tc>
        <w:tc>
          <w:tcPr>
            <w:tcW w:w="4156" w:type="dxa"/>
            <w:shd w:val="clear" w:color="auto" w:fill="auto"/>
          </w:tcPr>
          <w:p w:rsidR="004A7E69" w:rsidRPr="00212D5A" w:rsidRDefault="004A7E69" w:rsidP="00212D5A">
            <w:pPr>
              <w:pStyle w:val="Tabletext"/>
            </w:pPr>
            <w:r w:rsidRPr="00212D5A">
              <w:t>2021</w:t>
            </w:r>
            <w:r w:rsidR="001267CA">
              <w:noBreakHyphen/>
            </w:r>
            <w:r w:rsidRPr="00212D5A">
              <w:t>2022</w:t>
            </w:r>
          </w:p>
        </w:tc>
        <w:tc>
          <w:tcPr>
            <w:tcW w:w="2355" w:type="dxa"/>
            <w:shd w:val="clear" w:color="auto" w:fill="auto"/>
          </w:tcPr>
          <w:p w:rsidR="004A7E69" w:rsidRPr="00212D5A" w:rsidRDefault="004A7E69" w:rsidP="00212D5A">
            <w:pPr>
              <w:pStyle w:val="Tabletext"/>
            </w:pPr>
            <w:r w:rsidRPr="00212D5A">
              <w:t>$105,000,000.00</w:t>
            </w:r>
          </w:p>
        </w:tc>
      </w:tr>
      <w:tr w:rsidR="004A7E69" w:rsidRPr="00212D5A" w:rsidTr="00C16827">
        <w:tc>
          <w:tcPr>
            <w:tcW w:w="714" w:type="dxa"/>
            <w:tcBorders>
              <w:bottom w:val="single" w:sz="4" w:space="0" w:color="auto"/>
            </w:tcBorders>
            <w:shd w:val="clear" w:color="auto" w:fill="auto"/>
          </w:tcPr>
          <w:p w:rsidR="004A7E69" w:rsidRPr="00212D5A" w:rsidRDefault="004A7E69" w:rsidP="00212D5A">
            <w:pPr>
              <w:pStyle w:val="Tabletext"/>
            </w:pPr>
            <w:r w:rsidRPr="00212D5A">
              <w:t>9</w:t>
            </w:r>
          </w:p>
        </w:tc>
        <w:tc>
          <w:tcPr>
            <w:tcW w:w="4156" w:type="dxa"/>
            <w:tcBorders>
              <w:bottom w:val="single" w:sz="4" w:space="0" w:color="auto"/>
            </w:tcBorders>
            <w:shd w:val="clear" w:color="auto" w:fill="auto"/>
          </w:tcPr>
          <w:p w:rsidR="004A7E69" w:rsidRPr="00212D5A" w:rsidRDefault="004A7E69" w:rsidP="00212D5A">
            <w:pPr>
              <w:pStyle w:val="Tabletext"/>
            </w:pPr>
            <w:r w:rsidRPr="00212D5A">
              <w:t>2022</w:t>
            </w:r>
            <w:r w:rsidR="001267CA">
              <w:noBreakHyphen/>
            </w:r>
            <w:r w:rsidRPr="00212D5A">
              <w:t>2023</w:t>
            </w:r>
          </w:p>
        </w:tc>
        <w:tc>
          <w:tcPr>
            <w:tcW w:w="2355" w:type="dxa"/>
            <w:tcBorders>
              <w:bottom w:val="single" w:sz="4" w:space="0" w:color="auto"/>
            </w:tcBorders>
            <w:shd w:val="clear" w:color="auto" w:fill="auto"/>
          </w:tcPr>
          <w:p w:rsidR="004A7E69" w:rsidRPr="00212D5A" w:rsidRDefault="004A7E69" w:rsidP="00212D5A">
            <w:pPr>
              <w:pStyle w:val="Tabletext"/>
            </w:pPr>
            <w:r w:rsidRPr="00212D5A">
              <w:t>$60,000,000.00</w:t>
            </w:r>
          </w:p>
        </w:tc>
      </w:tr>
      <w:tr w:rsidR="004A7E69" w:rsidRPr="00212D5A" w:rsidTr="00C16827">
        <w:tc>
          <w:tcPr>
            <w:tcW w:w="714" w:type="dxa"/>
            <w:tcBorders>
              <w:bottom w:val="single" w:sz="12" w:space="0" w:color="auto"/>
            </w:tcBorders>
            <w:shd w:val="clear" w:color="auto" w:fill="auto"/>
          </w:tcPr>
          <w:p w:rsidR="004A7E69" w:rsidRPr="00212D5A" w:rsidRDefault="004A7E69" w:rsidP="00212D5A">
            <w:pPr>
              <w:pStyle w:val="Tabletext"/>
            </w:pPr>
            <w:r w:rsidRPr="00212D5A">
              <w:t>10</w:t>
            </w:r>
          </w:p>
        </w:tc>
        <w:tc>
          <w:tcPr>
            <w:tcW w:w="4156" w:type="dxa"/>
            <w:tcBorders>
              <w:bottom w:val="single" w:sz="12" w:space="0" w:color="auto"/>
            </w:tcBorders>
            <w:shd w:val="clear" w:color="auto" w:fill="auto"/>
          </w:tcPr>
          <w:p w:rsidR="004A7E69" w:rsidRPr="00212D5A" w:rsidRDefault="004A7E69" w:rsidP="00212D5A">
            <w:pPr>
              <w:pStyle w:val="Tabletext"/>
            </w:pPr>
            <w:r w:rsidRPr="00212D5A">
              <w:t>2023</w:t>
            </w:r>
            <w:r w:rsidR="001267CA">
              <w:noBreakHyphen/>
            </w:r>
            <w:r w:rsidRPr="00212D5A">
              <w:t>2024</w:t>
            </w:r>
          </w:p>
        </w:tc>
        <w:tc>
          <w:tcPr>
            <w:tcW w:w="2355" w:type="dxa"/>
            <w:tcBorders>
              <w:bottom w:val="single" w:sz="12" w:space="0" w:color="auto"/>
            </w:tcBorders>
            <w:shd w:val="clear" w:color="auto" w:fill="auto"/>
          </w:tcPr>
          <w:p w:rsidR="004A7E69" w:rsidRPr="00212D5A" w:rsidRDefault="004A7E69" w:rsidP="00212D5A">
            <w:pPr>
              <w:pStyle w:val="Tabletext"/>
            </w:pPr>
            <w:r w:rsidRPr="00212D5A">
              <w:t>$30,000,000.00</w:t>
            </w:r>
          </w:p>
        </w:tc>
      </w:tr>
    </w:tbl>
    <w:p w:rsidR="00770DCC" w:rsidRPr="00212D5A" w:rsidRDefault="00770DCC" w:rsidP="00212D5A">
      <w:pPr>
        <w:pStyle w:val="ActHead5"/>
      </w:pPr>
      <w:bookmarkStart w:id="17" w:name="_Toc348373471"/>
      <w:r w:rsidRPr="00212D5A">
        <w:rPr>
          <w:rStyle w:val="CharSectno"/>
        </w:rPr>
        <w:lastRenderedPageBreak/>
        <w:t>86AI</w:t>
      </w:r>
      <w:r w:rsidRPr="00212D5A">
        <w:t xml:space="preserve">  Annual report</w:t>
      </w:r>
      <w:bookmarkEnd w:id="17"/>
    </w:p>
    <w:p w:rsidR="00770DCC" w:rsidRPr="00212D5A" w:rsidRDefault="00770DCC" w:rsidP="00212D5A">
      <w:pPr>
        <w:pStyle w:val="SubsectionHead"/>
      </w:pPr>
      <w:r w:rsidRPr="00212D5A">
        <w:t>Annual report to be given to Minister</w:t>
      </w:r>
    </w:p>
    <w:p w:rsidR="00770DCC" w:rsidRPr="00212D5A" w:rsidRDefault="00770DCC" w:rsidP="00212D5A">
      <w:pPr>
        <w:pStyle w:val="subsection"/>
      </w:pPr>
      <w:r w:rsidRPr="00212D5A">
        <w:tab/>
        <w:t>(1)</w:t>
      </w:r>
      <w:r w:rsidRPr="00212D5A">
        <w:tab/>
        <w:t>As soon as practicable after 30</w:t>
      </w:r>
      <w:r w:rsidR="00212D5A" w:rsidRPr="00212D5A">
        <w:t> </w:t>
      </w:r>
      <w:r w:rsidRPr="00212D5A">
        <w:t xml:space="preserve">June in each financial year (the </w:t>
      </w:r>
      <w:r w:rsidRPr="00212D5A">
        <w:rPr>
          <w:b/>
          <w:i/>
        </w:rPr>
        <w:t>report year</w:t>
      </w:r>
      <w:r w:rsidRPr="00212D5A">
        <w:t>), the Secretary</w:t>
      </w:r>
      <w:r w:rsidRPr="00212D5A">
        <w:rPr>
          <w:i/>
        </w:rPr>
        <w:t xml:space="preserve"> </w:t>
      </w:r>
      <w:r w:rsidRPr="00212D5A">
        <w:t>of the Department must prepare and give to the Minister, for presentation to the Parliament, a report on the Water for the Environment Special Account during that year.</w:t>
      </w:r>
    </w:p>
    <w:p w:rsidR="00770DCC" w:rsidRPr="00212D5A" w:rsidRDefault="00770DCC" w:rsidP="00212D5A">
      <w:pPr>
        <w:pStyle w:val="SubsectionHead"/>
      </w:pPr>
      <w:r w:rsidRPr="00212D5A">
        <w:t>Contents of annual report</w:t>
      </w:r>
    </w:p>
    <w:p w:rsidR="00770DCC" w:rsidRPr="00212D5A" w:rsidRDefault="00770DCC" w:rsidP="00212D5A">
      <w:pPr>
        <w:pStyle w:val="subsection"/>
      </w:pPr>
      <w:r w:rsidRPr="00212D5A">
        <w:tab/>
        <w:t>(2)</w:t>
      </w:r>
      <w:r w:rsidRPr="00212D5A">
        <w:tab/>
        <w:t>The Secretary</w:t>
      </w:r>
      <w:r w:rsidRPr="00212D5A">
        <w:rPr>
          <w:i/>
        </w:rPr>
        <w:t xml:space="preserve"> </w:t>
      </w:r>
      <w:r w:rsidRPr="00212D5A">
        <w:t xml:space="preserve">of the Department must include in </w:t>
      </w:r>
      <w:r w:rsidR="002C17E8" w:rsidRPr="00212D5A">
        <w:t>each annual</w:t>
      </w:r>
      <w:r w:rsidRPr="00212D5A">
        <w:t xml:space="preserve"> report particulars of the following:</w:t>
      </w:r>
    </w:p>
    <w:p w:rsidR="00770DCC" w:rsidRPr="00212D5A" w:rsidRDefault="00770DCC" w:rsidP="00212D5A">
      <w:pPr>
        <w:pStyle w:val="paragraph"/>
      </w:pPr>
      <w:r w:rsidRPr="00212D5A">
        <w:tab/>
        <w:t>(a)</w:t>
      </w:r>
      <w:r w:rsidRPr="00212D5A">
        <w:tab/>
        <w:t>the objectives and priorities for amounts debited during the report year from the Water for the Environment Special Account;</w:t>
      </w:r>
    </w:p>
    <w:p w:rsidR="00770DCC" w:rsidRPr="00212D5A" w:rsidRDefault="00770DCC" w:rsidP="00212D5A">
      <w:pPr>
        <w:pStyle w:val="paragraph"/>
      </w:pPr>
      <w:r w:rsidRPr="00212D5A">
        <w:tab/>
        <w:t>(b)</w:t>
      </w:r>
      <w:r w:rsidRPr="00212D5A">
        <w:tab/>
        <w:t>achievements against those objectives and priorities, including the following:</w:t>
      </w:r>
    </w:p>
    <w:p w:rsidR="00770DCC" w:rsidRPr="00212D5A" w:rsidRDefault="00770DCC" w:rsidP="00212D5A">
      <w:pPr>
        <w:pStyle w:val="paragraphsub"/>
      </w:pPr>
      <w:r w:rsidRPr="00212D5A">
        <w:tab/>
        <w:t>(i)</w:t>
      </w:r>
      <w:r w:rsidRPr="00212D5A">
        <w:tab/>
        <w:t>the increase during the report year</w:t>
      </w:r>
      <w:r w:rsidRPr="00212D5A">
        <w:rPr>
          <w:i/>
        </w:rPr>
        <w:t xml:space="preserve"> </w:t>
      </w:r>
      <w:r w:rsidRPr="00212D5A">
        <w:t>in the volume of the Commonwealth environmental water holdings as a result of amounts debited from the Water for the Environment Special Account (whether the amounts were debited in that or any other year);</w:t>
      </w:r>
    </w:p>
    <w:p w:rsidR="00770DCC" w:rsidRPr="00212D5A" w:rsidRDefault="00770DCC" w:rsidP="00212D5A">
      <w:pPr>
        <w:pStyle w:val="paragraphsub"/>
      </w:pPr>
      <w:r w:rsidRPr="00212D5A">
        <w:tab/>
        <w:t>(ii)</w:t>
      </w:r>
      <w:r w:rsidRPr="00212D5A">
        <w:tab/>
        <w:t>a description of the kinds of water access rights acquired by the Commonwealth during the report year</w:t>
      </w:r>
      <w:r w:rsidRPr="00212D5A">
        <w:rPr>
          <w:i/>
        </w:rPr>
        <w:t xml:space="preserve"> </w:t>
      </w:r>
      <w:r w:rsidRPr="00212D5A">
        <w:t>as a result of amounts debited from the Water for the Environment Special Account (whether the amounts were debited in that or any other year);</w:t>
      </w:r>
    </w:p>
    <w:p w:rsidR="00770DCC" w:rsidRPr="00212D5A" w:rsidRDefault="00770DCC" w:rsidP="00212D5A">
      <w:pPr>
        <w:pStyle w:val="paragraphsub"/>
      </w:pPr>
      <w:r w:rsidRPr="00212D5A">
        <w:tab/>
        <w:t>(iii)</w:t>
      </w:r>
      <w:r w:rsidRPr="00212D5A">
        <w:tab/>
        <w:t xml:space="preserve">the water resource plan areas in which water access rights referred to in </w:t>
      </w:r>
      <w:r w:rsidR="00212D5A" w:rsidRPr="00212D5A">
        <w:t>subparagraph (</w:t>
      </w:r>
      <w:r w:rsidRPr="00212D5A">
        <w:t>ii) have been acquired;</w:t>
      </w:r>
    </w:p>
    <w:p w:rsidR="00770DCC" w:rsidRPr="00212D5A" w:rsidRDefault="00770DCC" w:rsidP="00212D5A">
      <w:pPr>
        <w:pStyle w:val="paragraph"/>
      </w:pPr>
      <w:r w:rsidRPr="00212D5A">
        <w:tab/>
        <w:t>(c)</w:t>
      </w:r>
      <w:r w:rsidRPr="00212D5A">
        <w:tab/>
        <w:t>for each project in relation to which an amount was debited from the Water for the Environment Special Account during the report year</w:t>
      </w:r>
      <w:r w:rsidRPr="00212D5A">
        <w:rPr>
          <w:i/>
        </w:rPr>
        <w:t xml:space="preserve"> </w:t>
      </w:r>
      <w:r w:rsidRPr="00212D5A">
        <w:t>for the purposes of paragraph 86AD(2)(a) or subparagraph 86AD(2)(c)(i):</w:t>
      </w:r>
    </w:p>
    <w:p w:rsidR="00770DCC" w:rsidRPr="00212D5A" w:rsidRDefault="00770DCC" w:rsidP="00212D5A">
      <w:pPr>
        <w:pStyle w:val="paragraphsub"/>
      </w:pPr>
      <w:r w:rsidRPr="00212D5A">
        <w:tab/>
        <w:t>(i)</w:t>
      </w:r>
      <w:r w:rsidRPr="00212D5A">
        <w:tab/>
        <w:t>a description of the project; and</w:t>
      </w:r>
    </w:p>
    <w:p w:rsidR="00770DCC" w:rsidRPr="00212D5A" w:rsidRDefault="00770DCC" w:rsidP="00212D5A">
      <w:pPr>
        <w:pStyle w:val="paragraphsub"/>
      </w:pPr>
      <w:r w:rsidRPr="00212D5A">
        <w:tab/>
        <w:t>(ii)</w:t>
      </w:r>
      <w:r w:rsidRPr="00212D5A">
        <w:tab/>
        <w:t>the aim of the project; and</w:t>
      </w:r>
    </w:p>
    <w:p w:rsidR="00770DCC" w:rsidRPr="00212D5A" w:rsidRDefault="00770DCC" w:rsidP="00212D5A">
      <w:pPr>
        <w:pStyle w:val="paragraphsub"/>
      </w:pPr>
      <w:r w:rsidRPr="00212D5A">
        <w:tab/>
        <w:t>(iii)</w:t>
      </w:r>
      <w:r w:rsidRPr="00212D5A">
        <w:tab/>
        <w:t>the water resource plan area in which the project is to take place or is taking place;</w:t>
      </w:r>
    </w:p>
    <w:p w:rsidR="00770DCC" w:rsidRPr="00212D5A" w:rsidRDefault="00770DCC" w:rsidP="00212D5A">
      <w:pPr>
        <w:pStyle w:val="paragraph"/>
      </w:pPr>
      <w:r w:rsidRPr="00212D5A">
        <w:tab/>
        <w:t>(d)</w:t>
      </w:r>
      <w:r w:rsidRPr="00212D5A">
        <w:tab/>
        <w:t>if an amount was debited during a previous financial year</w:t>
      </w:r>
      <w:r w:rsidRPr="00212D5A">
        <w:rPr>
          <w:i/>
        </w:rPr>
        <w:t xml:space="preserve"> </w:t>
      </w:r>
      <w:r w:rsidRPr="00212D5A">
        <w:t xml:space="preserve">for the purposes of paragraph 86AD(2)(a) or subparagraph </w:t>
      </w:r>
      <w:r w:rsidRPr="00212D5A">
        <w:lastRenderedPageBreak/>
        <w:t>86AD(2)(c)(i) in relation to a project—any significant developments during the report year in relation to the project;</w:t>
      </w:r>
    </w:p>
    <w:p w:rsidR="00770DCC" w:rsidRPr="00212D5A" w:rsidRDefault="00770DCC" w:rsidP="00212D5A">
      <w:pPr>
        <w:pStyle w:val="paragraph"/>
      </w:pPr>
      <w:r w:rsidRPr="00212D5A">
        <w:tab/>
        <w:t>(e)</w:t>
      </w:r>
      <w:r w:rsidRPr="00212D5A">
        <w:tab/>
        <w:t>in any case—any amount debited from the Water for the Environment Special Account during the report year, and the purpose for which the amount was debited.</w:t>
      </w:r>
    </w:p>
    <w:p w:rsidR="00770DCC" w:rsidRPr="00212D5A" w:rsidRDefault="00770DCC" w:rsidP="00212D5A">
      <w:pPr>
        <w:pStyle w:val="SubsectionHead"/>
      </w:pPr>
      <w:r w:rsidRPr="00212D5A">
        <w:t>Annual report to be tabled in Parliament</w:t>
      </w:r>
    </w:p>
    <w:p w:rsidR="00770DCC" w:rsidRPr="00212D5A" w:rsidRDefault="00770DCC" w:rsidP="00212D5A">
      <w:pPr>
        <w:pStyle w:val="subsection"/>
      </w:pPr>
      <w:r w:rsidRPr="00212D5A">
        <w:tab/>
        <w:t>(3)</w:t>
      </w:r>
      <w:r w:rsidRPr="00212D5A">
        <w:tab/>
        <w:t>The Minister must cause a copy of each annual report to be tabled in each House of the Parliament within 15 sitting days of that House after the day the Minister receives the report.</w:t>
      </w:r>
    </w:p>
    <w:p w:rsidR="00770DCC" w:rsidRPr="00212D5A" w:rsidRDefault="00770DCC" w:rsidP="00212D5A">
      <w:pPr>
        <w:pStyle w:val="SubsectionHead"/>
      </w:pPr>
      <w:r w:rsidRPr="00212D5A">
        <w:t>Annual report to be given to Basin States</w:t>
      </w:r>
    </w:p>
    <w:p w:rsidR="00770DCC" w:rsidRPr="00212D5A" w:rsidRDefault="00770DCC" w:rsidP="00212D5A">
      <w:pPr>
        <w:pStyle w:val="subsection"/>
      </w:pPr>
      <w:r w:rsidRPr="00212D5A">
        <w:tab/>
        <w:t>(4)</w:t>
      </w:r>
      <w:r w:rsidRPr="00212D5A">
        <w:tab/>
        <w:t>The Minister must cause a copy of each annual report to be given to the relevant State Minister for each of the Basin States on or before the day the report is first tabled in a House of the Parliament.</w:t>
      </w:r>
    </w:p>
    <w:p w:rsidR="005257D0" w:rsidRPr="000B37EC" w:rsidRDefault="005257D0" w:rsidP="005257D0">
      <w:pPr>
        <w:pStyle w:val="ActHead5"/>
      </w:pPr>
      <w:bookmarkStart w:id="18" w:name="_Toc348373472"/>
      <w:r w:rsidRPr="000B37EC">
        <w:rPr>
          <w:rStyle w:val="CharSectno"/>
        </w:rPr>
        <w:t>86AJ</w:t>
      </w:r>
      <w:r w:rsidRPr="000B37EC">
        <w:t xml:space="preserve">  Reviews of this Part</w:t>
      </w:r>
      <w:bookmarkEnd w:id="18"/>
    </w:p>
    <w:p w:rsidR="005257D0" w:rsidRPr="000B37EC" w:rsidRDefault="005257D0" w:rsidP="005257D0">
      <w:pPr>
        <w:pStyle w:val="subsection"/>
      </w:pPr>
      <w:r w:rsidRPr="000B37EC">
        <w:tab/>
        <w:t>(1)</w:t>
      </w:r>
      <w:r w:rsidRPr="000B37EC">
        <w:tab/>
        <w:t>The Minister must cause 2 independent</w:t>
      </w:r>
      <w:r w:rsidRPr="000B37EC">
        <w:rPr>
          <w:i/>
        </w:rPr>
        <w:t xml:space="preserve"> </w:t>
      </w:r>
      <w:r w:rsidRPr="000B37EC">
        <w:t>reviews to be conducted into whether the amount standing to the credit of, and to be credited to, the Water for the Environment Special Account is sufficient to increase, by 30 June 2024, the volume of the Basin water resources that is available for environmental use by 450 gigalitres, and to ease or remove constraints identified by the Authority on the capacity to deliver environmental water to the environmental assets of the Murray</w:t>
      </w:r>
      <w:r w:rsidR="001267CA">
        <w:noBreakHyphen/>
      </w:r>
      <w:r w:rsidRPr="000B37EC">
        <w:t>Darling Basin.</w:t>
      </w:r>
    </w:p>
    <w:p w:rsidR="005257D0" w:rsidRPr="000B37EC" w:rsidRDefault="005257D0" w:rsidP="005257D0">
      <w:pPr>
        <w:pStyle w:val="subsection"/>
      </w:pPr>
      <w:r w:rsidRPr="000B37EC">
        <w:tab/>
        <w:t>(2)</w:t>
      </w:r>
      <w:r w:rsidRPr="000B37EC">
        <w:tab/>
        <w:t>A review must be conducted by a panel of at least 3 persons nominated by the Minister, after consulting each Basin State.</w:t>
      </w:r>
    </w:p>
    <w:p w:rsidR="005257D0" w:rsidRPr="000B37EC" w:rsidRDefault="005257D0" w:rsidP="005257D0">
      <w:pPr>
        <w:pStyle w:val="subsection"/>
      </w:pPr>
      <w:r w:rsidRPr="000B37EC">
        <w:tab/>
        <w:t>(3)</w:t>
      </w:r>
      <w:r w:rsidRPr="000B37EC">
        <w:tab/>
        <w:t>In conducting a review under subsection (1), a panel must also consider the following:</w:t>
      </w:r>
    </w:p>
    <w:p w:rsidR="005257D0" w:rsidRPr="000B37EC" w:rsidRDefault="005257D0" w:rsidP="005257D0">
      <w:pPr>
        <w:pStyle w:val="paragraph"/>
      </w:pPr>
      <w:r w:rsidRPr="000B37EC">
        <w:tab/>
        <w:t>(a)</w:t>
      </w:r>
      <w:r w:rsidRPr="000B37EC">
        <w:tab/>
        <w:t>the progress that has been, and is anticipated to be, made towards increasing the volume of the Basin water resources that is available for environmental use;</w:t>
      </w:r>
    </w:p>
    <w:p w:rsidR="005257D0" w:rsidRPr="000B37EC" w:rsidRDefault="005257D0" w:rsidP="005257D0">
      <w:pPr>
        <w:pStyle w:val="paragraph"/>
      </w:pPr>
      <w:r w:rsidRPr="000B37EC">
        <w:tab/>
        <w:t>(b)</w:t>
      </w:r>
      <w:r w:rsidRPr="000B37EC">
        <w:tab/>
        <w:t>whether the design of projects in relation to which payments have been made under section 86AD is likely to be</w:t>
      </w:r>
      <w:r w:rsidRPr="000B37EC">
        <w:rPr>
          <w:i/>
        </w:rPr>
        <w:t xml:space="preserve"> </w:t>
      </w:r>
      <w:r w:rsidRPr="000B37EC">
        <w:t>effective in increasing the volume of the Basin water resources that is available for environmental use by 450 gigalitres;</w:t>
      </w:r>
    </w:p>
    <w:p w:rsidR="005257D0" w:rsidRPr="000B37EC" w:rsidRDefault="005257D0" w:rsidP="005257D0">
      <w:pPr>
        <w:pStyle w:val="paragraph"/>
      </w:pPr>
      <w:r w:rsidRPr="000B37EC">
        <w:lastRenderedPageBreak/>
        <w:tab/>
        <w:t>(c)</w:t>
      </w:r>
      <w:r w:rsidRPr="000B37EC">
        <w:tab/>
        <w:t>any other matter specified in writing by the Minister that is relevant to achieving the object of this Part.</w:t>
      </w:r>
    </w:p>
    <w:p w:rsidR="005257D0" w:rsidRPr="000B37EC" w:rsidRDefault="005257D0" w:rsidP="005257D0">
      <w:pPr>
        <w:pStyle w:val="subsection"/>
      </w:pPr>
      <w:r w:rsidRPr="000B37EC">
        <w:tab/>
        <w:t>(4)</w:t>
      </w:r>
      <w:r w:rsidRPr="000B37EC">
        <w:tab/>
        <w:t>A panel must give the Minister a written report of a review.</w:t>
      </w:r>
    </w:p>
    <w:p w:rsidR="005257D0" w:rsidRPr="000B37EC" w:rsidRDefault="005257D0" w:rsidP="005257D0">
      <w:pPr>
        <w:pStyle w:val="subsection"/>
      </w:pPr>
      <w:r w:rsidRPr="000B37EC">
        <w:tab/>
        <w:t>(5)</w:t>
      </w:r>
      <w:r w:rsidRPr="000B37EC">
        <w:tab/>
        <w:t>The report of the first review must be provided to the Minister by 30 September 2019.</w:t>
      </w:r>
    </w:p>
    <w:p w:rsidR="005257D0" w:rsidRPr="000B37EC" w:rsidRDefault="005257D0" w:rsidP="005257D0">
      <w:pPr>
        <w:pStyle w:val="subsection"/>
      </w:pPr>
      <w:r w:rsidRPr="000B37EC">
        <w:tab/>
        <w:t>(6)</w:t>
      </w:r>
      <w:r w:rsidRPr="000B37EC">
        <w:tab/>
        <w:t>The report of the second review must be provided to the Minister by 30 September 2021.</w:t>
      </w:r>
    </w:p>
    <w:p w:rsidR="005257D0" w:rsidRPr="000B37EC" w:rsidRDefault="005257D0" w:rsidP="005257D0">
      <w:pPr>
        <w:pStyle w:val="subsection"/>
      </w:pPr>
      <w:r w:rsidRPr="000B37EC">
        <w:tab/>
        <w:t>(7)</w:t>
      </w:r>
      <w:r w:rsidRPr="000B37EC">
        <w:tab/>
        <w:t>The Minister must cause a copy of a report of a review to be tabled in each House of the Parliament within 15 sitting days of that House after the day the report is given to the Minister.</w:t>
      </w:r>
    </w:p>
    <w:p w:rsidR="005257D0" w:rsidRPr="000B37EC" w:rsidRDefault="005257D0" w:rsidP="005257D0">
      <w:pPr>
        <w:pStyle w:val="subsection"/>
      </w:pPr>
      <w:r w:rsidRPr="000B37EC">
        <w:tab/>
        <w:t>(8)</w:t>
      </w:r>
      <w:r w:rsidRPr="000B37EC">
        <w:tab/>
        <w:t>The Minister must table the Government’s response to the report by the following time:</w:t>
      </w:r>
    </w:p>
    <w:p w:rsidR="005257D0" w:rsidRPr="000B37EC" w:rsidRDefault="005257D0" w:rsidP="005257D0">
      <w:pPr>
        <w:pStyle w:val="paragraph"/>
      </w:pPr>
      <w:r w:rsidRPr="000B37EC">
        <w:tab/>
        <w:t>(a)</w:t>
      </w:r>
      <w:r w:rsidRPr="000B37EC">
        <w:tab/>
        <w:t>for the first review—the time the Treasurer presents the budget to the Parliament for the 2020</w:t>
      </w:r>
      <w:r w:rsidR="001267CA">
        <w:noBreakHyphen/>
      </w:r>
      <w:r w:rsidRPr="000B37EC">
        <w:t>2021 financial year;</w:t>
      </w:r>
    </w:p>
    <w:p w:rsidR="005257D0" w:rsidRPr="000B37EC" w:rsidRDefault="005257D0" w:rsidP="005257D0">
      <w:pPr>
        <w:pStyle w:val="paragraph"/>
      </w:pPr>
      <w:r w:rsidRPr="000B37EC">
        <w:tab/>
        <w:t>(b)</w:t>
      </w:r>
      <w:r w:rsidRPr="000B37EC">
        <w:tab/>
        <w:t>for the second review—the time the Treasurer presents the budget to the Parliament for the 2022</w:t>
      </w:r>
      <w:r w:rsidR="001267CA">
        <w:noBreakHyphen/>
      </w:r>
      <w:r w:rsidRPr="000B37EC">
        <w:t>2023 financial year.</w:t>
      </w:r>
    </w:p>
    <w:p w:rsidR="00770DCC" w:rsidRPr="00212D5A" w:rsidRDefault="00770DCC" w:rsidP="00212D5A">
      <w:pPr>
        <w:pStyle w:val="ItemHead"/>
        <w:rPr>
          <w:i/>
        </w:rPr>
      </w:pPr>
      <w:r w:rsidRPr="00212D5A">
        <w:t>3  At the end of subsection 105(3)</w:t>
      </w:r>
    </w:p>
    <w:p w:rsidR="00770DCC" w:rsidRPr="00212D5A" w:rsidRDefault="00770DCC" w:rsidP="00212D5A">
      <w:pPr>
        <w:pStyle w:val="Item"/>
      </w:pPr>
      <w:r w:rsidRPr="00212D5A">
        <w:t>Add:</w:t>
      </w:r>
    </w:p>
    <w:p w:rsidR="00770DCC" w:rsidRPr="00212D5A" w:rsidRDefault="00770DCC" w:rsidP="00212D5A">
      <w:pPr>
        <w:pStyle w:val="notetext"/>
      </w:pPr>
      <w:r w:rsidRPr="00212D5A">
        <w:t>Note:</w:t>
      </w:r>
      <w:r w:rsidRPr="00212D5A">
        <w:tab/>
        <w:t xml:space="preserve">This subsection and </w:t>
      </w:r>
      <w:r w:rsidR="00212D5A" w:rsidRPr="00212D5A">
        <w:t>subsection (</w:t>
      </w:r>
      <w:r w:rsidRPr="00212D5A">
        <w:t>4) are modified in relation to water access rights acquired by the Commonwealth with amounts debited from the Water for the Environment Special Account (see subsection 86AE(2)).</w:t>
      </w:r>
    </w:p>
    <w:p w:rsidR="00770DCC" w:rsidRPr="00212D5A" w:rsidRDefault="00770DCC" w:rsidP="00212D5A">
      <w:pPr>
        <w:pStyle w:val="ItemHead"/>
        <w:rPr>
          <w:i/>
        </w:rPr>
      </w:pPr>
      <w:r w:rsidRPr="00212D5A">
        <w:t>4  At the end of subsection 106(2)</w:t>
      </w:r>
    </w:p>
    <w:p w:rsidR="00770DCC" w:rsidRPr="00212D5A" w:rsidRDefault="00770DCC" w:rsidP="00212D5A">
      <w:pPr>
        <w:pStyle w:val="Item"/>
      </w:pPr>
      <w:r w:rsidRPr="00212D5A">
        <w:t>Add:</w:t>
      </w:r>
    </w:p>
    <w:p w:rsidR="00770DCC" w:rsidRPr="00212D5A" w:rsidRDefault="00770DCC" w:rsidP="00212D5A">
      <w:pPr>
        <w:pStyle w:val="notetext"/>
      </w:pPr>
      <w:r w:rsidRPr="00212D5A">
        <w:t>Note:</w:t>
      </w:r>
      <w:r w:rsidRPr="00212D5A">
        <w:tab/>
        <w:t>This subsection is modified in relation to water access rights acquired by the Commonwealth with amounts debited from the Water for the Environment Special Account (see subsection 86AE(2)).</w:t>
      </w:r>
    </w:p>
    <w:p w:rsidR="00770DCC" w:rsidRPr="00212D5A" w:rsidRDefault="00770DCC" w:rsidP="00212D5A">
      <w:pPr>
        <w:pStyle w:val="ItemHead"/>
      </w:pPr>
      <w:r w:rsidRPr="00212D5A">
        <w:t>5  At the end of subsection 108(1)</w:t>
      </w:r>
    </w:p>
    <w:p w:rsidR="00770DCC" w:rsidRPr="00212D5A" w:rsidRDefault="00770DCC" w:rsidP="00212D5A">
      <w:pPr>
        <w:pStyle w:val="Item"/>
      </w:pPr>
      <w:r w:rsidRPr="00212D5A">
        <w:t>Add:</w:t>
      </w:r>
    </w:p>
    <w:p w:rsidR="00770DCC" w:rsidRPr="00212D5A" w:rsidRDefault="00770DCC" w:rsidP="00212D5A">
      <w:pPr>
        <w:pStyle w:val="notetext"/>
      </w:pPr>
      <w:r w:rsidRPr="00212D5A">
        <w:t>Note:</w:t>
      </w:r>
      <w:r w:rsidRPr="00212D5A">
        <w:tab/>
        <w:t>Water access rights acquired by the Commonwealth with amounts debited from the Water for the Environment Special Account form part of the Commonwealth environmental water holdings (see subsection 86AE(1)).</w:t>
      </w:r>
    </w:p>
    <w:p w:rsidR="00770DCC" w:rsidRPr="00212D5A" w:rsidRDefault="00770DCC" w:rsidP="00212D5A">
      <w:pPr>
        <w:pStyle w:val="ItemHead"/>
      </w:pPr>
      <w:r w:rsidRPr="00212D5A">
        <w:t>6  After paragraph 251(2)(e)</w:t>
      </w:r>
    </w:p>
    <w:p w:rsidR="00770DCC" w:rsidRPr="00212D5A" w:rsidRDefault="00770DCC" w:rsidP="00212D5A">
      <w:pPr>
        <w:pStyle w:val="Item"/>
      </w:pPr>
      <w:r w:rsidRPr="00212D5A">
        <w:lastRenderedPageBreak/>
        <w:t>Insert:</w:t>
      </w:r>
    </w:p>
    <w:p w:rsidR="006F5903" w:rsidRDefault="00770DCC" w:rsidP="00212D5A">
      <w:pPr>
        <w:pStyle w:val="paragraph"/>
      </w:pPr>
      <w:r w:rsidRPr="00212D5A">
        <w:tab/>
        <w:t>(ea)</w:t>
      </w:r>
      <w:r w:rsidRPr="00212D5A">
        <w:tab/>
        <w:t>the power to enter into an arrangement under subsection 86AF(1) that contains, or is to contain, terms and conditions referred to in subsection 86AF(2); or</w:t>
      </w:r>
    </w:p>
    <w:p w:rsidR="00013845" w:rsidRDefault="00013845" w:rsidP="000916B9"/>
    <w:p w:rsidR="00013845" w:rsidRDefault="00013845">
      <w:pPr>
        <w:pStyle w:val="AssentBk"/>
        <w:keepNext/>
      </w:pPr>
    </w:p>
    <w:p w:rsidR="000916B9" w:rsidRDefault="000916B9"/>
    <w:p w:rsidR="000916B9" w:rsidRDefault="000916B9">
      <w:pPr>
        <w:pStyle w:val="2ndRd"/>
        <w:keepNext/>
        <w:pBdr>
          <w:top w:val="single" w:sz="2" w:space="1" w:color="auto"/>
        </w:pBdr>
      </w:pPr>
    </w:p>
    <w:p w:rsidR="000916B9" w:rsidRDefault="000916B9">
      <w:pPr>
        <w:pStyle w:val="2ndRd"/>
        <w:keepNext/>
        <w:spacing w:line="260" w:lineRule="atLeast"/>
        <w:rPr>
          <w:i/>
        </w:rPr>
      </w:pPr>
      <w:r>
        <w:t>[</w:t>
      </w:r>
      <w:r>
        <w:rPr>
          <w:i/>
        </w:rPr>
        <w:t>Minister’s second reading speech made in—</w:t>
      </w:r>
    </w:p>
    <w:p w:rsidR="000916B9" w:rsidRDefault="000916B9">
      <w:pPr>
        <w:pStyle w:val="2ndRd"/>
        <w:keepNext/>
        <w:spacing w:line="260" w:lineRule="atLeast"/>
        <w:rPr>
          <w:i/>
        </w:rPr>
      </w:pPr>
      <w:r>
        <w:rPr>
          <w:i/>
        </w:rPr>
        <w:t xml:space="preserve">House of Representatives on </w:t>
      </w:r>
      <w:r w:rsidRPr="000916B9">
        <w:rPr>
          <w:i/>
        </w:rPr>
        <w:t>31 October 2012</w:t>
      </w:r>
    </w:p>
    <w:p w:rsidR="000916B9" w:rsidRDefault="000916B9">
      <w:pPr>
        <w:pStyle w:val="2ndRd"/>
        <w:keepNext/>
        <w:spacing w:line="260" w:lineRule="atLeast"/>
        <w:rPr>
          <w:i/>
        </w:rPr>
      </w:pPr>
      <w:r>
        <w:rPr>
          <w:i/>
        </w:rPr>
        <w:t xml:space="preserve">Senate on </w:t>
      </w:r>
      <w:r w:rsidRPr="000916B9">
        <w:rPr>
          <w:i/>
        </w:rPr>
        <w:t>29 November 2012</w:t>
      </w:r>
      <w:r>
        <w:t>]</w:t>
      </w:r>
    </w:p>
    <w:p w:rsidR="000916B9" w:rsidRDefault="000916B9"/>
    <w:p w:rsidR="00013845" w:rsidRPr="000916B9" w:rsidRDefault="000916B9" w:rsidP="000916B9">
      <w:pPr>
        <w:framePr w:hSpace="180" w:wrap="around" w:vAnchor="text" w:hAnchor="page" w:x="2410" w:y="7271"/>
      </w:pPr>
      <w:r>
        <w:t>(203/12)</w:t>
      </w:r>
    </w:p>
    <w:p w:rsidR="000916B9" w:rsidRDefault="000916B9"/>
    <w:sectPr w:rsidR="000916B9" w:rsidSect="00013845">
      <w:headerReference w:type="even" r:id="rId21"/>
      <w:headerReference w:type="default" r:id="rId22"/>
      <w:footerReference w:type="even" r:id="rId23"/>
      <w:footerReference w:type="default" r:id="rId24"/>
      <w:headerReference w:type="first" r:id="rId25"/>
      <w:footerReference w:type="first" r:id="rId26"/>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8B5" w:rsidRDefault="00C958B5" w:rsidP="0048364F">
      <w:pPr>
        <w:spacing w:line="240" w:lineRule="auto"/>
      </w:pPr>
      <w:r>
        <w:separator/>
      </w:r>
    </w:p>
  </w:endnote>
  <w:endnote w:type="continuationSeparator" w:id="0">
    <w:p w:rsidR="00C958B5" w:rsidRDefault="00C958B5"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4AB" w:rsidRDefault="007E64AB" w:rsidP="00212D5A">
    <w:pPr>
      <w:pStyle w:val="Footer"/>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6B9" w:rsidRDefault="000916B9">
    <w:pPr>
      <w:pStyle w:val="ScalePlusRef"/>
    </w:pPr>
    <w:r>
      <w:t>Note: An electronic version of this Act is available in ComLaw (</w:t>
    </w:r>
    <w:hyperlink r:id="rId1" w:history="1">
      <w:r>
        <w:t>http://www.comlaw.gov.au/</w:t>
      </w:r>
    </w:hyperlink>
    <w:r>
      <w:t>)</w:t>
    </w:r>
  </w:p>
  <w:p w:rsidR="000916B9" w:rsidRDefault="000916B9"/>
  <w:p w:rsidR="007E64AB" w:rsidRDefault="007E64AB" w:rsidP="00212D5A">
    <w:pPr>
      <w:pStyle w:val="Footer"/>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4AB" w:rsidRDefault="007E64AB" w:rsidP="00212D5A">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8B5" w:rsidRPr="00ED79B6" w:rsidRDefault="00C958B5" w:rsidP="00212D5A">
    <w:pPr>
      <w:pBdr>
        <w:top w:val="single" w:sz="6" w:space="1" w:color="auto"/>
      </w:pBdr>
      <w:spacing w:before="120"/>
      <w:rPr>
        <w:sz w:val="18"/>
      </w:rPr>
    </w:pPr>
  </w:p>
  <w:p w:rsidR="007E64AB" w:rsidRDefault="000916B9" w:rsidP="0048364F">
    <w:pPr>
      <w:jc w:val="right"/>
      <w:rPr>
        <w:i/>
        <w:sz w:val="18"/>
      </w:rPr>
    </w:pPr>
    <w:r>
      <w:rPr>
        <w:i/>
        <w:sz w:val="18"/>
      </w:rPr>
      <w:t>Water Amendment (Water for the Environment Special Account) Act 2013</w:t>
    </w:r>
    <w:r w:rsidR="00C958B5" w:rsidRPr="00ED79B6">
      <w:rPr>
        <w:i/>
        <w:sz w:val="18"/>
      </w:rPr>
      <w:t xml:space="preserve">       </w:t>
    </w:r>
    <w:r>
      <w:rPr>
        <w:i/>
        <w:sz w:val="18"/>
      </w:rPr>
      <w:t>No. 3, 2013</w:t>
    </w:r>
    <w:r w:rsidR="00C958B5" w:rsidRPr="00ED79B6">
      <w:rPr>
        <w:i/>
        <w:sz w:val="18"/>
      </w:rPr>
      <w:t xml:space="preserve">       </w:t>
    </w:r>
    <w:r w:rsidR="00C958B5" w:rsidRPr="00ED79B6">
      <w:rPr>
        <w:i/>
        <w:sz w:val="18"/>
      </w:rPr>
      <w:fldChar w:fldCharType="begin"/>
    </w:r>
    <w:r w:rsidR="00C958B5" w:rsidRPr="00ED79B6">
      <w:rPr>
        <w:i/>
        <w:sz w:val="18"/>
      </w:rPr>
      <w:instrText xml:space="preserve"> PAGE </w:instrText>
    </w:r>
    <w:r w:rsidR="00C958B5" w:rsidRPr="00ED79B6">
      <w:rPr>
        <w:i/>
        <w:sz w:val="18"/>
      </w:rPr>
      <w:fldChar w:fldCharType="separate"/>
    </w:r>
    <w:r w:rsidR="007E64AB">
      <w:rPr>
        <w:i/>
        <w:noProof/>
        <w:sz w:val="18"/>
      </w:rPr>
      <w:t>ii</w:t>
    </w:r>
    <w:r w:rsidR="00C958B5" w:rsidRPr="00ED79B6">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8B5" w:rsidRPr="00ED79B6" w:rsidRDefault="00C958B5" w:rsidP="00212D5A">
    <w:pPr>
      <w:pBdr>
        <w:top w:val="single" w:sz="6" w:space="1" w:color="auto"/>
      </w:pBdr>
      <w:spacing w:before="120"/>
      <w:rPr>
        <w:sz w:val="18"/>
      </w:rPr>
    </w:pPr>
  </w:p>
  <w:p w:rsidR="007E64AB" w:rsidRDefault="00C958B5" w:rsidP="0048364F">
    <w:pPr>
      <w:rPr>
        <w:i/>
        <w:sz w:val="18"/>
      </w:rPr>
    </w:pPr>
    <w:r w:rsidRPr="00ED79B6">
      <w:rPr>
        <w:i/>
        <w:sz w:val="18"/>
      </w:rPr>
      <w:fldChar w:fldCharType="begin"/>
    </w:r>
    <w:r w:rsidRPr="00ED79B6">
      <w:rPr>
        <w:i/>
        <w:sz w:val="18"/>
      </w:rPr>
      <w:instrText xml:space="preserve"> PAGE </w:instrText>
    </w:r>
    <w:r w:rsidRPr="00ED79B6">
      <w:rPr>
        <w:i/>
        <w:sz w:val="18"/>
      </w:rPr>
      <w:fldChar w:fldCharType="separate"/>
    </w:r>
    <w:r w:rsidR="00766978">
      <w:rPr>
        <w:i/>
        <w:noProof/>
        <w:sz w:val="18"/>
      </w:rPr>
      <w:t>i</w:t>
    </w:r>
    <w:r w:rsidRPr="00ED79B6">
      <w:rPr>
        <w:i/>
        <w:sz w:val="18"/>
      </w:rPr>
      <w:fldChar w:fldCharType="end"/>
    </w:r>
    <w:r w:rsidRPr="00ED79B6">
      <w:rPr>
        <w:i/>
        <w:sz w:val="18"/>
      </w:rPr>
      <w:t xml:space="preserve">       </w:t>
    </w:r>
    <w:r w:rsidR="000916B9">
      <w:rPr>
        <w:i/>
        <w:sz w:val="18"/>
      </w:rPr>
      <w:t>Water Amendment (Water for the Environment Special Account) Act 2013</w:t>
    </w:r>
    <w:r w:rsidRPr="00ED79B6">
      <w:rPr>
        <w:i/>
        <w:sz w:val="18"/>
      </w:rPr>
      <w:t xml:space="preserve">       </w:t>
    </w:r>
    <w:r w:rsidR="000916B9">
      <w:rPr>
        <w:i/>
        <w:sz w:val="18"/>
      </w:rPr>
      <w:t>No. 3, 2013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8B5" w:rsidRPr="00A961C4" w:rsidRDefault="00C958B5" w:rsidP="00212D5A">
    <w:pPr>
      <w:pBdr>
        <w:top w:val="single" w:sz="6" w:space="1" w:color="auto"/>
      </w:pBdr>
      <w:spacing w:before="120"/>
      <w:jc w:val="right"/>
      <w:rPr>
        <w:sz w:val="18"/>
      </w:rPr>
    </w:pPr>
  </w:p>
  <w:p w:rsidR="007E64AB" w:rsidRDefault="00C958B5" w:rsidP="0048364F">
    <w:pPr>
      <w:rPr>
        <w:i/>
        <w:sz w:val="18"/>
      </w:rPr>
    </w:pPr>
    <w:r w:rsidRPr="00A961C4">
      <w:rPr>
        <w:i/>
        <w:sz w:val="18"/>
      </w:rPr>
      <w:fldChar w:fldCharType="begin"/>
    </w:r>
    <w:r w:rsidRPr="00A961C4">
      <w:rPr>
        <w:i/>
        <w:sz w:val="18"/>
      </w:rPr>
      <w:instrText xml:space="preserve"> PAGE </w:instrText>
    </w:r>
    <w:r w:rsidRPr="00A961C4">
      <w:rPr>
        <w:i/>
        <w:sz w:val="18"/>
      </w:rPr>
      <w:fldChar w:fldCharType="separate"/>
    </w:r>
    <w:r w:rsidR="00766978">
      <w:rPr>
        <w:i/>
        <w:noProof/>
        <w:sz w:val="18"/>
      </w:rPr>
      <w:t>12</w:t>
    </w:r>
    <w:r w:rsidRPr="00A961C4">
      <w:rPr>
        <w:i/>
        <w:sz w:val="18"/>
      </w:rPr>
      <w:fldChar w:fldCharType="end"/>
    </w:r>
    <w:r w:rsidRPr="00A961C4">
      <w:rPr>
        <w:i/>
        <w:sz w:val="18"/>
      </w:rPr>
      <w:t xml:space="preserve">            </w:t>
    </w:r>
    <w:r w:rsidR="000916B9">
      <w:rPr>
        <w:i/>
        <w:sz w:val="18"/>
      </w:rPr>
      <w:t>Water Amendment (Water for the Environment Special Account) Act 2013</w:t>
    </w:r>
    <w:r w:rsidRPr="00A961C4">
      <w:rPr>
        <w:i/>
        <w:sz w:val="18"/>
      </w:rPr>
      <w:t xml:space="preserve">       </w:t>
    </w:r>
    <w:r w:rsidR="000916B9">
      <w:rPr>
        <w:i/>
        <w:sz w:val="18"/>
      </w:rPr>
      <w:t>No. 3, 2013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8B5" w:rsidRPr="00A961C4" w:rsidRDefault="00C958B5" w:rsidP="00212D5A">
    <w:pPr>
      <w:pBdr>
        <w:top w:val="single" w:sz="6" w:space="1" w:color="auto"/>
      </w:pBdr>
      <w:spacing w:before="120"/>
      <w:rPr>
        <w:sz w:val="18"/>
      </w:rPr>
    </w:pPr>
  </w:p>
  <w:p w:rsidR="007E64AB" w:rsidRDefault="000916B9" w:rsidP="0048364F">
    <w:pPr>
      <w:jc w:val="right"/>
      <w:rPr>
        <w:i/>
        <w:sz w:val="18"/>
      </w:rPr>
    </w:pPr>
    <w:r>
      <w:rPr>
        <w:i/>
        <w:sz w:val="18"/>
      </w:rPr>
      <w:t>Water Amendment (Water for the Environment Special Account) Act 2013</w:t>
    </w:r>
    <w:r w:rsidR="00C958B5" w:rsidRPr="00A961C4">
      <w:rPr>
        <w:i/>
        <w:sz w:val="18"/>
      </w:rPr>
      <w:t xml:space="preserve">       </w:t>
    </w:r>
    <w:r>
      <w:rPr>
        <w:i/>
        <w:sz w:val="18"/>
      </w:rPr>
      <w:t>No. 3, 2013</w:t>
    </w:r>
    <w:r w:rsidR="00C958B5" w:rsidRPr="00A961C4">
      <w:rPr>
        <w:i/>
        <w:sz w:val="18"/>
      </w:rPr>
      <w:t xml:space="preserve">            </w:t>
    </w:r>
    <w:r w:rsidR="00C958B5" w:rsidRPr="00A961C4">
      <w:rPr>
        <w:i/>
        <w:sz w:val="18"/>
      </w:rPr>
      <w:fldChar w:fldCharType="begin"/>
    </w:r>
    <w:r w:rsidR="00C958B5" w:rsidRPr="00A961C4">
      <w:rPr>
        <w:i/>
        <w:sz w:val="18"/>
      </w:rPr>
      <w:instrText xml:space="preserve"> PAGE </w:instrText>
    </w:r>
    <w:r w:rsidR="00C958B5" w:rsidRPr="00A961C4">
      <w:rPr>
        <w:i/>
        <w:sz w:val="18"/>
      </w:rPr>
      <w:fldChar w:fldCharType="separate"/>
    </w:r>
    <w:r w:rsidR="00766978">
      <w:rPr>
        <w:i/>
        <w:noProof/>
        <w:sz w:val="18"/>
      </w:rPr>
      <w:t>13</w:t>
    </w:r>
    <w:r w:rsidR="00C958B5" w:rsidRPr="00A961C4">
      <w:rPr>
        <w:i/>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8B5" w:rsidRPr="00A961C4" w:rsidRDefault="00C958B5" w:rsidP="00212D5A">
    <w:pPr>
      <w:pBdr>
        <w:top w:val="single" w:sz="6" w:space="1" w:color="auto"/>
      </w:pBdr>
      <w:spacing w:before="120"/>
      <w:rPr>
        <w:sz w:val="18"/>
      </w:rPr>
    </w:pPr>
  </w:p>
  <w:p w:rsidR="007E64AB" w:rsidRDefault="000916B9" w:rsidP="0048364F">
    <w:pPr>
      <w:jc w:val="right"/>
      <w:rPr>
        <w:i/>
        <w:sz w:val="18"/>
      </w:rPr>
    </w:pPr>
    <w:r>
      <w:rPr>
        <w:i/>
        <w:sz w:val="18"/>
      </w:rPr>
      <w:t>Water Amendment (Water for the Environment Special Account) Act 2013</w:t>
    </w:r>
    <w:r w:rsidR="00C958B5" w:rsidRPr="00A961C4">
      <w:rPr>
        <w:i/>
        <w:sz w:val="18"/>
      </w:rPr>
      <w:t xml:space="preserve">       </w:t>
    </w:r>
    <w:r>
      <w:rPr>
        <w:i/>
        <w:sz w:val="18"/>
      </w:rPr>
      <w:t>No. 3, 2013</w:t>
    </w:r>
    <w:r w:rsidR="00C958B5" w:rsidRPr="00A961C4">
      <w:rPr>
        <w:i/>
        <w:sz w:val="18"/>
      </w:rPr>
      <w:t xml:space="preserve">       </w:t>
    </w:r>
    <w:r w:rsidR="00C958B5" w:rsidRPr="00A961C4">
      <w:rPr>
        <w:i/>
        <w:sz w:val="18"/>
      </w:rPr>
      <w:fldChar w:fldCharType="begin"/>
    </w:r>
    <w:r w:rsidR="00C958B5" w:rsidRPr="00A961C4">
      <w:rPr>
        <w:i/>
        <w:sz w:val="18"/>
      </w:rPr>
      <w:instrText xml:space="preserve"> PAGE </w:instrText>
    </w:r>
    <w:r w:rsidR="00C958B5" w:rsidRPr="00A961C4">
      <w:rPr>
        <w:i/>
        <w:sz w:val="18"/>
      </w:rPr>
      <w:fldChar w:fldCharType="separate"/>
    </w:r>
    <w:r w:rsidR="00766978">
      <w:rPr>
        <w:i/>
        <w:noProof/>
        <w:sz w:val="18"/>
      </w:rPr>
      <w:t>1</w:t>
    </w:r>
    <w:r w:rsidR="00C958B5" w:rsidRPr="00A961C4">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8B5" w:rsidRDefault="00C958B5" w:rsidP="0048364F">
      <w:pPr>
        <w:spacing w:line="240" w:lineRule="auto"/>
      </w:pPr>
      <w:r>
        <w:separator/>
      </w:r>
    </w:p>
  </w:footnote>
  <w:footnote w:type="continuationSeparator" w:id="0">
    <w:p w:rsidR="00C958B5" w:rsidRDefault="00C958B5"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8B5" w:rsidRPr="005F1388" w:rsidRDefault="00C958B5" w:rsidP="0048364F">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8B5" w:rsidRPr="005F1388" w:rsidRDefault="00C958B5" w:rsidP="0048364F">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8B5" w:rsidRPr="005F1388" w:rsidRDefault="00C958B5"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8B5" w:rsidRPr="00ED79B6" w:rsidRDefault="00C958B5" w:rsidP="0048364F">
    <w:pPr>
      <w:pBdr>
        <w:bottom w:val="single" w:sz="12"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8B5" w:rsidRPr="00ED79B6" w:rsidRDefault="00C958B5" w:rsidP="0048364F">
    <w:pPr>
      <w:pBdr>
        <w:bottom w:val="single" w:sz="12"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8B5" w:rsidRPr="00ED79B6" w:rsidRDefault="00C958B5"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8B5" w:rsidRPr="00A961C4" w:rsidRDefault="00C958B5" w:rsidP="0048364F">
    <w:pPr>
      <w:rPr>
        <w:b/>
        <w:sz w:val="20"/>
      </w:rPr>
    </w:pPr>
    <w:r>
      <w:rPr>
        <w:b/>
        <w:sz w:val="20"/>
      </w:rPr>
      <w:fldChar w:fldCharType="begin"/>
    </w:r>
    <w:r>
      <w:rPr>
        <w:b/>
        <w:sz w:val="20"/>
      </w:rPr>
      <w:instrText xml:space="preserve"> STYLEREF CharAmSchNo </w:instrText>
    </w:r>
    <w:r w:rsidR="00766978">
      <w:rPr>
        <w:b/>
        <w:sz w:val="20"/>
      </w:rPr>
      <w:fldChar w:fldCharType="separate"/>
    </w:r>
    <w:r w:rsidR="00766978">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766978">
      <w:rPr>
        <w:sz w:val="20"/>
      </w:rPr>
      <w:fldChar w:fldCharType="separate"/>
    </w:r>
    <w:r w:rsidR="00766978">
      <w:rPr>
        <w:noProof/>
        <w:sz w:val="20"/>
      </w:rPr>
      <w:t>Water for the Environment Special Account</w:t>
    </w:r>
    <w:r>
      <w:rPr>
        <w:sz w:val="20"/>
      </w:rPr>
      <w:fldChar w:fldCharType="end"/>
    </w:r>
  </w:p>
  <w:p w:rsidR="00C958B5" w:rsidRPr="00A961C4" w:rsidRDefault="00C958B5"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C958B5" w:rsidRPr="00A961C4" w:rsidRDefault="00C958B5" w:rsidP="0048364F">
    <w:pPr>
      <w:pBdr>
        <w:bottom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8B5" w:rsidRPr="00A961C4" w:rsidRDefault="00C958B5"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separate"/>
    </w:r>
    <w:r w:rsidR="00766978">
      <w:rPr>
        <w:noProof/>
        <w:sz w:val="20"/>
      </w:rPr>
      <w:t>Water for the Environment Special Account</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separate"/>
    </w:r>
    <w:r w:rsidR="00766978">
      <w:rPr>
        <w:b/>
        <w:noProof/>
        <w:sz w:val="20"/>
      </w:rPr>
      <w:t>Schedule 1</w:t>
    </w:r>
    <w:r>
      <w:rPr>
        <w:b/>
        <w:sz w:val="20"/>
      </w:rPr>
      <w:fldChar w:fldCharType="end"/>
    </w:r>
  </w:p>
  <w:p w:rsidR="00C958B5" w:rsidRPr="00A961C4" w:rsidRDefault="00C958B5"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C958B5" w:rsidRPr="00A961C4" w:rsidRDefault="00C958B5" w:rsidP="0048364F">
    <w:pPr>
      <w:pBdr>
        <w:bottom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8B5" w:rsidRPr="00A961C4" w:rsidRDefault="00C958B5"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5EDF5E"/>
    <w:lvl w:ilvl="0">
      <w:start w:val="1"/>
      <w:numFmt w:val="decimal"/>
      <w:lvlText w:val="%1."/>
      <w:lvlJc w:val="left"/>
      <w:pPr>
        <w:tabs>
          <w:tab w:val="num" w:pos="1492"/>
        </w:tabs>
        <w:ind w:left="1492" w:hanging="360"/>
      </w:pPr>
    </w:lvl>
  </w:abstractNum>
  <w:abstractNum w:abstractNumId="1">
    <w:nsid w:val="FFFFFF7D"/>
    <w:multiLevelType w:val="singleLevel"/>
    <w:tmpl w:val="24F4297A"/>
    <w:lvl w:ilvl="0">
      <w:start w:val="1"/>
      <w:numFmt w:val="decimal"/>
      <w:lvlText w:val="%1."/>
      <w:lvlJc w:val="left"/>
      <w:pPr>
        <w:tabs>
          <w:tab w:val="num" w:pos="1209"/>
        </w:tabs>
        <w:ind w:left="1209" w:hanging="360"/>
      </w:pPr>
    </w:lvl>
  </w:abstractNum>
  <w:abstractNum w:abstractNumId="2">
    <w:nsid w:val="FFFFFF7E"/>
    <w:multiLevelType w:val="singleLevel"/>
    <w:tmpl w:val="17A4780E"/>
    <w:lvl w:ilvl="0">
      <w:start w:val="1"/>
      <w:numFmt w:val="decimal"/>
      <w:lvlText w:val="%1."/>
      <w:lvlJc w:val="left"/>
      <w:pPr>
        <w:tabs>
          <w:tab w:val="num" w:pos="926"/>
        </w:tabs>
        <w:ind w:left="926" w:hanging="360"/>
      </w:pPr>
    </w:lvl>
  </w:abstractNum>
  <w:abstractNum w:abstractNumId="3">
    <w:nsid w:val="FFFFFF7F"/>
    <w:multiLevelType w:val="singleLevel"/>
    <w:tmpl w:val="AFBE8A90"/>
    <w:lvl w:ilvl="0">
      <w:start w:val="1"/>
      <w:numFmt w:val="decimal"/>
      <w:lvlText w:val="%1."/>
      <w:lvlJc w:val="left"/>
      <w:pPr>
        <w:tabs>
          <w:tab w:val="num" w:pos="643"/>
        </w:tabs>
        <w:ind w:left="643" w:hanging="360"/>
      </w:pPr>
    </w:lvl>
  </w:abstractNum>
  <w:abstractNum w:abstractNumId="4">
    <w:nsid w:val="FFFFFF80"/>
    <w:multiLevelType w:val="singleLevel"/>
    <w:tmpl w:val="A1E420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30D5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BEC5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A494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D22D78"/>
    <w:lvl w:ilvl="0">
      <w:start w:val="1"/>
      <w:numFmt w:val="decimal"/>
      <w:lvlText w:val="%1."/>
      <w:lvlJc w:val="left"/>
      <w:pPr>
        <w:tabs>
          <w:tab w:val="num" w:pos="360"/>
        </w:tabs>
        <w:ind w:left="360" w:hanging="360"/>
      </w:pPr>
    </w:lvl>
  </w:abstractNum>
  <w:abstractNum w:abstractNumId="9">
    <w:nsid w:val="FFFFFF89"/>
    <w:multiLevelType w:val="singleLevel"/>
    <w:tmpl w:val="FDB0E970"/>
    <w:lvl w:ilvl="0">
      <w:start w:val="1"/>
      <w:numFmt w:val="bullet"/>
      <w:lvlText w:val=""/>
      <w:lvlJc w:val="left"/>
      <w:pPr>
        <w:tabs>
          <w:tab w:val="num" w:pos="360"/>
        </w:tabs>
        <w:ind w:left="360" w:hanging="360"/>
      </w:pPr>
      <w:rPr>
        <w:rFonts w:ascii="Symbol" w:hAnsi="Symbol" w:hint="default"/>
      </w:rPr>
    </w:lvl>
  </w:abstractNum>
  <w:abstractNum w:abstractNumId="10">
    <w:nsid w:val="062F59D4"/>
    <w:multiLevelType w:val="hybridMultilevel"/>
    <w:tmpl w:val="A45CDE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nsid w:val="79B01E1E"/>
    <w:multiLevelType w:val="hybridMultilevel"/>
    <w:tmpl w:val="013EF196"/>
    <w:lvl w:ilvl="0" w:tplc="A7A61CC4">
      <w:start w:val="2"/>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3F5"/>
    <w:rsid w:val="00001B8A"/>
    <w:rsid w:val="00002AA5"/>
    <w:rsid w:val="00003E04"/>
    <w:rsid w:val="00005337"/>
    <w:rsid w:val="000113BC"/>
    <w:rsid w:val="000136AF"/>
    <w:rsid w:val="00013845"/>
    <w:rsid w:val="00017D5C"/>
    <w:rsid w:val="00023A2F"/>
    <w:rsid w:val="00024B8D"/>
    <w:rsid w:val="000307B8"/>
    <w:rsid w:val="000331FA"/>
    <w:rsid w:val="00034B20"/>
    <w:rsid w:val="00037E6E"/>
    <w:rsid w:val="00046863"/>
    <w:rsid w:val="000507B6"/>
    <w:rsid w:val="000607CA"/>
    <w:rsid w:val="000614BF"/>
    <w:rsid w:val="00066D50"/>
    <w:rsid w:val="000859AD"/>
    <w:rsid w:val="000916B9"/>
    <w:rsid w:val="00097129"/>
    <w:rsid w:val="00097E6C"/>
    <w:rsid w:val="000A2B62"/>
    <w:rsid w:val="000A59FB"/>
    <w:rsid w:val="000B3C4A"/>
    <w:rsid w:val="000B443D"/>
    <w:rsid w:val="000B6605"/>
    <w:rsid w:val="000C2E0C"/>
    <w:rsid w:val="000D05EF"/>
    <w:rsid w:val="000D2644"/>
    <w:rsid w:val="000D5433"/>
    <w:rsid w:val="000E2A85"/>
    <w:rsid w:val="000E2EC4"/>
    <w:rsid w:val="000E49E5"/>
    <w:rsid w:val="000E53EF"/>
    <w:rsid w:val="000E57B5"/>
    <w:rsid w:val="000F170D"/>
    <w:rsid w:val="000F21C1"/>
    <w:rsid w:val="0010262E"/>
    <w:rsid w:val="00104830"/>
    <w:rsid w:val="001066A9"/>
    <w:rsid w:val="001068A1"/>
    <w:rsid w:val="0010745C"/>
    <w:rsid w:val="00113CB1"/>
    <w:rsid w:val="00115673"/>
    <w:rsid w:val="00117159"/>
    <w:rsid w:val="001214B8"/>
    <w:rsid w:val="001216EF"/>
    <w:rsid w:val="001267CA"/>
    <w:rsid w:val="00130110"/>
    <w:rsid w:val="00136EB0"/>
    <w:rsid w:val="00137B67"/>
    <w:rsid w:val="00141766"/>
    <w:rsid w:val="00143EC7"/>
    <w:rsid w:val="0014458A"/>
    <w:rsid w:val="0015291E"/>
    <w:rsid w:val="001643C9"/>
    <w:rsid w:val="00165568"/>
    <w:rsid w:val="00166C2F"/>
    <w:rsid w:val="001716C9"/>
    <w:rsid w:val="0017795F"/>
    <w:rsid w:val="00181D33"/>
    <w:rsid w:val="00190A84"/>
    <w:rsid w:val="00193449"/>
    <w:rsid w:val="001939E1"/>
    <w:rsid w:val="00195382"/>
    <w:rsid w:val="0019546B"/>
    <w:rsid w:val="001A03CE"/>
    <w:rsid w:val="001A3B9C"/>
    <w:rsid w:val="001B2A0A"/>
    <w:rsid w:val="001B2B12"/>
    <w:rsid w:val="001B596E"/>
    <w:rsid w:val="001B639D"/>
    <w:rsid w:val="001B7A5D"/>
    <w:rsid w:val="001C1A0B"/>
    <w:rsid w:val="001C69C4"/>
    <w:rsid w:val="001C6FA1"/>
    <w:rsid w:val="001D1B8D"/>
    <w:rsid w:val="001D2510"/>
    <w:rsid w:val="001E3590"/>
    <w:rsid w:val="001E5D64"/>
    <w:rsid w:val="001E7407"/>
    <w:rsid w:val="001F19AD"/>
    <w:rsid w:val="001F33AF"/>
    <w:rsid w:val="00200BE5"/>
    <w:rsid w:val="00201D27"/>
    <w:rsid w:val="0021027E"/>
    <w:rsid w:val="00212D5A"/>
    <w:rsid w:val="00222461"/>
    <w:rsid w:val="002229BF"/>
    <w:rsid w:val="00223C36"/>
    <w:rsid w:val="00224827"/>
    <w:rsid w:val="0024046C"/>
    <w:rsid w:val="00240749"/>
    <w:rsid w:val="002409AA"/>
    <w:rsid w:val="00241E5E"/>
    <w:rsid w:val="002472A8"/>
    <w:rsid w:val="002518E4"/>
    <w:rsid w:val="002525FF"/>
    <w:rsid w:val="00256A67"/>
    <w:rsid w:val="00261E63"/>
    <w:rsid w:val="002710CB"/>
    <w:rsid w:val="0028031F"/>
    <w:rsid w:val="00286A35"/>
    <w:rsid w:val="0029751A"/>
    <w:rsid w:val="00297ECB"/>
    <w:rsid w:val="002B309F"/>
    <w:rsid w:val="002B396A"/>
    <w:rsid w:val="002C17E8"/>
    <w:rsid w:val="002C1825"/>
    <w:rsid w:val="002C30CB"/>
    <w:rsid w:val="002C67F1"/>
    <w:rsid w:val="002C7744"/>
    <w:rsid w:val="002C7F28"/>
    <w:rsid w:val="002D043A"/>
    <w:rsid w:val="002D196C"/>
    <w:rsid w:val="002E3A49"/>
    <w:rsid w:val="002E4536"/>
    <w:rsid w:val="002F3145"/>
    <w:rsid w:val="00300C64"/>
    <w:rsid w:val="00307F98"/>
    <w:rsid w:val="003112EA"/>
    <w:rsid w:val="00331322"/>
    <w:rsid w:val="003415D3"/>
    <w:rsid w:val="00343E13"/>
    <w:rsid w:val="00352B0F"/>
    <w:rsid w:val="00355745"/>
    <w:rsid w:val="00355886"/>
    <w:rsid w:val="00362516"/>
    <w:rsid w:val="00363F0F"/>
    <w:rsid w:val="0036426B"/>
    <w:rsid w:val="0038069C"/>
    <w:rsid w:val="003875D4"/>
    <w:rsid w:val="00393644"/>
    <w:rsid w:val="0039536F"/>
    <w:rsid w:val="00395E3E"/>
    <w:rsid w:val="003A0714"/>
    <w:rsid w:val="003A5617"/>
    <w:rsid w:val="003B402E"/>
    <w:rsid w:val="003C11E2"/>
    <w:rsid w:val="003C2251"/>
    <w:rsid w:val="003C5F2B"/>
    <w:rsid w:val="003C6408"/>
    <w:rsid w:val="003D0BFE"/>
    <w:rsid w:val="003D1CFB"/>
    <w:rsid w:val="003D2A6A"/>
    <w:rsid w:val="003D5029"/>
    <w:rsid w:val="003D5700"/>
    <w:rsid w:val="003D5ECE"/>
    <w:rsid w:val="003D71C2"/>
    <w:rsid w:val="003E602B"/>
    <w:rsid w:val="003F321E"/>
    <w:rsid w:val="003F6C5C"/>
    <w:rsid w:val="00400319"/>
    <w:rsid w:val="004068E7"/>
    <w:rsid w:val="004116CD"/>
    <w:rsid w:val="00417AFC"/>
    <w:rsid w:val="00417EFD"/>
    <w:rsid w:val="00424CA9"/>
    <w:rsid w:val="00442063"/>
    <w:rsid w:val="0044291A"/>
    <w:rsid w:val="004601C1"/>
    <w:rsid w:val="00461BF3"/>
    <w:rsid w:val="004630A1"/>
    <w:rsid w:val="00465A98"/>
    <w:rsid w:val="004776D2"/>
    <w:rsid w:val="0048364F"/>
    <w:rsid w:val="004949BC"/>
    <w:rsid w:val="00496F97"/>
    <w:rsid w:val="004975B2"/>
    <w:rsid w:val="004A3239"/>
    <w:rsid w:val="004A5DA2"/>
    <w:rsid w:val="004A70C4"/>
    <w:rsid w:val="004A7E69"/>
    <w:rsid w:val="004B3579"/>
    <w:rsid w:val="004B550C"/>
    <w:rsid w:val="004C1F2F"/>
    <w:rsid w:val="004D0AAD"/>
    <w:rsid w:val="004D6FF8"/>
    <w:rsid w:val="004E58C0"/>
    <w:rsid w:val="004F005B"/>
    <w:rsid w:val="004F112E"/>
    <w:rsid w:val="004F13E4"/>
    <w:rsid w:val="004F1FAC"/>
    <w:rsid w:val="004F4E96"/>
    <w:rsid w:val="004F7713"/>
    <w:rsid w:val="00501801"/>
    <w:rsid w:val="005058A3"/>
    <w:rsid w:val="005122FD"/>
    <w:rsid w:val="00516B8D"/>
    <w:rsid w:val="00522E50"/>
    <w:rsid w:val="005257D0"/>
    <w:rsid w:val="005306FF"/>
    <w:rsid w:val="0053377F"/>
    <w:rsid w:val="0053399F"/>
    <w:rsid w:val="005367A6"/>
    <w:rsid w:val="00536B44"/>
    <w:rsid w:val="00537FBC"/>
    <w:rsid w:val="00543469"/>
    <w:rsid w:val="00550E3E"/>
    <w:rsid w:val="0055781E"/>
    <w:rsid w:val="0056782C"/>
    <w:rsid w:val="005704DC"/>
    <w:rsid w:val="00571F10"/>
    <w:rsid w:val="005724A6"/>
    <w:rsid w:val="0057437A"/>
    <w:rsid w:val="00577D18"/>
    <w:rsid w:val="00580113"/>
    <w:rsid w:val="00584811"/>
    <w:rsid w:val="005859E4"/>
    <w:rsid w:val="00585AB4"/>
    <w:rsid w:val="00593034"/>
    <w:rsid w:val="00593AA6"/>
    <w:rsid w:val="00594161"/>
    <w:rsid w:val="00594749"/>
    <w:rsid w:val="005A32AB"/>
    <w:rsid w:val="005A597A"/>
    <w:rsid w:val="005B4067"/>
    <w:rsid w:val="005B5ABC"/>
    <w:rsid w:val="005C1778"/>
    <w:rsid w:val="005C29CB"/>
    <w:rsid w:val="005C3F41"/>
    <w:rsid w:val="005D7DBF"/>
    <w:rsid w:val="005E29A3"/>
    <w:rsid w:val="005F41D2"/>
    <w:rsid w:val="005F5E95"/>
    <w:rsid w:val="00600219"/>
    <w:rsid w:val="0061334F"/>
    <w:rsid w:val="0061769C"/>
    <w:rsid w:val="0063678A"/>
    <w:rsid w:val="00637E7D"/>
    <w:rsid w:val="0064246C"/>
    <w:rsid w:val="00642F2F"/>
    <w:rsid w:val="00663812"/>
    <w:rsid w:val="00664D28"/>
    <w:rsid w:val="00677CC2"/>
    <w:rsid w:val="00677D2B"/>
    <w:rsid w:val="00681D09"/>
    <w:rsid w:val="00685F42"/>
    <w:rsid w:val="00687E53"/>
    <w:rsid w:val="0069207B"/>
    <w:rsid w:val="006A07BC"/>
    <w:rsid w:val="006B0634"/>
    <w:rsid w:val="006B3263"/>
    <w:rsid w:val="006B4553"/>
    <w:rsid w:val="006C25F8"/>
    <w:rsid w:val="006C417D"/>
    <w:rsid w:val="006C44E1"/>
    <w:rsid w:val="006C7F8C"/>
    <w:rsid w:val="006D2BA2"/>
    <w:rsid w:val="006D4BB3"/>
    <w:rsid w:val="006D624F"/>
    <w:rsid w:val="006D7F73"/>
    <w:rsid w:val="006E11BA"/>
    <w:rsid w:val="006E16A0"/>
    <w:rsid w:val="006E672B"/>
    <w:rsid w:val="006F1693"/>
    <w:rsid w:val="006F5903"/>
    <w:rsid w:val="0070024C"/>
    <w:rsid w:val="00700B2C"/>
    <w:rsid w:val="007073DB"/>
    <w:rsid w:val="00710CD8"/>
    <w:rsid w:val="00713084"/>
    <w:rsid w:val="00721CBD"/>
    <w:rsid w:val="0072663C"/>
    <w:rsid w:val="00727515"/>
    <w:rsid w:val="0072772E"/>
    <w:rsid w:val="00727BFF"/>
    <w:rsid w:val="00731E00"/>
    <w:rsid w:val="007440B7"/>
    <w:rsid w:val="007448C1"/>
    <w:rsid w:val="00744EE6"/>
    <w:rsid w:val="007518EB"/>
    <w:rsid w:val="007566DF"/>
    <w:rsid w:val="007634AD"/>
    <w:rsid w:val="007653C7"/>
    <w:rsid w:val="00766978"/>
    <w:rsid w:val="00767C94"/>
    <w:rsid w:val="00770DCC"/>
    <w:rsid w:val="007715C9"/>
    <w:rsid w:val="007745A0"/>
    <w:rsid w:val="00774EDD"/>
    <w:rsid w:val="007757EC"/>
    <w:rsid w:val="007805D4"/>
    <w:rsid w:val="00781A85"/>
    <w:rsid w:val="007832E8"/>
    <w:rsid w:val="00787043"/>
    <w:rsid w:val="00797541"/>
    <w:rsid w:val="00797BF6"/>
    <w:rsid w:val="007A43FC"/>
    <w:rsid w:val="007A6E1F"/>
    <w:rsid w:val="007B7AC3"/>
    <w:rsid w:val="007C28DC"/>
    <w:rsid w:val="007C4959"/>
    <w:rsid w:val="007D2495"/>
    <w:rsid w:val="007D4F8F"/>
    <w:rsid w:val="007D59CB"/>
    <w:rsid w:val="007D5D89"/>
    <w:rsid w:val="007D7D69"/>
    <w:rsid w:val="007E4854"/>
    <w:rsid w:val="007E561A"/>
    <w:rsid w:val="007E64AB"/>
    <w:rsid w:val="007E7D4A"/>
    <w:rsid w:val="007F107C"/>
    <w:rsid w:val="007F3E62"/>
    <w:rsid w:val="007F681D"/>
    <w:rsid w:val="007F6DA8"/>
    <w:rsid w:val="00803D36"/>
    <w:rsid w:val="00805279"/>
    <w:rsid w:val="008060D9"/>
    <w:rsid w:val="00806758"/>
    <w:rsid w:val="008068AB"/>
    <w:rsid w:val="008076F5"/>
    <w:rsid w:val="00824C7E"/>
    <w:rsid w:val="00826CF8"/>
    <w:rsid w:val="00832713"/>
    <w:rsid w:val="00834287"/>
    <w:rsid w:val="008371F5"/>
    <w:rsid w:val="008521AB"/>
    <w:rsid w:val="00852589"/>
    <w:rsid w:val="00852DE1"/>
    <w:rsid w:val="00856A31"/>
    <w:rsid w:val="0086007F"/>
    <w:rsid w:val="0086117B"/>
    <w:rsid w:val="008632DB"/>
    <w:rsid w:val="0086405D"/>
    <w:rsid w:val="008660F6"/>
    <w:rsid w:val="008679D8"/>
    <w:rsid w:val="00873647"/>
    <w:rsid w:val="008754D0"/>
    <w:rsid w:val="00877D48"/>
    <w:rsid w:val="00883343"/>
    <w:rsid w:val="00884C50"/>
    <w:rsid w:val="008929BF"/>
    <w:rsid w:val="008B032A"/>
    <w:rsid w:val="008B2670"/>
    <w:rsid w:val="008B5FC6"/>
    <w:rsid w:val="008B7D4D"/>
    <w:rsid w:val="008C30CD"/>
    <w:rsid w:val="008C41B6"/>
    <w:rsid w:val="008D0EE0"/>
    <w:rsid w:val="008D1D71"/>
    <w:rsid w:val="008D2419"/>
    <w:rsid w:val="008D27A2"/>
    <w:rsid w:val="008D5CF4"/>
    <w:rsid w:val="008F256E"/>
    <w:rsid w:val="008F4F1C"/>
    <w:rsid w:val="008F6C0A"/>
    <w:rsid w:val="009032D9"/>
    <w:rsid w:val="00904A39"/>
    <w:rsid w:val="00910F58"/>
    <w:rsid w:val="00915085"/>
    <w:rsid w:val="009151DD"/>
    <w:rsid w:val="00916403"/>
    <w:rsid w:val="00920879"/>
    <w:rsid w:val="009217EA"/>
    <w:rsid w:val="00922217"/>
    <w:rsid w:val="009271D2"/>
    <w:rsid w:val="009319D6"/>
    <w:rsid w:val="00932377"/>
    <w:rsid w:val="0093313A"/>
    <w:rsid w:val="00935836"/>
    <w:rsid w:val="00945AE1"/>
    <w:rsid w:val="00947003"/>
    <w:rsid w:val="00947603"/>
    <w:rsid w:val="009505C9"/>
    <w:rsid w:val="009507F1"/>
    <w:rsid w:val="00953165"/>
    <w:rsid w:val="009621AA"/>
    <w:rsid w:val="00965430"/>
    <w:rsid w:val="009765AC"/>
    <w:rsid w:val="0098406E"/>
    <w:rsid w:val="00984432"/>
    <w:rsid w:val="00996D18"/>
    <w:rsid w:val="009A5606"/>
    <w:rsid w:val="009C5B50"/>
    <w:rsid w:val="009C5D64"/>
    <w:rsid w:val="009D21E3"/>
    <w:rsid w:val="009D2571"/>
    <w:rsid w:val="009D5BDC"/>
    <w:rsid w:val="009E1730"/>
    <w:rsid w:val="009E5B78"/>
    <w:rsid w:val="009F4E93"/>
    <w:rsid w:val="009F64BE"/>
    <w:rsid w:val="00A0103B"/>
    <w:rsid w:val="00A21AFA"/>
    <w:rsid w:val="00A21B96"/>
    <w:rsid w:val="00A231E2"/>
    <w:rsid w:val="00A23AEA"/>
    <w:rsid w:val="00A25094"/>
    <w:rsid w:val="00A27951"/>
    <w:rsid w:val="00A279BB"/>
    <w:rsid w:val="00A35D77"/>
    <w:rsid w:val="00A43300"/>
    <w:rsid w:val="00A57E4C"/>
    <w:rsid w:val="00A60179"/>
    <w:rsid w:val="00A610B1"/>
    <w:rsid w:val="00A62C0D"/>
    <w:rsid w:val="00A64912"/>
    <w:rsid w:val="00A70A74"/>
    <w:rsid w:val="00A743F3"/>
    <w:rsid w:val="00A74548"/>
    <w:rsid w:val="00A850D3"/>
    <w:rsid w:val="00A90A70"/>
    <w:rsid w:val="00A936B1"/>
    <w:rsid w:val="00AA479E"/>
    <w:rsid w:val="00AA7330"/>
    <w:rsid w:val="00AC2BB3"/>
    <w:rsid w:val="00AC6AFD"/>
    <w:rsid w:val="00AD4474"/>
    <w:rsid w:val="00AD5641"/>
    <w:rsid w:val="00AF3BFA"/>
    <w:rsid w:val="00AF50B2"/>
    <w:rsid w:val="00AF65E0"/>
    <w:rsid w:val="00AF77C5"/>
    <w:rsid w:val="00B032D8"/>
    <w:rsid w:val="00B074D2"/>
    <w:rsid w:val="00B1136D"/>
    <w:rsid w:val="00B13BF6"/>
    <w:rsid w:val="00B13F77"/>
    <w:rsid w:val="00B16A98"/>
    <w:rsid w:val="00B23241"/>
    <w:rsid w:val="00B306A6"/>
    <w:rsid w:val="00B306DE"/>
    <w:rsid w:val="00B324A1"/>
    <w:rsid w:val="00B33B3C"/>
    <w:rsid w:val="00B33CF2"/>
    <w:rsid w:val="00B34732"/>
    <w:rsid w:val="00B36E20"/>
    <w:rsid w:val="00B37BD7"/>
    <w:rsid w:val="00B42282"/>
    <w:rsid w:val="00B51D1F"/>
    <w:rsid w:val="00B67304"/>
    <w:rsid w:val="00B7134D"/>
    <w:rsid w:val="00B74908"/>
    <w:rsid w:val="00B85A0D"/>
    <w:rsid w:val="00B92697"/>
    <w:rsid w:val="00B92DE1"/>
    <w:rsid w:val="00BA0307"/>
    <w:rsid w:val="00BA0D8D"/>
    <w:rsid w:val="00BA5026"/>
    <w:rsid w:val="00BB33ED"/>
    <w:rsid w:val="00BC2B6A"/>
    <w:rsid w:val="00BC6805"/>
    <w:rsid w:val="00BD165B"/>
    <w:rsid w:val="00BD322E"/>
    <w:rsid w:val="00BE1283"/>
    <w:rsid w:val="00BE719A"/>
    <w:rsid w:val="00BE720A"/>
    <w:rsid w:val="00BF3AC7"/>
    <w:rsid w:val="00BF5D2F"/>
    <w:rsid w:val="00C0136D"/>
    <w:rsid w:val="00C05382"/>
    <w:rsid w:val="00C067E5"/>
    <w:rsid w:val="00C10B32"/>
    <w:rsid w:val="00C139FA"/>
    <w:rsid w:val="00C1567D"/>
    <w:rsid w:val="00C163BA"/>
    <w:rsid w:val="00C164CA"/>
    <w:rsid w:val="00C174D5"/>
    <w:rsid w:val="00C27CF9"/>
    <w:rsid w:val="00C33508"/>
    <w:rsid w:val="00C401CD"/>
    <w:rsid w:val="00C414C3"/>
    <w:rsid w:val="00C42BF8"/>
    <w:rsid w:val="00C442A3"/>
    <w:rsid w:val="00C460AE"/>
    <w:rsid w:val="00C50043"/>
    <w:rsid w:val="00C53FCA"/>
    <w:rsid w:val="00C6038C"/>
    <w:rsid w:val="00C63312"/>
    <w:rsid w:val="00C6342D"/>
    <w:rsid w:val="00C647D2"/>
    <w:rsid w:val="00C66B6C"/>
    <w:rsid w:val="00C70C7A"/>
    <w:rsid w:val="00C72237"/>
    <w:rsid w:val="00C72FF6"/>
    <w:rsid w:val="00C7573B"/>
    <w:rsid w:val="00C75FFD"/>
    <w:rsid w:val="00C760EE"/>
    <w:rsid w:val="00C76CF3"/>
    <w:rsid w:val="00C80F63"/>
    <w:rsid w:val="00C81AF4"/>
    <w:rsid w:val="00C878F2"/>
    <w:rsid w:val="00C95073"/>
    <w:rsid w:val="00C958B5"/>
    <w:rsid w:val="00CA1AD4"/>
    <w:rsid w:val="00CA3758"/>
    <w:rsid w:val="00CA716F"/>
    <w:rsid w:val="00CB382F"/>
    <w:rsid w:val="00CB4C64"/>
    <w:rsid w:val="00CB51AE"/>
    <w:rsid w:val="00CB53F5"/>
    <w:rsid w:val="00CB6D0C"/>
    <w:rsid w:val="00CB7951"/>
    <w:rsid w:val="00CC1988"/>
    <w:rsid w:val="00CC25F3"/>
    <w:rsid w:val="00CC4052"/>
    <w:rsid w:val="00CC4AEB"/>
    <w:rsid w:val="00CC4D36"/>
    <w:rsid w:val="00CD60AF"/>
    <w:rsid w:val="00CE2EFD"/>
    <w:rsid w:val="00CE44C5"/>
    <w:rsid w:val="00CE4887"/>
    <w:rsid w:val="00CE64DB"/>
    <w:rsid w:val="00CF0BB2"/>
    <w:rsid w:val="00CF2213"/>
    <w:rsid w:val="00CF243F"/>
    <w:rsid w:val="00CF6E1E"/>
    <w:rsid w:val="00D13441"/>
    <w:rsid w:val="00D144CC"/>
    <w:rsid w:val="00D14B83"/>
    <w:rsid w:val="00D16FCB"/>
    <w:rsid w:val="00D223F0"/>
    <w:rsid w:val="00D243A3"/>
    <w:rsid w:val="00D25F54"/>
    <w:rsid w:val="00D31652"/>
    <w:rsid w:val="00D31A74"/>
    <w:rsid w:val="00D323CE"/>
    <w:rsid w:val="00D34E9E"/>
    <w:rsid w:val="00D37183"/>
    <w:rsid w:val="00D466E5"/>
    <w:rsid w:val="00D475AF"/>
    <w:rsid w:val="00D52059"/>
    <w:rsid w:val="00D521C6"/>
    <w:rsid w:val="00D52EFE"/>
    <w:rsid w:val="00D54FCC"/>
    <w:rsid w:val="00D57D64"/>
    <w:rsid w:val="00D60AAF"/>
    <w:rsid w:val="00D60CCF"/>
    <w:rsid w:val="00D624CD"/>
    <w:rsid w:val="00D63EF6"/>
    <w:rsid w:val="00D668CD"/>
    <w:rsid w:val="00D709B2"/>
    <w:rsid w:val="00D70DFB"/>
    <w:rsid w:val="00D766DF"/>
    <w:rsid w:val="00D774B9"/>
    <w:rsid w:val="00D77DC8"/>
    <w:rsid w:val="00D84F6C"/>
    <w:rsid w:val="00D93E90"/>
    <w:rsid w:val="00D96AFA"/>
    <w:rsid w:val="00DA20B8"/>
    <w:rsid w:val="00DA3240"/>
    <w:rsid w:val="00DA4D47"/>
    <w:rsid w:val="00DB3378"/>
    <w:rsid w:val="00DC2C41"/>
    <w:rsid w:val="00DC475F"/>
    <w:rsid w:val="00DC49C1"/>
    <w:rsid w:val="00DD5F3D"/>
    <w:rsid w:val="00DE03DE"/>
    <w:rsid w:val="00DE4D4A"/>
    <w:rsid w:val="00DE62A6"/>
    <w:rsid w:val="00DE7ABB"/>
    <w:rsid w:val="00DF00C9"/>
    <w:rsid w:val="00DF01E3"/>
    <w:rsid w:val="00DF788A"/>
    <w:rsid w:val="00E05704"/>
    <w:rsid w:val="00E06486"/>
    <w:rsid w:val="00E212C4"/>
    <w:rsid w:val="00E23590"/>
    <w:rsid w:val="00E24DDA"/>
    <w:rsid w:val="00E25250"/>
    <w:rsid w:val="00E26C95"/>
    <w:rsid w:val="00E314A8"/>
    <w:rsid w:val="00E34E81"/>
    <w:rsid w:val="00E42747"/>
    <w:rsid w:val="00E540A0"/>
    <w:rsid w:val="00E54292"/>
    <w:rsid w:val="00E5609D"/>
    <w:rsid w:val="00E659FA"/>
    <w:rsid w:val="00E67A49"/>
    <w:rsid w:val="00E67BBE"/>
    <w:rsid w:val="00E70D14"/>
    <w:rsid w:val="00E73CFF"/>
    <w:rsid w:val="00E74DC7"/>
    <w:rsid w:val="00E8105C"/>
    <w:rsid w:val="00E81F1E"/>
    <w:rsid w:val="00E87699"/>
    <w:rsid w:val="00EA0363"/>
    <w:rsid w:val="00EA76C5"/>
    <w:rsid w:val="00EB22FC"/>
    <w:rsid w:val="00EB5F00"/>
    <w:rsid w:val="00EC1F58"/>
    <w:rsid w:val="00EC4616"/>
    <w:rsid w:val="00ED0226"/>
    <w:rsid w:val="00ED0316"/>
    <w:rsid w:val="00ED4650"/>
    <w:rsid w:val="00ED6523"/>
    <w:rsid w:val="00ED66A0"/>
    <w:rsid w:val="00ED6DD2"/>
    <w:rsid w:val="00EE3F60"/>
    <w:rsid w:val="00EE63F3"/>
    <w:rsid w:val="00EE76EF"/>
    <w:rsid w:val="00EF2E3A"/>
    <w:rsid w:val="00EF357D"/>
    <w:rsid w:val="00EF3CE1"/>
    <w:rsid w:val="00EF4BCE"/>
    <w:rsid w:val="00F01B31"/>
    <w:rsid w:val="00F03768"/>
    <w:rsid w:val="00F047E2"/>
    <w:rsid w:val="00F078DC"/>
    <w:rsid w:val="00F13E86"/>
    <w:rsid w:val="00F15924"/>
    <w:rsid w:val="00F265BE"/>
    <w:rsid w:val="00F27865"/>
    <w:rsid w:val="00F341C2"/>
    <w:rsid w:val="00F44FBD"/>
    <w:rsid w:val="00F47647"/>
    <w:rsid w:val="00F477CC"/>
    <w:rsid w:val="00F505C4"/>
    <w:rsid w:val="00F57B34"/>
    <w:rsid w:val="00F65222"/>
    <w:rsid w:val="00F677A9"/>
    <w:rsid w:val="00F72748"/>
    <w:rsid w:val="00F77EC1"/>
    <w:rsid w:val="00F832CC"/>
    <w:rsid w:val="00F83907"/>
    <w:rsid w:val="00F84CF5"/>
    <w:rsid w:val="00F87D1F"/>
    <w:rsid w:val="00F903F4"/>
    <w:rsid w:val="00F9766C"/>
    <w:rsid w:val="00F976F9"/>
    <w:rsid w:val="00FA190D"/>
    <w:rsid w:val="00FA420B"/>
    <w:rsid w:val="00FA4CB7"/>
    <w:rsid w:val="00FA61D2"/>
    <w:rsid w:val="00FB0418"/>
    <w:rsid w:val="00FB2CAF"/>
    <w:rsid w:val="00FB2F44"/>
    <w:rsid w:val="00FB611A"/>
    <w:rsid w:val="00FB6324"/>
    <w:rsid w:val="00FC4A92"/>
    <w:rsid w:val="00FC70BB"/>
    <w:rsid w:val="00FD1715"/>
    <w:rsid w:val="00FD5BAC"/>
    <w:rsid w:val="00FE1723"/>
    <w:rsid w:val="00FE1854"/>
    <w:rsid w:val="00FE2BFA"/>
    <w:rsid w:val="00FE53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2D5A"/>
    <w:pPr>
      <w:spacing w:line="260" w:lineRule="atLeast"/>
    </w:pPr>
    <w:rPr>
      <w:sz w:val="22"/>
    </w:rPr>
  </w:style>
  <w:style w:type="paragraph" w:styleId="Heading1">
    <w:name w:val="heading 1"/>
    <w:basedOn w:val="Normal"/>
    <w:next w:val="Normal"/>
    <w:link w:val="Heading1Char"/>
    <w:uiPriority w:val="9"/>
    <w:qFormat/>
    <w:rsid w:val="00EE63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3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E63F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E63F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E63F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E63F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E63F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63F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EE63F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12D5A"/>
  </w:style>
  <w:style w:type="paragraph" w:customStyle="1" w:styleId="OPCParaBase">
    <w:name w:val="OPCParaBase"/>
    <w:link w:val="OPCParaBaseChar"/>
    <w:qFormat/>
    <w:rsid w:val="00212D5A"/>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212D5A"/>
    <w:pPr>
      <w:spacing w:line="240" w:lineRule="auto"/>
    </w:pPr>
    <w:rPr>
      <w:b/>
      <w:sz w:val="40"/>
    </w:rPr>
  </w:style>
  <w:style w:type="paragraph" w:customStyle="1" w:styleId="ActHead1">
    <w:name w:val="ActHead 1"/>
    <w:aliases w:val="c"/>
    <w:basedOn w:val="OPCParaBase"/>
    <w:next w:val="Normal"/>
    <w:qFormat/>
    <w:rsid w:val="00212D5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12D5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12D5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12D5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212D5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12D5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12D5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12D5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12D5A"/>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212D5A"/>
  </w:style>
  <w:style w:type="paragraph" w:customStyle="1" w:styleId="Blocks">
    <w:name w:val="Blocks"/>
    <w:aliases w:val="bb"/>
    <w:basedOn w:val="OPCParaBase"/>
    <w:qFormat/>
    <w:rsid w:val="00212D5A"/>
    <w:pPr>
      <w:spacing w:line="240" w:lineRule="auto"/>
    </w:pPr>
    <w:rPr>
      <w:sz w:val="24"/>
    </w:rPr>
  </w:style>
  <w:style w:type="paragraph" w:customStyle="1" w:styleId="BoxText">
    <w:name w:val="BoxText"/>
    <w:aliases w:val="bt"/>
    <w:basedOn w:val="OPCParaBase"/>
    <w:qFormat/>
    <w:rsid w:val="00212D5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12D5A"/>
    <w:rPr>
      <w:b/>
    </w:rPr>
  </w:style>
  <w:style w:type="paragraph" w:customStyle="1" w:styleId="BoxHeadItalic">
    <w:name w:val="BoxHeadItalic"/>
    <w:aliases w:val="bhi"/>
    <w:basedOn w:val="BoxText"/>
    <w:next w:val="BoxStep"/>
    <w:qFormat/>
    <w:rsid w:val="00212D5A"/>
    <w:rPr>
      <w:i/>
    </w:rPr>
  </w:style>
  <w:style w:type="paragraph" w:customStyle="1" w:styleId="BoxList">
    <w:name w:val="BoxList"/>
    <w:aliases w:val="bl"/>
    <w:basedOn w:val="BoxText"/>
    <w:qFormat/>
    <w:rsid w:val="00212D5A"/>
    <w:pPr>
      <w:ind w:left="1559" w:hanging="425"/>
    </w:pPr>
  </w:style>
  <w:style w:type="paragraph" w:customStyle="1" w:styleId="BoxNote">
    <w:name w:val="BoxNote"/>
    <w:aliases w:val="bn"/>
    <w:basedOn w:val="BoxText"/>
    <w:qFormat/>
    <w:rsid w:val="00212D5A"/>
    <w:pPr>
      <w:tabs>
        <w:tab w:val="left" w:pos="1985"/>
      </w:tabs>
      <w:spacing w:before="122" w:line="198" w:lineRule="exact"/>
      <w:ind w:left="2948" w:hanging="1814"/>
    </w:pPr>
    <w:rPr>
      <w:sz w:val="18"/>
    </w:rPr>
  </w:style>
  <w:style w:type="paragraph" w:customStyle="1" w:styleId="BoxPara">
    <w:name w:val="BoxPara"/>
    <w:aliases w:val="bp"/>
    <w:basedOn w:val="BoxText"/>
    <w:qFormat/>
    <w:rsid w:val="00212D5A"/>
    <w:pPr>
      <w:tabs>
        <w:tab w:val="right" w:pos="2268"/>
      </w:tabs>
      <w:ind w:left="2552" w:hanging="1418"/>
    </w:pPr>
  </w:style>
  <w:style w:type="paragraph" w:customStyle="1" w:styleId="BoxStep">
    <w:name w:val="BoxStep"/>
    <w:aliases w:val="bs"/>
    <w:basedOn w:val="BoxText"/>
    <w:qFormat/>
    <w:rsid w:val="00212D5A"/>
    <w:pPr>
      <w:ind w:left="1985" w:hanging="851"/>
    </w:pPr>
  </w:style>
  <w:style w:type="character" w:customStyle="1" w:styleId="CharAmPartNo">
    <w:name w:val="CharAmPartNo"/>
    <w:basedOn w:val="OPCCharBase"/>
    <w:qFormat/>
    <w:rsid w:val="00212D5A"/>
  </w:style>
  <w:style w:type="character" w:customStyle="1" w:styleId="CharAmPartText">
    <w:name w:val="CharAmPartText"/>
    <w:basedOn w:val="OPCCharBase"/>
    <w:qFormat/>
    <w:rsid w:val="00212D5A"/>
  </w:style>
  <w:style w:type="character" w:customStyle="1" w:styleId="CharAmSchNo">
    <w:name w:val="CharAmSchNo"/>
    <w:basedOn w:val="OPCCharBase"/>
    <w:qFormat/>
    <w:rsid w:val="00212D5A"/>
  </w:style>
  <w:style w:type="character" w:customStyle="1" w:styleId="CharAmSchText">
    <w:name w:val="CharAmSchText"/>
    <w:basedOn w:val="OPCCharBase"/>
    <w:qFormat/>
    <w:rsid w:val="00212D5A"/>
  </w:style>
  <w:style w:type="character" w:customStyle="1" w:styleId="CharBoldItalic">
    <w:name w:val="CharBoldItalic"/>
    <w:basedOn w:val="OPCCharBase"/>
    <w:uiPriority w:val="1"/>
    <w:qFormat/>
    <w:rsid w:val="00212D5A"/>
    <w:rPr>
      <w:b/>
      <w:i/>
    </w:rPr>
  </w:style>
  <w:style w:type="character" w:customStyle="1" w:styleId="CharChapNo">
    <w:name w:val="CharChapNo"/>
    <w:basedOn w:val="OPCCharBase"/>
    <w:uiPriority w:val="1"/>
    <w:qFormat/>
    <w:rsid w:val="00212D5A"/>
  </w:style>
  <w:style w:type="character" w:customStyle="1" w:styleId="CharChapText">
    <w:name w:val="CharChapText"/>
    <w:basedOn w:val="OPCCharBase"/>
    <w:uiPriority w:val="1"/>
    <w:qFormat/>
    <w:rsid w:val="00212D5A"/>
  </w:style>
  <w:style w:type="character" w:customStyle="1" w:styleId="CharDivNo">
    <w:name w:val="CharDivNo"/>
    <w:basedOn w:val="OPCCharBase"/>
    <w:uiPriority w:val="1"/>
    <w:qFormat/>
    <w:rsid w:val="00212D5A"/>
  </w:style>
  <w:style w:type="character" w:customStyle="1" w:styleId="CharDivText">
    <w:name w:val="CharDivText"/>
    <w:basedOn w:val="OPCCharBase"/>
    <w:uiPriority w:val="1"/>
    <w:qFormat/>
    <w:rsid w:val="00212D5A"/>
  </w:style>
  <w:style w:type="character" w:customStyle="1" w:styleId="CharItalic">
    <w:name w:val="CharItalic"/>
    <w:basedOn w:val="OPCCharBase"/>
    <w:uiPriority w:val="1"/>
    <w:qFormat/>
    <w:rsid w:val="00212D5A"/>
    <w:rPr>
      <w:i/>
    </w:rPr>
  </w:style>
  <w:style w:type="character" w:customStyle="1" w:styleId="CharPartNo">
    <w:name w:val="CharPartNo"/>
    <w:basedOn w:val="OPCCharBase"/>
    <w:uiPriority w:val="1"/>
    <w:qFormat/>
    <w:rsid w:val="00212D5A"/>
  </w:style>
  <w:style w:type="character" w:customStyle="1" w:styleId="CharPartText">
    <w:name w:val="CharPartText"/>
    <w:basedOn w:val="OPCCharBase"/>
    <w:uiPriority w:val="1"/>
    <w:qFormat/>
    <w:rsid w:val="00212D5A"/>
  </w:style>
  <w:style w:type="character" w:customStyle="1" w:styleId="CharSectno">
    <w:name w:val="CharSectno"/>
    <w:basedOn w:val="OPCCharBase"/>
    <w:uiPriority w:val="1"/>
    <w:qFormat/>
    <w:rsid w:val="00212D5A"/>
  </w:style>
  <w:style w:type="character" w:customStyle="1" w:styleId="CharSubdNo">
    <w:name w:val="CharSubdNo"/>
    <w:basedOn w:val="OPCCharBase"/>
    <w:uiPriority w:val="1"/>
    <w:qFormat/>
    <w:rsid w:val="00212D5A"/>
  </w:style>
  <w:style w:type="character" w:customStyle="1" w:styleId="CharSubdText">
    <w:name w:val="CharSubdText"/>
    <w:basedOn w:val="OPCCharBase"/>
    <w:uiPriority w:val="1"/>
    <w:qFormat/>
    <w:rsid w:val="00212D5A"/>
  </w:style>
  <w:style w:type="paragraph" w:customStyle="1" w:styleId="CTA--">
    <w:name w:val="CTA --"/>
    <w:basedOn w:val="OPCParaBase"/>
    <w:next w:val="Normal"/>
    <w:rsid w:val="00212D5A"/>
    <w:pPr>
      <w:spacing w:before="60" w:line="240" w:lineRule="atLeast"/>
      <w:ind w:left="142" w:hanging="142"/>
    </w:pPr>
    <w:rPr>
      <w:sz w:val="20"/>
    </w:rPr>
  </w:style>
  <w:style w:type="paragraph" w:customStyle="1" w:styleId="CTA-">
    <w:name w:val="CTA -"/>
    <w:basedOn w:val="OPCParaBase"/>
    <w:rsid w:val="00212D5A"/>
    <w:pPr>
      <w:spacing w:before="60" w:line="240" w:lineRule="atLeast"/>
      <w:ind w:left="85" w:hanging="85"/>
    </w:pPr>
    <w:rPr>
      <w:sz w:val="20"/>
    </w:rPr>
  </w:style>
  <w:style w:type="paragraph" w:customStyle="1" w:styleId="CTA---">
    <w:name w:val="CTA ---"/>
    <w:basedOn w:val="OPCParaBase"/>
    <w:next w:val="Normal"/>
    <w:rsid w:val="00212D5A"/>
    <w:pPr>
      <w:spacing w:before="60" w:line="240" w:lineRule="atLeast"/>
      <w:ind w:left="198" w:hanging="198"/>
    </w:pPr>
    <w:rPr>
      <w:sz w:val="20"/>
    </w:rPr>
  </w:style>
  <w:style w:type="paragraph" w:customStyle="1" w:styleId="CTA----">
    <w:name w:val="CTA ----"/>
    <w:basedOn w:val="OPCParaBase"/>
    <w:next w:val="Normal"/>
    <w:rsid w:val="00212D5A"/>
    <w:pPr>
      <w:spacing w:before="60" w:line="240" w:lineRule="atLeast"/>
      <w:ind w:left="255" w:hanging="255"/>
    </w:pPr>
    <w:rPr>
      <w:sz w:val="20"/>
    </w:rPr>
  </w:style>
  <w:style w:type="paragraph" w:customStyle="1" w:styleId="CTA1a">
    <w:name w:val="CTA 1(a)"/>
    <w:basedOn w:val="OPCParaBase"/>
    <w:rsid w:val="00212D5A"/>
    <w:pPr>
      <w:tabs>
        <w:tab w:val="right" w:pos="414"/>
      </w:tabs>
      <w:spacing w:before="40" w:line="240" w:lineRule="atLeast"/>
      <w:ind w:left="675" w:hanging="675"/>
    </w:pPr>
    <w:rPr>
      <w:sz w:val="20"/>
    </w:rPr>
  </w:style>
  <w:style w:type="paragraph" w:customStyle="1" w:styleId="CTA1ai">
    <w:name w:val="CTA 1(a)(i)"/>
    <w:basedOn w:val="OPCParaBase"/>
    <w:rsid w:val="00212D5A"/>
    <w:pPr>
      <w:tabs>
        <w:tab w:val="right" w:pos="1004"/>
      </w:tabs>
      <w:spacing w:before="40" w:line="240" w:lineRule="atLeast"/>
      <w:ind w:left="1253" w:hanging="1253"/>
    </w:pPr>
    <w:rPr>
      <w:sz w:val="20"/>
    </w:rPr>
  </w:style>
  <w:style w:type="paragraph" w:customStyle="1" w:styleId="CTA2a">
    <w:name w:val="CTA 2(a)"/>
    <w:basedOn w:val="OPCParaBase"/>
    <w:rsid w:val="00212D5A"/>
    <w:pPr>
      <w:tabs>
        <w:tab w:val="right" w:pos="482"/>
      </w:tabs>
      <w:spacing w:before="40" w:line="240" w:lineRule="atLeast"/>
      <w:ind w:left="748" w:hanging="748"/>
    </w:pPr>
    <w:rPr>
      <w:sz w:val="20"/>
    </w:rPr>
  </w:style>
  <w:style w:type="paragraph" w:customStyle="1" w:styleId="CTA2ai">
    <w:name w:val="CTA 2(a)(i)"/>
    <w:basedOn w:val="OPCParaBase"/>
    <w:rsid w:val="00212D5A"/>
    <w:pPr>
      <w:tabs>
        <w:tab w:val="right" w:pos="1089"/>
      </w:tabs>
      <w:spacing w:before="40" w:line="240" w:lineRule="atLeast"/>
      <w:ind w:left="1327" w:hanging="1327"/>
    </w:pPr>
    <w:rPr>
      <w:sz w:val="20"/>
    </w:rPr>
  </w:style>
  <w:style w:type="paragraph" w:customStyle="1" w:styleId="CTA3a">
    <w:name w:val="CTA 3(a)"/>
    <w:basedOn w:val="OPCParaBase"/>
    <w:rsid w:val="00212D5A"/>
    <w:pPr>
      <w:tabs>
        <w:tab w:val="right" w:pos="556"/>
      </w:tabs>
      <w:spacing w:before="40" w:line="240" w:lineRule="atLeast"/>
      <w:ind w:left="805" w:hanging="805"/>
    </w:pPr>
    <w:rPr>
      <w:sz w:val="20"/>
    </w:rPr>
  </w:style>
  <w:style w:type="paragraph" w:customStyle="1" w:styleId="CTA3ai">
    <w:name w:val="CTA 3(a)(i)"/>
    <w:basedOn w:val="OPCParaBase"/>
    <w:rsid w:val="00212D5A"/>
    <w:pPr>
      <w:tabs>
        <w:tab w:val="right" w:pos="1140"/>
      </w:tabs>
      <w:spacing w:before="40" w:line="240" w:lineRule="atLeast"/>
      <w:ind w:left="1361" w:hanging="1361"/>
    </w:pPr>
    <w:rPr>
      <w:sz w:val="20"/>
    </w:rPr>
  </w:style>
  <w:style w:type="paragraph" w:customStyle="1" w:styleId="CTA4a">
    <w:name w:val="CTA 4(a)"/>
    <w:basedOn w:val="OPCParaBase"/>
    <w:rsid w:val="00212D5A"/>
    <w:pPr>
      <w:tabs>
        <w:tab w:val="right" w:pos="624"/>
      </w:tabs>
      <w:spacing w:before="40" w:line="240" w:lineRule="atLeast"/>
      <w:ind w:left="873" w:hanging="873"/>
    </w:pPr>
    <w:rPr>
      <w:sz w:val="20"/>
    </w:rPr>
  </w:style>
  <w:style w:type="paragraph" w:customStyle="1" w:styleId="CTA4ai">
    <w:name w:val="CTA 4(a)(i)"/>
    <w:basedOn w:val="OPCParaBase"/>
    <w:rsid w:val="00212D5A"/>
    <w:pPr>
      <w:tabs>
        <w:tab w:val="right" w:pos="1213"/>
      </w:tabs>
      <w:spacing w:before="40" w:line="240" w:lineRule="atLeast"/>
      <w:ind w:left="1452" w:hanging="1452"/>
    </w:pPr>
    <w:rPr>
      <w:sz w:val="20"/>
    </w:rPr>
  </w:style>
  <w:style w:type="paragraph" w:customStyle="1" w:styleId="CTACAPS">
    <w:name w:val="CTA CAPS"/>
    <w:basedOn w:val="OPCParaBase"/>
    <w:rsid w:val="00212D5A"/>
    <w:pPr>
      <w:spacing w:before="60" w:line="240" w:lineRule="atLeast"/>
    </w:pPr>
    <w:rPr>
      <w:sz w:val="20"/>
    </w:rPr>
  </w:style>
  <w:style w:type="paragraph" w:customStyle="1" w:styleId="CTAright">
    <w:name w:val="CTA right"/>
    <w:basedOn w:val="OPCParaBase"/>
    <w:rsid w:val="00212D5A"/>
    <w:pPr>
      <w:spacing w:before="60" w:line="240" w:lineRule="auto"/>
      <w:jc w:val="right"/>
    </w:pPr>
    <w:rPr>
      <w:sz w:val="20"/>
    </w:rPr>
  </w:style>
  <w:style w:type="paragraph" w:customStyle="1" w:styleId="subsection">
    <w:name w:val="subsection"/>
    <w:aliases w:val="ss"/>
    <w:basedOn w:val="OPCParaBase"/>
    <w:link w:val="subsectionChar"/>
    <w:rsid w:val="00212D5A"/>
    <w:pPr>
      <w:tabs>
        <w:tab w:val="right" w:pos="1021"/>
      </w:tabs>
      <w:spacing w:before="180" w:line="240" w:lineRule="auto"/>
      <w:ind w:left="1134" w:hanging="1134"/>
    </w:pPr>
  </w:style>
  <w:style w:type="paragraph" w:customStyle="1" w:styleId="Definition">
    <w:name w:val="Definition"/>
    <w:aliases w:val="dd"/>
    <w:basedOn w:val="OPCParaBase"/>
    <w:rsid w:val="00212D5A"/>
    <w:pPr>
      <w:spacing w:before="180" w:line="240" w:lineRule="auto"/>
      <w:ind w:left="1134"/>
    </w:pPr>
  </w:style>
  <w:style w:type="paragraph" w:customStyle="1" w:styleId="ETAsubitem">
    <w:name w:val="ETA(subitem)"/>
    <w:basedOn w:val="OPCParaBase"/>
    <w:rsid w:val="00212D5A"/>
    <w:pPr>
      <w:tabs>
        <w:tab w:val="right" w:pos="340"/>
      </w:tabs>
      <w:spacing w:before="60" w:line="240" w:lineRule="auto"/>
      <w:ind w:left="454" w:hanging="454"/>
    </w:pPr>
    <w:rPr>
      <w:sz w:val="20"/>
    </w:rPr>
  </w:style>
  <w:style w:type="paragraph" w:customStyle="1" w:styleId="ETApara">
    <w:name w:val="ETA(para)"/>
    <w:basedOn w:val="OPCParaBase"/>
    <w:rsid w:val="00212D5A"/>
    <w:pPr>
      <w:tabs>
        <w:tab w:val="right" w:pos="754"/>
      </w:tabs>
      <w:spacing w:before="60" w:line="240" w:lineRule="auto"/>
      <w:ind w:left="828" w:hanging="828"/>
    </w:pPr>
    <w:rPr>
      <w:sz w:val="20"/>
    </w:rPr>
  </w:style>
  <w:style w:type="paragraph" w:customStyle="1" w:styleId="ETAsubpara">
    <w:name w:val="ETA(subpara)"/>
    <w:basedOn w:val="OPCParaBase"/>
    <w:rsid w:val="00212D5A"/>
    <w:pPr>
      <w:tabs>
        <w:tab w:val="right" w:pos="1083"/>
      </w:tabs>
      <w:spacing w:before="60" w:line="240" w:lineRule="auto"/>
      <w:ind w:left="1191" w:hanging="1191"/>
    </w:pPr>
    <w:rPr>
      <w:sz w:val="20"/>
    </w:rPr>
  </w:style>
  <w:style w:type="paragraph" w:customStyle="1" w:styleId="ETAsub-subpara">
    <w:name w:val="ETA(sub-subpara)"/>
    <w:basedOn w:val="OPCParaBase"/>
    <w:rsid w:val="00212D5A"/>
    <w:pPr>
      <w:tabs>
        <w:tab w:val="right" w:pos="1412"/>
      </w:tabs>
      <w:spacing w:before="60" w:line="240" w:lineRule="auto"/>
      <w:ind w:left="1525" w:hanging="1525"/>
    </w:pPr>
    <w:rPr>
      <w:sz w:val="20"/>
    </w:rPr>
  </w:style>
  <w:style w:type="paragraph" w:customStyle="1" w:styleId="Formula">
    <w:name w:val="Formula"/>
    <w:basedOn w:val="OPCParaBase"/>
    <w:rsid w:val="00212D5A"/>
    <w:pPr>
      <w:spacing w:line="240" w:lineRule="auto"/>
      <w:ind w:left="1134"/>
    </w:pPr>
    <w:rPr>
      <w:sz w:val="20"/>
    </w:rPr>
  </w:style>
  <w:style w:type="paragraph" w:styleId="Header">
    <w:name w:val="header"/>
    <w:basedOn w:val="OPCParaBase"/>
    <w:link w:val="HeaderChar"/>
    <w:unhideWhenUsed/>
    <w:rsid w:val="00212D5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12D5A"/>
    <w:rPr>
      <w:rFonts w:eastAsia="Times New Roman" w:cs="Times New Roman"/>
      <w:sz w:val="16"/>
      <w:lang w:eastAsia="en-AU"/>
    </w:rPr>
  </w:style>
  <w:style w:type="paragraph" w:customStyle="1" w:styleId="House">
    <w:name w:val="House"/>
    <w:basedOn w:val="OPCParaBase"/>
    <w:rsid w:val="00212D5A"/>
    <w:pPr>
      <w:spacing w:line="240" w:lineRule="auto"/>
    </w:pPr>
    <w:rPr>
      <w:sz w:val="28"/>
    </w:rPr>
  </w:style>
  <w:style w:type="paragraph" w:customStyle="1" w:styleId="Item">
    <w:name w:val="Item"/>
    <w:aliases w:val="i"/>
    <w:basedOn w:val="OPCParaBase"/>
    <w:next w:val="ItemHead"/>
    <w:rsid w:val="00212D5A"/>
    <w:pPr>
      <w:keepLines/>
      <w:spacing w:before="80" w:line="240" w:lineRule="auto"/>
      <w:ind w:left="709"/>
    </w:pPr>
  </w:style>
  <w:style w:type="paragraph" w:customStyle="1" w:styleId="ItemHead">
    <w:name w:val="ItemHead"/>
    <w:aliases w:val="ih"/>
    <w:basedOn w:val="OPCParaBase"/>
    <w:next w:val="Item"/>
    <w:rsid w:val="00212D5A"/>
    <w:pPr>
      <w:keepLines/>
      <w:spacing w:before="220" w:line="240" w:lineRule="auto"/>
      <w:ind w:left="709" w:hanging="709"/>
    </w:pPr>
    <w:rPr>
      <w:rFonts w:ascii="Arial" w:hAnsi="Arial"/>
      <w:b/>
      <w:kern w:val="28"/>
      <w:sz w:val="24"/>
    </w:rPr>
  </w:style>
  <w:style w:type="paragraph" w:customStyle="1" w:styleId="LongT">
    <w:name w:val="LongT"/>
    <w:basedOn w:val="OPCParaBase"/>
    <w:rsid w:val="00212D5A"/>
    <w:pPr>
      <w:spacing w:line="240" w:lineRule="auto"/>
    </w:pPr>
    <w:rPr>
      <w:b/>
      <w:sz w:val="32"/>
    </w:rPr>
  </w:style>
  <w:style w:type="paragraph" w:customStyle="1" w:styleId="notedraft">
    <w:name w:val="note(draft)"/>
    <w:aliases w:val="nd"/>
    <w:basedOn w:val="OPCParaBase"/>
    <w:rsid w:val="00212D5A"/>
    <w:pPr>
      <w:spacing w:before="240" w:line="240" w:lineRule="auto"/>
      <w:ind w:left="284" w:hanging="284"/>
    </w:pPr>
    <w:rPr>
      <w:i/>
      <w:sz w:val="24"/>
    </w:rPr>
  </w:style>
  <w:style w:type="paragraph" w:customStyle="1" w:styleId="notemargin">
    <w:name w:val="note(margin)"/>
    <w:aliases w:val="nm"/>
    <w:basedOn w:val="OPCParaBase"/>
    <w:rsid w:val="00212D5A"/>
    <w:pPr>
      <w:tabs>
        <w:tab w:val="left" w:pos="709"/>
      </w:tabs>
      <w:spacing w:before="122" w:line="198" w:lineRule="exact"/>
      <w:ind w:left="709" w:hanging="709"/>
    </w:pPr>
    <w:rPr>
      <w:sz w:val="18"/>
    </w:rPr>
  </w:style>
  <w:style w:type="paragraph" w:customStyle="1" w:styleId="noteToPara">
    <w:name w:val="noteToPara"/>
    <w:aliases w:val="ntp"/>
    <w:basedOn w:val="OPCParaBase"/>
    <w:rsid w:val="00212D5A"/>
    <w:pPr>
      <w:spacing w:before="122" w:line="198" w:lineRule="exact"/>
      <w:ind w:left="2353" w:hanging="709"/>
    </w:pPr>
    <w:rPr>
      <w:sz w:val="18"/>
    </w:rPr>
  </w:style>
  <w:style w:type="paragraph" w:customStyle="1" w:styleId="noteParlAmend">
    <w:name w:val="note(ParlAmend)"/>
    <w:aliases w:val="npp"/>
    <w:basedOn w:val="OPCParaBase"/>
    <w:next w:val="ParlAmend"/>
    <w:rsid w:val="00212D5A"/>
    <w:pPr>
      <w:spacing w:line="240" w:lineRule="auto"/>
      <w:jc w:val="right"/>
    </w:pPr>
    <w:rPr>
      <w:rFonts w:ascii="Arial" w:hAnsi="Arial"/>
      <w:b/>
      <w:i/>
    </w:rPr>
  </w:style>
  <w:style w:type="paragraph" w:customStyle="1" w:styleId="notetext">
    <w:name w:val="note(text)"/>
    <w:aliases w:val="n"/>
    <w:basedOn w:val="OPCParaBase"/>
    <w:rsid w:val="00212D5A"/>
    <w:pPr>
      <w:spacing w:before="122" w:line="198" w:lineRule="exact"/>
      <w:ind w:left="1985" w:hanging="851"/>
    </w:pPr>
    <w:rPr>
      <w:sz w:val="18"/>
    </w:rPr>
  </w:style>
  <w:style w:type="paragraph" w:customStyle="1" w:styleId="Page1">
    <w:name w:val="Page1"/>
    <w:basedOn w:val="OPCParaBase"/>
    <w:rsid w:val="00212D5A"/>
    <w:pPr>
      <w:spacing w:before="400" w:line="240" w:lineRule="auto"/>
    </w:pPr>
    <w:rPr>
      <w:b/>
      <w:sz w:val="32"/>
    </w:rPr>
  </w:style>
  <w:style w:type="paragraph" w:customStyle="1" w:styleId="PageBreak">
    <w:name w:val="PageBreak"/>
    <w:aliases w:val="pb"/>
    <w:basedOn w:val="OPCParaBase"/>
    <w:rsid w:val="00212D5A"/>
    <w:pPr>
      <w:spacing w:line="240" w:lineRule="auto"/>
    </w:pPr>
    <w:rPr>
      <w:sz w:val="20"/>
    </w:rPr>
  </w:style>
  <w:style w:type="paragraph" w:customStyle="1" w:styleId="paragraphsub">
    <w:name w:val="paragraph(sub)"/>
    <w:aliases w:val="aa"/>
    <w:basedOn w:val="OPCParaBase"/>
    <w:rsid w:val="00212D5A"/>
    <w:pPr>
      <w:tabs>
        <w:tab w:val="right" w:pos="1985"/>
      </w:tabs>
      <w:spacing w:before="40" w:line="240" w:lineRule="auto"/>
      <w:ind w:left="2098" w:hanging="2098"/>
    </w:pPr>
  </w:style>
  <w:style w:type="paragraph" w:customStyle="1" w:styleId="paragraphsub-sub">
    <w:name w:val="paragraph(sub-sub)"/>
    <w:aliases w:val="aaa"/>
    <w:basedOn w:val="OPCParaBase"/>
    <w:rsid w:val="00212D5A"/>
    <w:pPr>
      <w:tabs>
        <w:tab w:val="right" w:pos="2722"/>
      </w:tabs>
      <w:spacing w:before="40" w:line="240" w:lineRule="auto"/>
      <w:ind w:left="2835" w:hanging="2835"/>
    </w:pPr>
  </w:style>
  <w:style w:type="paragraph" w:customStyle="1" w:styleId="paragraph">
    <w:name w:val="paragraph"/>
    <w:aliases w:val="a"/>
    <w:basedOn w:val="OPCParaBase"/>
    <w:link w:val="paragraphChar"/>
    <w:rsid w:val="00212D5A"/>
    <w:pPr>
      <w:tabs>
        <w:tab w:val="right" w:pos="1531"/>
      </w:tabs>
      <w:spacing w:before="40" w:line="240" w:lineRule="auto"/>
      <w:ind w:left="1644" w:hanging="1644"/>
    </w:pPr>
  </w:style>
  <w:style w:type="paragraph" w:customStyle="1" w:styleId="ParlAmend">
    <w:name w:val="ParlAmend"/>
    <w:aliases w:val="pp"/>
    <w:basedOn w:val="OPCParaBase"/>
    <w:rsid w:val="00212D5A"/>
    <w:pPr>
      <w:spacing w:before="240" w:line="240" w:lineRule="atLeast"/>
      <w:ind w:hanging="567"/>
    </w:pPr>
    <w:rPr>
      <w:sz w:val="24"/>
    </w:rPr>
  </w:style>
  <w:style w:type="paragraph" w:customStyle="1" w:styleId="Penalty">
    <w:name w:val="Penalty"/>
    <w:basedOn w:val="OPCParaBase"/>
    <w:rsid w:val="00212D5A"/>
    <w:pPr>
      <w:tabs>
        <w:tab w:val="left" w:pos="2977"/>
      </w:tabs>
      <w:spacing w:before="180" w:line="240" w:lineRule="auto"/>
      <w:ind w:left="1985" w:hanging="851"/>
    </w:pPr>
  </w:style>
  <w:style w:type="paragraph" w:customStyle="1" w:styleId="Portfolio">
    <w:name w:val="Portfolio"/>
    <w:basedOn w:val="OPCParaBase"/>
    <w:rsid w:val="00212D5A"/>
    <w:pPr>
      <w:spacing w:line="240" w:lineRule="auto"/>
    </w:pPr>
    <w:rPr>
      <w:i/>
      <w:sz w:val="20"/>
    </w:rPr>
  </w:style>
  <w:style w:type="paragraph" w:customStyle="1" w:styleId="Preamble">
    <w:name w:val="Preamble"/>
    <w:basedOn w:val="OPCParaBase"/>
    <w:next w:val="Normal"/>
    <w:rsid w:val="00212D5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12D5A"/>
    <w:pPr>
      <w:spacing w:line="240" w:lineRule="auto"/>
    </w:pPr>
    <w:rPr>
      <w:i/>
      <w:sz w:val="20"/>
    </w:rPr>
  </w:style>
  <w:style w:type="paragraph" w:customStyle="1" w:styleId="Session">
    <w:name w:val="Session"/>
    <w:basedOn w:val="OPCParaBase"/>
    <w:rsid w:val="00212D5A"/>
    <w:pPr>
      <w:spacing w:line="240" w:lineRule="auto"/>
    </w:pPr>
    <w:rPr>
      <w:sz w:val="28"/>
    </w:rPr>
  </w:style>
  <w:style w:type="paragraph" w:customStyle="1" w:styleId="Sponsor">
    <w:name w:val="Sponsor"/>
    <w:basedOn w:val="OPCParaBase"/>
    <w:rsid w:val="00212D5A"/>
    <w:pPr>
      <w:spacing w:line="240" w:lineRule="auto"/>
    </w:pPr>
    <w:rPr>
      <w:i/>
    </w:rPr>
  </w:style>
  <w:style w:type="paragraph" w:customStyle="1" w:styleId="Subitem">
    <w:name w:val="Subitem"/>
    <w:aliases w:val="iss"/>
    <w:basedOn w:val="OPCParaBase"/>
    <w:rsid w:val="00212D5A"/>
    <w:pPr>
      <w:spacing w:before="180" w:line="240" w:lineRule="auto"/>
      <w:ind w:left="709" w:hanging="709"/>
    </w:pPr>
  </w:style>
  <w:style w:type="paragraph" w:customStyle="1" w:styleId="SubitemHead">
    <w:name w:val="SubitemHead"/>
    <w:aliases w:val="issh"/>
    <w:basedOn w:val="OPCParaBase"/>
    <w:rsid w:val="00212D5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12D5A"/>
    <w:pPr>
      <w:spacing w:before="40" w:line="240" w:lineRule="auto"/>
      <w:ind w:left="1134"/>
    </w:pPr>
  </w:style>
  <w:style w:type="paragraph" w:customStyle="1" w:styleId="SubsectionHead">
    <w:name w:val="SubsectionHead"/>
    <w:aliases w:val="ssh"/>
    <w:basedOn w:val="OPCParaBase"/>
    <w:next w:val="subsection"/>
    <w:rsid w:val="00212D5A"/>
    <w:pPr>
      <w:keepNext/>
      <w:keepLines/>
      <w:spacing w:before="240" w:line="240" w:lineRule="auto"/>
      <w:ind w:left="1134"/>
    </w:pPr>
    <w:rPr>
      <w:i/>
    </w:rPr>
  </w:style>
  <w:style w:type="paragraph" w:customStyle="1" w:styleId="Tablea">
    <w:name w:val="Table(a)"/>
    <w:aliases w:val="ta"/>
    <w:basedOn w:val="OPCParaBase"/>
    <w:rsid w:val="00212D5A"/>
    <w:pPr>
      <w:spacing w:before="60" w:line="240" w:lineRule="auto"/>
      <w:ind w:left="284" w:hanging="284"/>
    </w:pPr>
    <w:rPr>
      <w:sz w:val="20"/>
    </w:rPr>
  </w:style>
  <w:style w:type="paragraph" w:customStyle="1" w:styleId="TableAA">
    <w:name w:val="Table(AA)"/>
    <w:aliases w:val="taaa"/>
    <w:basedOn w:val="OPCParaBase"/>
    <w:rsid w:val="00212D5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12D5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12D5A"/>
    <w:pPr>
      <w:spacing w:before="60" w:line="240" w:lineRule="atLeast"/>
    </w:pPr>
    <w:rPr>
      <w:sz w:val="20"/>
    </w:rPr>
  </w:style>
  <w:style w:type="paragraph" w:customStyle="1" w:styleId="TLPBoxTextnote">
    <w:name w:val="TLPBoxText(note"/>
    <w:aliases w:val="right)"/>
    <w:basedOn w:val="OPCParaBase"/>
    <w:rsid w:val="00212D5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12D5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12D5A"/>
    <w:pPr>
      <w:spacing w:before="122" w:line="198" w:lineRule="exact"/>
      <w:ind w:left="1985" w:hanging="851"/>
      <w:jc w:val="right"/>
    </w:pPr>
    <w:rPr>
      <w:sz w:val="18"/>
    </w:rPr>
  </w:style>
  <w:style w:type="paragraph" w:customStyle="1" w:styleId="TLPTableBullet">
    <w:name w:val="TLPTableBullet"/>
    <w:aliases w:val="ttb"/>
    <w:basedOn w:val="OPCParaBase"/>
    <w:rsid w:val="00212D5A"/>
    <w:pPr>
      <w:spacing w:line="240" w:lineRule="exact"/>
      <w:ind w:left="284" w:hanging="284"/>
    </w:pPr>
    <w:rPr>
      <w:sz w:val="20"/>
    </w:rPr>
  </w:style>
  <w:style w:type="paragraph" w:styleId="TOC1">
    <w:name w:val="toc 1"/>
    <w:basedOn w:val="OPCParaBase"/>
    <w:next w:val="Normal"/>
    <w:uiPriority w:val="39"/>
    <w:semiHidden/>
    <w:unhideWhenUsed/>
    <w:rsid w:val="00212D5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12D5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212D5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212D5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12D5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12D5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212D5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212D5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12D5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12D5A"/>
    <w:pPr>
      <w:keepLines/>
      <w:spacing w:before="240" w:after="120" w:line="240" w:lineRule="auto"/>
      <w:ind w:left="794"/>
    </w:pPr>
    <w:rPr>
      <w:b/>
      <w:kern w:val="28"/>
      <w:sz w:val="20"/>
    </w:rPr>
  </w:style>
  <w:style w:type="paragraph" w:customStyle="1" w:styleId="TofSectsHeading">
    <w:name w:val="TofSects(Heading)"/>
    <w:basedOn w:val="OPCParaBase"/>
    <w:rsid w:val="00212D5A"/>
    <w:pPr>
      <w:spacing w:before="240" w:after="120" w:line="240" w:lineRule="auto"/>
    </w:pPr>
    <w:rPr>
      <w:b/>
      <w:sz w:val="24"/>
    </w:rPr>
  </w:style>
  <w:style w:type="paragraph" w:customStyle="1" w:styleId="TofSectsSection">
    <w:name w:val="TofSects(Section)"/>
    <w:basedOn w:val="OPCParaBase"/>
    <w:rsid w:val="00212D5A"/>
    <w:pPr>
      <w:keepLines/>
      <w:spacing w:before="40" w:line="240" w:lineRule="auto"/>
      <w:ind w:left="1588" w:hanging="794"/>
    </w:pPr>
    <w:rPr>
      <w:kern w:val="28"/>
      <w:sz w:val="18"/>
    </w:rPr>
  </w:style>
  <w:style w:type="paragraph" w:customStyle="1" w:styleId="TofSectsSubdiv">
    <w:name w:val="TofSects(Subdiv)"/>
    <w:basedOn w:val="OPCParaBase"/>
    <w:rsid w:val="00212D5A"/>
    <w:pPr>
      <w:keepLines/>
      <w:spacing w:before="80" w:line="240" w:lineRule="auto"/>
      <w:ind w:left="1588" w:hanging="794"/>
    </w:pPr>
    <w:rPr>
      <w:kern w:val="28"/>
    </w:rPr>
  </w:style>
  <w:style w:type="paragraph" w:customStyle="1" w:styleId="WRStyle">
    <w:name w:val="WR Style"/>
    <w:aliases w:val="WR"/>
    <w:basedOn w:val="OPCParaBase"/>
    <w:rsid w:val="00212D5A"/>
    <w:pPr>
      <w:spacing w:before="240" w:line="240" w:lineRule="auto"/>
      <w:ind w:left="284" w:hanging="284"/>
    </w:pPr>
    <w:rPr>
      <w:b/>
      <w:i/>
      <w:kern w:val="28"/>
      <w:sz w:val="24"/>
    </w:rPr>
  </w:style>
  <w:style w:type="paragraph" w:customStyle="1" w:styleId="notepara">
    <w:name w:val="note(para)"/>
    <w:aliases w:val="na"/>
    <w:basedOn w:val="OPCParaBase"/>
    <w:rsid w:val="00212D5A"/>
    <w:pPr>
      <w:spacing w:before="40" w:line="198" w:lineRule="exact"/>
      <w:ind w:left="2354" w:hanging="369"/>
    </w:pPr>
    <w:rPr>
      <w:sz w:val="18"/>
    </w:rPr>
  </w:style>
  <w:style w:type="paragraph" w:styleId="Footer">
    <w:name w:val="footer"/>
    <w:link w:val="FooterChar"/>
    <w:rsid w:val="00212D5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12D5A"/>
    <w:rPr>
      <w:rFonts w:eastAsia="Times New Roman" w:cs="Times New Roman"/>
      <w:sz w:val="22"/>
      <w:szCs w:val="24"/>
      <w:lang w:eastAsia="en-AU"/>
    </w:rPr>
  </w:style>
  <w:style w:type="character" w:styleId="LineNumber">
    <w:name w:val="line number"/>
    <w:basedOn w:val="OPCCharBase"/>
    <w:uiPriority w:val="99"/>
    <w:semiHidden/>
    <w:unhideWhenUsed/>
    <w:rsid w:val="00212D5A"/>
    <w:rPr>
      <w:sz w:val="16"/>
    </w:rPr>
  </w:style>
  <w:style w:type="table" w:customStyle="1" w:styleId="CFlag">
    <w:name w:val="CFlag"/>
    <w:basedOn w:val="TableNormal"/>
    <w:uiPriority w:val="99"/>
    <w:rsid w:val="00212D5A"/>
    <w:rPr>
      <w:rFonts w:eastAsia="Times New Roman" w:cs="Times New Roman"/>
      <w:lang w:eastAsia="en-AU"/>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E63F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E63F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E63F3"/>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EE63F3"/>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EE63F3"/>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EE63F3"/>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EE63F3"/>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EE63F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E63F3"/>
    <w:rPr>
      <w:rFonts w:asciiTheme="majorHAnsi" w:eastAsiaTheme="majorEastAsia" w:hAnsiTheme="majorHAnsi" w:cstheme="majorBidi"/>
      <w:i/>
      <w:iCs/>
      <w:color w:val="404040" w:themeColor="text1" w:themeTint="BF"/>
    </w:rPr>
  </w:style>
  <w:style w:type="character" w:customStyle="1" w:styleId="subsectionChar">
    <w:name w:val="subsection Char"/>
    <w:aliases w:val="ss Char"/>
    <w:link w:val="subsection"/>
    <w:rsid w:val="00EE63F3"/>
    <w:rPr>
      <w:rFonts w:eastAsia="Times New Roman" w:cs="Times New Roman"/>
      <w:sz w:val="22"/>
      <w:lang w:eastAsia="en-AU"/>
    </w:rPr>
  </w:style>
  <w:style w:type="character" w:customStyle="1" w:styleId="paragraphChar">
    <w:name w:val="paragraph Char"/>
    <w:aliases w:val="a Char"/>
    <w:basedOn w:val="DefaultParagraphFont"/>
    <w:link w:val="paragraph"/>
    <w:rsid w:val="00EE63F3"/>
    <w:rPr>
      <w:rFonts w:eastAsia="Times New Roman" w:cs="Times New Roman"/>
      <w:sz w:val="22"/>
      <w:lang w:eastAsia="en-AU"/>
    </w:rPr>
  </w:style>
  <w:style w:type="paragraph" w:styleId="BalloonText">
    <w:name w:val="Balloon Text"/>
    <w:basedOn w:val="Normal"/>
    <w:link w:val="BalloonTextChar"/>
    <w:uiPriority w:val="99"/>
    <w:semiHidden/>
    <w:unhideWhenUsed/>
    <w:rsid w:val="00CE44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4C5"/>
    <w:rPr>
      <w:rFonts w:ascii="Tahoma" w:hAnsi="Tahoma" w:cs="Tahoma"/>
      <w:sz w:val="16"/>
      <w:szCs w:val="16"/>
    </w:rPr>
  </w:style>
  <w:style w:type="paragraph" w:styleId="ListParagraph">
    <w:name w:val="List Paragraph"/>
    <w:basedOn w:val="Normal"/>
    <w:uiPriority w:val="34"/>
    <w:qFormat/>
    <w:rsid w:val="001B2A0A"/>
    <w:pPr>
      <w:spacing w:line="240" w:lineRule="auto"/>
      <w:ind w:left="720"/>
    </w:pPr>
    <w:rPr>
      <w:rFonts w:ascii="Calibri" w:hAnsi="Calibri" w:cs="Calibri"/>
      <w:szCs w:val="22"/>
      <w:lang w:eastAsia="en-AU"/>
    </w:rPr>
  </w:style>
  <w:style w:type="paragraph" w:customStyle="1" w:styleId="ClerkBlock">
    <w:name w:val="ClerkBlock"/>
    <w:basedOn w:val="Normal"/>
    <w:rsid w:val="006F5903"/>
    <w:pPr>
      <w:spacing w:line="200" w:lineRule="atLeast"/>
      <w:ind w:right="3827"/>
    </w:pPr>
    <w:rPr>
      <w:rFonts w:eastAsia="Times New Roman" w:cs="Times New Roman"/>
      <w:sz w:val="20"/>
      <w:lang w:eastAsia="en-AU"/>
    </w:rPr>
  </w:style>
  <w:style w:type="paragraph" w:customStyle="1" w:styleId="ShortTP1">
    <w:name w:val="ShortTP1"/>
    <w:basedOn w:val="ShortT"/>
    <w:link w:val="ShortTP1Char"/>
    <w:rsid w:val="00013845"/>
    <w:pPr>
      <w:spacing w:before="800"/>
    </w:pPr>
  </w:style>
  <w:style w:type="character" w:customStyle="1" w:styleId="OPCParaBaseChar">
    <w:name w:val="OPCParaBase Char"/>
    <w:basedOn w:val="DefaultParagraphFont"/>
    <w:link w:val="OPCParaBase"/>
    <w:rsid w:val="00013845"/>
    <w:rPr>
      <w:rFonts w:eastAsia="Times New Roman" w:cs="Times New Roman"/>
      <w:sz w:val="22"/>
      <w:lang w:eastAsia="en-AU"/>
    </w:rPr>
  </w:style>
  <w:style w:type="character" w:customStyle="1" w:styleId="ShortTChar">
    <w:name w:val="ShortT Char"/>
    <w:basedOn w:val="OPCParaBaseChar"/>
    <w:link w:val="ShortT"/>
    <w:rsid w:val="00013845"/>
    <w:rPr>
      <w:rFonts w:eastAsia="Times New Roman" w:cs="Times New Roman"/>
      <w:b/>
      <w:sz w:val="40"/>
      <w:lang w:eastAsia="en-AU"/>
    </w:rPr>
  </w:style>
  <w:style w:type="character" w:customStyle="1" w:styleId="ShortTP1Char">
    <w:name w:val="ShortTP1 Char"/>
    <w:basedOn w:val="ShortTChar"/>
    <w:link w:val="ShortTP1"/>
    <w:rsid w:val="00013845"/>
    <w:rPr>
      <w:rFonts w:eastAsia="Times New Roman" w:cs="Times New Roman"/>
      <w:b/>
      <w:sz w:val="40"/>
      <w:lang w:eastAsia="en-AU"/>
    </w:rPr>
  </w:style>
  <w:style w:type="paragraph" w:customStyle="1" w:styleId="ActNoP1">
    <w:name w:val="ActNoP1"/>
    <w:basedOn w:val="Actno"/>
    <w:link w:val="ActNoP1Char"/>
    <w:rsid w:val="00013845"/>
    <w:pPr>
      <w:spacing w:before="800"/>
    </w:pPr>
    <w:rPr>
      <w:sz w:val="28"/>
    </w:rPr>
  </w:style>
  <w:style w:type="character" w:customStyle="1" w:styleId="ActnoChar">
    <w:name w:val="Actno Char"/>
    <w:basedOn w:val="ShortTChar"/>
    <w:link w:val="Actno"/>
    <w:rsid w:val="00013845"/>
    <w:rPr>
      <w:rFonts w:eastAsia="Times New Roman" w:cs="Times New Roman"/>
      <w:b/>
      <w:sz w:val="40"/>
      <w:lang w:eastAsia="en-AU"/>
    </w:rPr>
  </w:style>
  <w:style w:type="character" w:customStyle="1" w:styleId="ActNoP1Char">
    <w:name w:val="ActNoP1 Char"/>
    <w:basedOn w:val="ActnoChar"/>
    <w:link w:val="ActNoP1"/>
    <w:rsid w:val="00013845"/>
    <w:rPr>
      <w:rFonts w:eastAsia="Times New Roman" w:cs="Times New Roman"/>
      <w:b/>
      <w:sz w:val="28"/>
      <w:lang w:eastAsia="en-AU"/>
    </w:rPr>
  </w:style>
  <w:style w:type="paragraph" w:customStyle="1" w:styleId="p1LinesBef">
    <w:name w:val="p1LinesBef"/>
    <w:basedOn w:val="Normal"/>
    <w:rsid w:val="00013845"/>
    <w:pPr>
      <w:pBdr>
        <w:bottom w:val="single" w:sz="6" w:space="0" w:color="auto"/>
      </w:pBdr>
      <w:spacing w:before="400" w:line="240" w:lineRule="auto"/>
    </w:pPr>
    <w:rPr>
      <w:rFonts w:eastAsia="Times New Roman" w:cs="Times New Roman"/>
      <w:b/>
      <w:sz w:val="28"/>
      <w:lang w:val="en-US" w:eastAsia="en-AU"/>
    </w:rPr>
  </w:style>
  <w:style w:type="paragraph" w:customStyle="1" w:styleId="p1LinesAfter">
    <w:name w:val="p1LinesAfter"/>
    <w:basedOn w:val="Normal"/>
    <w:rsid w:val="00013845"/>
    <w:pPr>
      <w:pBdr>
        <w:top w:val="single" w:sz="12" w:space="0" w:color="auto"/>
      </w:pBdr>
      <w:spacing w:line="240" w:lineRule="auto"/>
    </w:pPr>
    <w:rPr>
      <w:rFonts w:eastAsia="Times New Roman" w:cs="Times New Roman"/>
      <w:b/>
      <w:sz w:val="28"/>
      <w:lang w:val="en-US" w:eastAsia="en-AU"/>
    </w:rPr>
  </w:style>
  <w:style w:type="paragraph" w:customStyle="1" w:styleId="ShortTCP">
    <w:name w:val="ShortTCP"/>
    <w:basedOn w:val="ShortT"/>
    <w:link w:val="ShortTCPChar"/>
    <w:rsid w:val="00013845"/>
  </w:style>
  <w:style w:type="character" w:customStyle="1" w:styleId="ShortTCPChar">
    <w:name w:val="ShortTCP Char"/>
    <w:basedOn w:val="ShortTChar"/>
    <w:link w:val="ShortTCP"/>
    <w:rsid w:val="00013845"/>
    <w:rPr>
      <w:rFonts w:eastAsia="Times New Roman" w:cs="Times New Roman"/>
      <w:b/>
      <w:sz w:val="40"/>
      <w:lang w:eastAsia="en-AU"/>
    </w:rPr>
  </w:style>
  <w:style w:type="paragraph" w:customStyle="1" w:styleId="ActNoCP">
    <w:name w:val="ActNoCP"/>
    <w:basedOn w:val="Actno"/>
    <w:link w:val="ActNoCPChar"/>
    <w:rsid w:val="00013845"/>
    <w:pPr>
      <w:spacing w:before="400"/>
    </w:pPr>
  </w:style>
  <w:style w:type="character" w:customStyle="1" w:styleId="ActNoCPChar">
    <w:name w:val="ActNoCP Char"/>
    <w:basedOn w:val="ActnoChar"/>
    <w:link w:val="ActNoCP"/>
    <w:rsid w:val="00013845"/>
    <w:rPr>
      <w:rFonts w:eastAsia="Times New Roman" w:cs="Times New Roman"/>
      <w:b/>
      <w:sz w:val="40"/>
      <w:lang w:eastAsia="en-AU"/>
    </w:rPr>
  </w:style>
  <w:style w:type="paragraph" w:customStyle="1" w:styleId="AssentBk">
    <w:name w:val="AssentBk"/>
    <w:basedOn w:val="Normal"/>
    <w:rsid w:val="00013845"/>
    <w:pPr>
      <w:spacing w:line="240" w:lineRule="auto"/>
    </w:pPr>
    <w:rPr>
      <w:rFonts w:eastAsia="Times New Roman" w:cs="Times New Roman"/>
      <w:sz w:val="20"/>
      <w:lang w:eastAsia="en-AU"/>
    </w:rPr>
  </w:style>
  <w:style w:type="paragraph" w:customStyle="1" w:styleId="AssentDt">
    <w:name w:val="AssentDt"/>
    <w:basedOn w:val="Normal"/>
    <w:rsid w:val="000916B9"/>
    <w:pPr>
      <w:spacing w:line="240" w:lineRule="auto"/>
    </w:pPr>
    <w:rPr>
      <w:rFonts w:eastAsia="Times New Roman" w:cs="Times New Roman"/>
      <w:sz w:val="20"/>
      <w:lang w:eastAsia="en-AU"/>
    </w:rPr>
  </w:style>
  <w:style w:type="paragraph" w:customStyle="1" w:styleId="2ndRd">
    <w:name w:val="2ndRd"/>
    <w:basedOn w:val="Normal"/>
    <w:rsid w:val="000916B9"/>
    <w:pPr>
      <w:spacing w:line="240" w:lineRule="auto"/>
    </w:pPr>
    <w:rPr>
      <w:rFonts w:eastAsia="Times New Roman" w:cs="Times New Roman"/>
      <w:sz w:val="20"/>
      <w:lang w:eastAsia="en-AU"/>
    </w:rPr>
  </w:style>
  <w:style w:type="paragraph" w:customStyle="1" w:styleId="ScalePlusRef">
    <w:name w:val="ScalePlusRef"/>
    <w:basedOn w:val="Normal"/>
    <w:rsid w:val="000916B9"/>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2D5A"/>
    <w:pPr>
      <w:spacing w:line="260" w:lineRule="atLeast"/>
    </w:pPr>
    <w:rPr>
      <w:sz w:val="22"/>
    </w:rPr>
  </w:style>
  <w:style w:type="paragraph" w:styleId="Heading1">
    <w:name w:val="heading 1"/>
    <w:basedOn w:val="Normal"/>
    <w:next w:val="Normal"/>
    <w:link w:val="Heading1Char"/>
    <w:uiPriority w:val="9"/>
    <w:qFormat/>
    <w:rsid w:val="00EE63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3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E63F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E63F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E63F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E63F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E63F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63F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EE63F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12D5A"/>
  </w:style>
  <w:style w:type="paragraph" w:customStyle="1" w:styleId="OPCParaBase">
    <w:name w:val="OPCParaBase"/>
    <w:link w:val="OPCParaBaseChar"/>
    <w:qFormat/>
    <w:rsid w:val="00212D5A"/>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212D5A"/>
    <w:pPr>
      <w:spacing w:line="240" w:lineRule="auto"/>
    </w:pPr>
    <w:rPr>
      <w:b/>
      <w:sz w:val="40"/>
    </w:rPr>
  </w:style>
  <w:style w:type="paragraph" w:customStyle="1" w:styleId="ActHead1">
    <w:name w:val="ActHead 1"/>
    <w:aliases w:val="c"/>
    <w:basedOn w:val="OPCParaBase"/>
    <w:next w:val="Normal"/>
    <w:qFormat/>
    <w:rsid w:val="00212D5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12D5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12D5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12D5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212D5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12D5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12D5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12D5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12D5A"/>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212D5A"/>
  </w:style>
  <w:style w:type="paragraph" w:customStyle="1" w:styleId="Blocks">
    <w:name w:val="Blocks"/>
    <w:aliases w:val="bb"/>
    <w:basedOn w:val="OPCParaBase"/>
    <w:qFormat/>
    <w:rsid w:val="00212D5A"/>
    <w:pPr>
      <w:spacing w:line="240" w:lineRule="auto"/>
    </w:pPr>
    <w:rPr>
      <w:sz w:val="24"/>
    </w:rPr>
  </w:style>
  <w:style w:type="paragraph" w:customStyle="1" w:styleId="BoxText">
    <w:name w:val="BoxText"/>
    <w:aliases w:val="bt"/>
    <w:basedOn w:val="OPCParaBase"/>
    <w:qFormat/>
    <w:rsid w:val="00212D5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12D5A"/>
    <w:rPr>
      <w:b/>
    </w:rPr>
  </w:style>
  <w:style w:type="paragraph" w:customStyle="1" w:styleId="BoxHeadItalic">
    <w:name w:val="BoxHeadItalic"/>
    <w:aliases w:val="bhi"/>
    <w:basedOn w:val="BoxText"/>
    <w:next w:val="BoxStep"/>
    <w:qFormat/>
    <w:rsid w:val="00212D5A"/>
    <w:rPr>
      <w:i/>
    </w:rPr>
  </w:style>
  <w:style w:type="paragraph" w:customStyle="1" w:styleId="BoxList">
    <w:name w:val="BoxList"/>
    <w:aliases w:val="bl"/>
    <w:basedOn w:val="BoxText"/>
    <w:qFormat/>
    <w:rsid w:val="00212D5A"/>
    <w:pPr>
      <w:ind w:left="1559" w:hanging="425"/>
    </w:pPr>
  </w:style>
  <w:style w:type="paragraph" w:customStyle="1" w:styleId="BoxNote">
    <w:name w:val="BoxNote"/>
    <w:aliases w:val="bn"/>
    <w:basedOn w:val="BoxText"/>
    <w:qFormat/>
    <w:rsid w:val="00212D5A"/>
    <w:pPr>
      <w:tabs>
        <w:tab w:val="left" w:pos="1985"/>
      </w:tabs>
      <w:spacing w:before="122" w:line="198" w:lineRule="exact"/>
      <w:ind w:left="2948" w:hanging="1814"/>
    </w:pPr>
    <w:rPr>
      <w:sz w:val="18"/>
    </w:rPr>
  </w:style>
  <w:style w:type="paragraph" w:customStyle="1" w:styleId="BoxPara">
    <w:name w:val="BoxPara"/>
    <w:aliases w:val="bp"/>
    <w:basedOn w:val="BoxText"/>
    <w:qFormat/>
    <w:rsid w:val="00212D5A"/>
    <w:pPr>
      <w:tabs>
        <w:tab w:val="right" w:pos="2268"/>
      </w:tabs>
      <w:ind w:left="2552" w:hanging="1418"/>
    </w:pPr>
  </w:style>
  <w:style w:type="paragraph" w:customStyle="1" w:styleId="BoxStep">
    <w:name w:val="BoxStep"/>
    <w:aliases w:val="bs"/>
    <w:basedOn w:val="BoxText"/>
    <w:qFormat/>
    <w:rsid w:val="00212D5A"/>
    <w:pPr>
      <w:ind w:left="1985" w:hanging="851"/>
    </w:pPr>
  </w:style>
  <w:style w:type="character" w:customStyle="1" w:styleId="CharAmPartNo">
    <w:name w:val="CharAmPartNo"/>
    <w:basedOn w:val="OPCCharBase"/>
    <w:qFormat/>
    <w:rsid w:val="00212D5A"/>
  </w:style>
  <w:style w:type="character" w:customStyle="1" w:styleId="CharAmPartText">
    <w:name w:val="CharAmPartText"/>
    <w:basedOn w:val="OPCCharBase"/>
    <w:qFormat/>
    <w:rsid w:val="00212D5A"/>
  </w:style>
  <w:style w:type="character" w:customStyle="1" w:styleId="CharAmSchNo">
    <w:name w:val="CharAmSchNo"/>
    <w:basedOn w:val="OPCCharBase"/>
    <w:qFormat/>
    <w:rsid w:val="00212D5A"/>
  </w:style>
  <w:style w:type="character" w:customStyle="1" w:styleId="CharAmSchText">
    <w:name w:val="CharAmSchText"/>
    <w:basedOn w:val="OPCCharBase"/>
    <w:qFormat/>
    <w:rsid w:val="00212D5A"/>
  </w:style>
  <w:style w:type="character" w:customStyle="1" w:styleId="CharBoldItalic">
    <w:name w:val="CharBoldItalic"/>
    <w:basedOn w:val="OPCCharBase"/>
    <w:uiPriority w:val="1"/>
    <w:qFormat/>
    <w:rsid w:val="00212D5A"/>
    <w:rPr>
      <w:b/>
      <w:i/>
    </w:rPr>
  </w:style>
  <w:style w:type="character" w:customStyle="1" w:styleId="CharChapNo">
    <w:name w:val="CharChapNo"/>
    <w:basedOn w:val="OPCCharBase"/>
    <w:uiPriority w:val="1"/>
    <w:qFormat/>
    <w:rsid w:val="00212D5A"/>
  </w:style>
  <w:style w:type="character" w:customStyle="1" w:styleId="CharChapText">
    <w:name w:val="CharChapText"/>
    <w:basedOn w:val="OPCCharBase"/>
    <w:uiPriority w:val="1"/>
    <w:qFormat/>
    <w:rsid w:val="00212D5A"/>
  </w:style>
  <w:style w:type="character" w:customStyle="1" w:styleId="CharDivNo">
    <w:name w:val="CharDivNo"/>
    <w:basedOn w:val="OPCCharBase"/>
    <w:uiPriority w:val="1"/>
    <w:qFormat/>
    <w:rsid w:val="00212D5A"/>
  </w:style>
  <w:style w:type="character" w:customStyle="1" w:styleId="CharDivText">
    <w:name w:val="CharDivText"/>
    <w:basedOn w:val="OPCCharBase"/>
    <w:uiPriority w:val="1"/>
    <w:qFormat/>
    <w:rsid w:val="00212D5A"/>
  </w:style>
  <w:style w:type="character" w:customStyle="1" w:styleId="CharItalic">
    <w:name w:val="CharItalic"/>
    <w:basedOn w:val="OPCCharBase"/>
    <w:uiPriority w:val="1"/>
    <w:qFormat/>
    <w:rsid w:val="00212D5A"/>
    <w:rPr>
      <w:i/>
    </w:rPr>
  </w:style>
  <w:style w:type="character" w:customStyle="1" w:styleId="CharPartNo">
    <w:name w:val="CharPartNo"/>
    <w:basedOn w:val="OPCCharBase"/>
    <w:uiPriority w:val="1"/>
    <w:qFormat/>
    <w:rsid w:val="00212D5A"/>
  </w:style>
  <w:style w:type="character" w:customStyle="1" w:styleId="CharPartText">
    <w:name w:val="CharPartText"/>
    <w:basedOn w:val="OPCCharBase"/>
    <w:uiPriority w:val="1"/>
    <w:qFormat/>
    <w:rsid w:val="00212D5A"/>
  </w:style>
  <w:style w:type="character" w:customStyle="1" w:styleId="CharSectno">
    <w:name w:val="CharSectno"/>
    <w:basedOn w:val="OPCCharBase"/>
    <w:uiPriority w:val="1"/>
    <w:qFormat/>
    <w:rsid w:val="00212D5A"/>
  </w:style>
  <w:style w:type="character" w:customStyle="1" w:styleId="CharSubdNo">
    <w:name w:val="CharSubdNo"/>
    <w:basedOn w:val="OPCCharBase"/>
    <w:uiPriority w:val="1"/>
    <w:qFormat/>
    <w:rsid w:val="00212D5A"/>
  </w:style>
  <w:style w:type="character" w:customStyle="1" w:styleId="CharSubdText">
    <w:name w:val="CharSubdText"/>
    <w:basedOn w:val="OPCCharBase"/>
    <w:uiPriority w:val="1"/>
    <w:qFormat/>
    <w:rsid w:val="00212D5A"/>
  </w:style>
  <w:style w:type="paragraph" w:customStyle="1" w:styleId="CTA--">
    <w:name w:val="CTA --"/>
    <w:basedOn w:val="OPCParaBase"/>
    <w:next w:val="Normal"/>
    <w:rsid w:val="00212D5A"/>
    <w:pPr>
      <w:spacing w:before="60" w:line="240" w:lineRule="atLeast"/>
      <w:ind w:left="142" w:hanging="142"/>
    </w:pPr>
    <w:rPr>
      <w:sz w:val="20"/>
    </w:rPr>
  </w:style>
  <w:style w:type="paragraph" w:customStyle="1" w:styleId="CTA-">
    <w:name w:val="CTA -"/>
    <w:basedOn w:val="OPCParaBase"/>
    <w:rsid w:val="00212D5A"/>
    <w:pPr>
      <w:spacing w:before="60" w:line="240" w:lineRule="atLeast"/>
      <w:ind w:left="85" w:hanging="85"/>
    </w:pPr>
    <w:rPr>
      <w:sz w:val="20"/>
    </w:rPr>
  </w:style>
  <w:style w:type="paragraph" w:customStyle="1" w:styleId="CTA---">
    <w:name w:val="CTA ---"/>
    <w:basedOn w:val="OPCParaBase"/>
    <w:next w:val="Normal"/>
    <w:rsid w:val="00212D5A"/>
    <w:pPr>
      <w:spacing w:before="60" w:line="240" w:lineRule="atLeast"/>
      <w:ind w:left="198" w:hanging="198"/>
    </w:pPr>
    <w:rPr>
      <w:sz w:val="20"/>
    </w:rPr>
  </w:style>
  <w:style w:type="paragraph" w:customStyle="1" w:styleId="CTA----">
    <w:name w:val="CTA ----"/>
    <w:basedOn w:val="OPCParaBase"/>
    <w:next w:val="Normal"/>
    <w:rsid w:val="00212D5A"/>
    <w:pPr>
      <w:spacing w:before="60" w:line="240" w:lineRule="atLeast"/>
      <w:ind w:left="255" w:hanging="255"/>
    </w:pPr>
    <w:rPr>
      <w:sz w:val="20"/>
    </w:rPr>
  </w:style>
  <w:style w:type="paragraph" w:customStyle="1" w:styleId="CTA1a">
    <w:name w:val="CTA 1(a)"/>
    <w:basedOn w:val="OPCParaBase"/>
    <w:rsid w:val="00212D5A"/>
    <w:pPr>
      <w:tabs>
        <w:tab w:val="right" w:pos="414"/>
      </w:tabs>
      <w:spacing w:before="40" w:line="240" w:lineRule="atLeast"/>
      <w:ind w:left="675" w:hanging="675"/>
    </w:pPr>
    <w:rPr>
      <w:sz w:val="20"/>
    </w:rPr>
  </w:style>
  <w:style w:type="paragraph" w:customStyle="1" w:styleId="CTA1ai">
    <w:name w:val="CTA 1(a)(i)"/>
    <w:basedOn w:val="OPCParaBase"/>
    <w:rsid w:val="00212D5A"/>
    <w:pPr>
      <w:tabs>
        <w:tab w:val="right" w:pos="1004"/>
      </w:tabs>
      <w:spacing w:before="40" w:line="240" w:lineRule="atLeast"/>
      <w:ind w:left="1253" w:hanging="1253"/>
    </w:pPr>
    <w:rPr>
      <w:sz w:val="20"/>
    </w:rPr>
  </w:style>
  <w:style w:type="paragraph" w:customStyle="1" w:styleId="CTA2a">
    <w:name w:val="CTA 2(a)"/>
    <w:basedOn w:val="OPCParaBase"/>
    <w:rsid w:val="00212D5A"/>
    <w:pPr>
      <w:tabs>
        <w:tab w:val="right" w:pos="482"/>
      </w:tabs>
      <w:spacing w:before="40" w:line="240" w:lineRule="atLeast"/>
      <w:ind w:left="748" w:hanging="748"/>
    </w:pPr>
    <w:rPr>
      <w:sz w:val="20"/>
    </w:rPr>
  </w:style>
  <w:style w:type="paragraph" w:customStyle="1" w:styleId="CTA2ai">
    <w:name w:val="CTA 2(a)(i)"/>
    <w:basedOn w:val="OPCParaBase"/>
    <w:rsid w:val="00212D5A"/>
    <w:pPr>
      <w:tabs>
        <w:tab w:val="right" w:pos="1089"/>
      </w:tabs>
      <w:spacing w:before="40" w:line="240" w:lineRule="atLeast"/>
      <w:ind w:left="1327" w:hanging="1327"/>
    </w:pPr>
    <w:rPr>
      <w:sz w:val="20"/>
    </w:rPr>
  </w:style>
  <w:style w:type="paragraph" w:customStyle="1" w:styleId="CTA3a">
    <w:name w:val="CTA 3(a)"/>
    <w:basedOn w:val="OPCParaBase"/>
    <w:rsid w:val="00212D5A"/>
    <w:pPr>
      <w:tabs>
        <w:tab w:val="right" w:pos="556"/>
      </w:tabs>
      <w:spacing w:before="40" w:line="240" w:lineRule="atLeast"/>
      <w:ind w:left="805" w:hanging="805"/>
    </w:pPr>
    <w:rPr>
      <w:sz w:val="20"/>
    </w:rPr>
  </w:style>
  <w:style w:type="paragraph" w:customStyle="1" w:styleId="CTA3ai">
    <w:name w:val="CTA 3(a)(i)"/>
    <w:basedOn w:val="OPCParaBase"/>
    <w:rsid w:val="00212D5A"/>
    <w:pPr>
      <w:tabs>
        <w:tab w:val="right" w:pos="1140"/>
      </w:tabs>
      <w:spacing w:before="40" w:line="240" w:lineRule="atLeast"/>
      <w:ind w:left="1361" w:hanging="1361"/>
    </w:pPr>
    <w:rPr>
      <w:sz w:val="20"/>
    </w:rPr>
  </w:style>
  <w:style w:type="paragraph" w:customStyle="1" w:styleId="CTA4a">
    <w:name w:val="CTA 4(a)"/>
    <w:basedOn w:val="OPCParaBase"/>
    <w:rsid w:val="00212D5A"/>
    <w:pPr>
      <w:tabs>
        <w:tab w:val="right" w:pos="624"/>
      </w:tabs>
      <w:spacing w:before="40" w:line="240" w:lineRule="atLeast"/>
      <w:ind w:left="873" w:hanging="873"/>
    </w:pPr>
    <w:rPr>
      <w:sz w:val="20"/>
    </w:rPr>
  </w:style>
  <w:style w:type="paragraph" w:customStyle="1" w:styleId="CTA4ai">
    <w:name w:val="CTA 4(a)(i)"/>
    <w:basedOn w:val="OPCParaBase"/>
    <w:rsid w:val="00212D5A"/>
    <w:pPr>
      <w:tabs>
        <w:tab w:val="right" w:pos="1213"/>
      </w:tabs>
      <w:spacing w:before="40" w:line="240" w:lineRule="atLeast"/>
      <w:ind w:left="1452" w:hanging="1452"/>
    </w:pPr>
    <w:rPr>
      <w:sz w:val="20"/>
    </w:rPr>
  </w:style>
  <w:style w:type="paragraph" w:customStyle="1" w:styleId="CTACAPS">
    <w:name w:val="CTA CAPS"/>
    <w:basedOn w:val="OPCParaBase"/>
    <w:rsid w:val="00212D5A"/>
    <w:pPr>
      <w:spacing w:before="60" w:line="240" w:lineRule="atLeast"/>
    </w:pPr>
    <w:rPr>
      <w:sz w:val="20"/>
    </w:rPr>
  </w:style>
  <w:style w:type="paragraph" w:customStyle="1" w:styleId="CTAright">
    <w:name w:val="CTA right"/>
    <w:basedOn w:val="OPCParaBase"/>
    <w:rsid w:val="00212D5A"/>
    <w:pPr>
      <w:spacing w:before="60" w:line="240" w:lineRule="auto"/>
      <w:jc w:val="right"/>
    </w:pPr>
    <w:rPr>
      <w:sz w:val="20"/>
    </w:rPr>
  </w:style>
  <w:style w:type="paragraph" w:customStyle="1" w:styleId="subsection">
    <w:name w:val="subsection"/>
    <w:aliases w:val="ss"/>
    <w:basedOn w:val="OPCParaBase"/>
    <w:link w:val="subsectionChar"/>
    <w:rsid w:val="00212D5A"/>
    <w:pPr>
      <w:tabs>
        <w:tab w:val="right" w:pos="1021"/>
      </w:tabs>
      <w:spacing w:before="180" w:line="240" w:lineRule="auto"/>
      <w:ind w:left="1134" w:hanging="1134"/>
    </w:pPr>
  </w:style>
  <w:style w:type="paragraph" w:customStyle="1" w:styleId="Definition">
    <w:name w:val="Definition"/>
    <w:aliases w:val="dd"/>
    <w:basedOn w:val="OPCParaBase"/>
    <w:rsid w:val="00212D5A"/>
    <w:pPr>
      <w:spacing w:before="180" w:line="240" w:lineRule="auto"/>
      <w:ind w:left="1134"/>
    </w:pPr>
  </w:style>
  <w:style w:type="paragraph" w:customStyle="1" w:styleId="ETAsubitem">
    <w:name w:val="ETA(subitem)"/>
    <w:basedOn w:val="OPCParaBase"/>
    <w:rsid w:val="00212D5A"/>
    <w:pPr>
      <w:tabs>
        <w:tab w:val="right" w:pos="340"/>
      </w:tabs>
      <w:spacing w:before="60" w:line="240" w:lineRule="auto"/>
      <w:ind w:left="454" w:hanging="454"/>
    </w:pPr>
    <w:rPr>
      <w:sz w:val="20"/>
    </w:rPr>
  </w:style>
  <w:style w:type="paragraph" w:customStyle="1" w:styleId="ETApara">
    <w:name w:val="ETA(para)"/>
    <w:basedOn w:val="OPCParaBase"/>
    <w:rsid w:val="00212D5A"/>
    <w:pPr>
      <w:tabs>
        <w:tab w:val="right" w:pos="754"/>
      </w:tabs>
      <w:spacing w:before="60" w:line="240" w:lineRule="auto"/>
      <w:ind w:left="828" w:hanging="828"/>
    </w:pPr>
    <w:rPr>
      <w:sz w:val="20"/>
    </w:rPr>
  </w:style>
  <w:style w:type="paragraph" w:customStyle="1" w:styleId="ETAsubpara">
    <w:name w:val="ETA(subpara)"/>
    <w:basedOn w:val="OPCParaBase"/>
    <w:rsid w:val="00212D5A"/>
    <w:pPr>
      <w:tabs>
        <w:tab w:val="right" w:pos="1083"/>
      </w:tabs>
      <w:spacing w:before="60" w:line="240" w:lineRule="auto"/>
      <w:ind w:left="1191" w:hanging="1191"/>
    </w:pPr>
    <w:rPr>
      <w:sz w:val="20"/>
    </w:rPr>
  </w:style>
  <w:style w:type="paragraph" w:customStyle="1" w:styleId="ETAsub-subpara">
    <w:name w:val="ETA(sub-subpara)"/>
    <w:basedOn w:val="OPCParaBase"/>
    <w:rsid w:val="00212D5A"/>
    <w:pPr>
      <w:tabs>
        <w:tab w:val="right" w:pos="1412"/>
      </w:tabs>
      <w:spacing w:before="60" w:line="240" w:lineRule="auto"/>
      <w:ind w:left="1525" w:hanging="1525"/>
    </w:pPr>
    <w:rPr>
      <w:sz w:val="20"/>
    </w:rPr>
  </w:style>
  <w:style w:type="paragraph" w:customStyle="1" w:styleId="Formula">
    <w:name w:val="Formula"/>
    <w:basedOn w:val="OPCParaBase"/>
    <w:rsid w:val="00212D5A"/>
    <w:pPr>
      <w:spacing w:line="240" w:lineRule="auto"/>
      <w:ind w:left="1134"/>
    </w:pPr>
    <w:rPr>
      <w:sz w:val="20"/>
    </w:rPr>
  </w:style>
  <w:style w:type="paragraph" w:styleId="Header">
    <w:name w:val="header"/>
    <w:basedOn w:val="OPCParaBase"/>
    <w:link w:val="HeaderChar"/>
    <w:unhideWhenUsed/>
    <w:rsid w:val="00212D5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12D5A"/>
    <w:rPr>
      <w:rFonts w:eastAsia="Times New Roman" w:cs="Times New Roman"/>
      <w:sz w:val="16"/>
      <w:lang w:eastAsia="en-AU"/>
    </w:rPr>
  </w:style>
  <w:style w:type="paragraph" w:customStyle="1" w:styleId="House">
    <w:name w:val="House"/>
    <w:basedOn w:val="OPCParaBase"/>
    <w:rsid w:val="00212D5A"/>
    <w:pPr>
      <w:spacing w:line="240" w:lineRule="auto"/>
    </w:pPr>
    <w:rPr>
      <w:sz w:val="28"/>
    </w:rPr>
  </w:style>
  <w:style w:type="paragraph" w:customStyle="1" w:styleId="Item">
    <w:name w:val="Item"/>
    <w:aliases w:val="i"/>
    <w:basedOn w:val="OPCParaBase"/>
    <w:next w:val="ItemHead"/>
    <w:rsid w:val="00212D5A"/>
    <w:pPr>
      <w:keepLines/>
      <w:spacing w:before="80" w:line="240" w:lineRule="auto"/>
      <w:ind w:left="709"/>
    </w:pPr>
  </w:style>
  <w:style w:type="paragraph" w:customStyle="1" w:styleId="ItemHead">
    <w:name w:val="ItemHead"/>
    <w:aliases w:val="ih"/>
    <w:basedOn w:val="OPCParaBase"/>
    <w:next w:val="Item"/>
    <w:rsid w:val="00212D5A"/>
    <w:pPr>
      <w:keepLines/>
      <w:spacing w:before="220" w:line="240" w:lineRule="auto"/>
      <w:ind w:left="709" w:hanging="709"/>
    </w:pPr>
    <w:rPr>
      <w:rFonts w:ascii="Arial" w:hAnsi="Arial"/>
      <w:b/>
      <w:kern w:val="28"/>
      <w:sz w:val="24"/>
    </w:rPr>
  </w:style>
  <w:style w:type="paragraph" w:customStyle="1" w:styleId="LongT">
    <w:name w:val="LongT"/>
    <w:basedOn w:val="OPCParaBase"/>
    <w:rsid w:val="00212D5A"/>
    <w:pPr>
      <w:spacing w:line="240" w:lineRule="auto"/>
    </w:pPr>
    <w:rPr>
      <w:b/>
      <w:sz w:val="32"/>
    </w:rPr>
  </w:style>
  <w:style w:type="paragraph" w:customStyle="1" w:styleId="notedraft">
    <w:name w:val="note(draft)"/>
    <w:aliases w:val="nd"/>
    <w:basedOn w:val="OPCParaBase"/>
    <w:rsid w:val="00212D5A"/>
    <w:pPr>
      <w:spacing w:before="240" w:line="240" w:lineRule="auto"/>
      <w:ind w:left="284" w:hanging="284"/>
    </w:pPr>
    <w:rPr>
      <w:i/>
      <w:sz w:val="24"/>
    </w:rPr>
  </w:style>
  <w:style w:type="paragraph" w:customStyle="1" w:styleId="notemargin">
    <w:name w:val="note(margin)"/>
    <w:aliases w:val="nm"/>
    <w:basedOn w:val="OPCParaBase"/>
    <w:rsid w:val="00212D5A"/>
    <w:pPr>
      <w:tabs>
        <w:tab w:val="left" w:pos="709"/>
      </w:tabs>
      <w:spacing w:before="122" w:line="198" w:lineRule="exact"/>
      <w:ind w:left="709" w:hanging="709"/>
    </w:pPr>
    <w:rPr>
      <w:sz w:val="18"/>
    </w:rPr>
  </w:style>
  <w:style w:type="paragraph" w:customStyle="1" w:styleId="noteToPara">
    <w:name w:val="noteToPara"/>
    <w:aliases w:val="ntp"/>
    <w:basedOn w:val="OPCParaBase"/>
    <w:rsid w:val="00212D5A"/>
    <w:pPr>
      <w:spacing w:before="122" w:line="198" w:lineRule="exact"/>
      <w:ind w:left="2353" w:hanging="709"/>
    </w:pPr>
    <w:rPr>
      <w:sz w:val="18"/>
    </w:rPr>
  </w:style>
  <w:style w:type="paragraph" w:customStyle="1" w:styleId="noteParlAmend">
    <w:name w:val="note(ParlAmend)"/>
    <w:aliases w:val="npp"/>
    <w:basedOn w:val="OPCParaBase"/>
    <w:next w:val="ParlAmend"/>
    <w:rsid w:val="00212D5A"/>
    <w:pPr>
      <w:spacing w:line="240" w:lineRule="auto"/>
      <w:jc w:val="right"/>
    </w:pPr>
    <w:rPr>
      <w:rFonts w:ascii="Arial" w:hAnsi="Arial"/>
      <w:b/>
      <w:i/>
    </w:rPr>
  </w:style>
  <w:style w:type="paragraph" w:customStyle="1" w:styleId="notetext">
    <w:name w:val="note(text)"/>
    <w:aliases w:val="n"/>
    <w:basedOn w:val="OPCParaBase"/>
    <w:rsid w:val="00212D5A"/>
    <w:pPr>
      <w:spacing w:before="122" w:line="198" w:lineRule="exact"/>
      <w:ind w:left="1985" w:hanging="851"/>
    </w:pPr>
    <w:rPr>
      <w:sz w:val="18"/>
    </w:rPr>
  </w:style>
  <w:style w:type="paragraph" w:customStyle="1" w:styleId="Page1">
    <w:name w:val="Page1"/>
    <w:basedOn w:val="OPCParaBase"/>
    <w:rsid w:val="00212D5A"/>
    <w:pPr>
      <w:spacing w:before="400" w:line="240" w:lineRule="auto"/>
    </w:pPr>
    <w:rPr>
      <w:b/>
      <w:sz w:val="32"/>
    </w:rPr>
  </w:style>
  <w:style w:type="paragraph" w:customStyle="1" w:styleId="PageBreak">
    <w:name w:val="PageBreak"/>
    <w:aliases w:val="pb"/>
    <w:basedOn w:val="OPCParaBase"/>
    <w:rsid w:val="00212D5A"/>
    <w:pPr>
      <w:spacing w:line="240" w:lineRule="auto"/>
    </w:pPr>
    <w:rPr>
      <w:sz w:val="20"/>
    </w:rPr>
  </w:style>
  <w:style w:type="paragraph" w:customStyle="1" w:styleId="paragraphsub">
    <w:name w:val="paragraph(sub)"/>
    <w:aliases w:val="aa"/>
    <w:basedOn w:val="OPCParaBase"/>
    <w:rsid w:val="00212D5A"/>
    <w:pPr>
      <w:tabs>
        <w:tab w:val="right" w:pos="1985"/>
      </w:tabs>
      <w:spacing w:before="40" w:line="240" w:lineRule="auto"/>
      <w:ind w:left="2098" w:hanging="2098"/>
    </w:pPr>
  </w:style>
  <w:style w:type="paragraph" w:customStyle="1" w:styleId="paragraphsub-sub">
    <w:name w:val="paragraph(sub-sub)"/>
    <w:aliases w:val="aaa"/>
    <w:basedOn w:val="OPCParaBase"/>
    <w:rsid w:val="00212D5A"/>
    <w:pPr>
      <w:tabs>
        <w:tab w:val="right" w:pos="2722"/>
      </w:tabs>
      <w:spacing w:before="40" w:line="240" w:lineRule="auto"/>
      <w:ind w:left="2835" w:hanging="2835"/>
    </w:pPr>
  </w:style>
  <w:style w:type="paragraph" w:customStyle="1" w:styleId="paragraph">
    <w:name w:val="paragraph"/>
    <w:aliases w:val="a"/>
    <w:basedOn w:val="OPCParaBase"/>
    <w:link w:val="paragraphChar"/>
    <w:rsid w:val="00212D5A"/>
    <w:pPr>
      <w:tabs>
        <w:tab w:val="right" w:pos="1531"/>
      </w:tabs>
      <w:spacing w:before="40" w:line="240" w:lineRule="auto"/>
      <w:ind w:left="1644" w:hanging="1644"/>
    </w:pPr>
  </w:style>
  <w:style w:type="paragraph" w:customStyle="1" w:styleId="ParlAmend">
    <w:name w:val="ParlAmend"/>
    <w:aliases w:val="pp"/>
    <w:basedOn w:val="OPCParaBase"/>
    <w:rsid w:val="00212D5A"/>
    <w:pPr>
      <w:spacing w:before="240" w:line="240" w:lineRule="atLeast"/>
      <w:ind w:hanging="567"/>
    </w:pPr>
    <w:rPr>
      <w:sz w:val="24"/>
    </w:rPr>
  </w:style>
  <w:style w:type="paragraph" w:customStyle="1" w:styleId="Penalty">
    <w:name w:val="Penalty"/>
    <w:basedOn w:val="OPCParaBase"/>
    <w:rsid w:val="00212D5A"/>
    <w:pPr>
      <w:tabs>
        <w:tab w:val="left" w:pos="2977"/>
      </w:tabs>
      <w:spacing w:before="180" w:line="240" w:lineRule="auto"/>
      <w:ind w:left="1985" w:hanging="851"/>
    </w:pPr>
  </w:style>
  <w:style w:type="paragraph" w:customStyle="1" w:styleId="Portfolio">
    <w:name w:val="Portfolio"/>
    <w:basedOn w:val="OPCParaBase"/>
    <w:rsid w:val="00212D5A"/>
    <w:pPr>
      <w:spacing w:line="240" w:lineRule="auto"/>
    </w:pPr>
    <w:rPr>
      <w:i/>
      <w:sz w:val="20"/>
    </w:rPr>
  </w:style>
  <w:style w:type="paragraph" w:customStyle="1" w:styleId="Preamble">
    <w:name w:val="Preamble"/>
    <w:basedOn w:val="OPCParaBase"/>
    <w:next w:val="Normal"/>
    <w:rsid w:val="00212D5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12D5A"/>
    <w:pPr>
      <w:spacing w:line="240" w:lineRule="auto"/>
    </w:pPr>
    <w:rPr>
      <w:i/>
      <w:sz w:val="20"/>
    </w:rPr>
  </w:style>
  <w:style w:type="paragraph" w:customStyle="1" w:styleId="Session">
    <w:name w:val="Session"/>
    <w:basedOn w:val="OPCParaBase"/>
    <w:rsid w:val="00212D5A"/>
    <w:pPr>
      <w:spacing w:line="240" w:lineRule="auto"/>
    </w:pPr>
    <w:rPr>
      <w:sz w:val="28"/>
    </w:rPr>
  </w:style>
  <w:style w:type="paragraph" w:customStyle="1" w:styleId="Sponsor">
    <w:name w:val="Sponsor"/>
    <w:basedOn w:val="OPCParaBase"/>
    <w:rsid w:val="00212D5A"/>
    <w:pPr>
      <w:spacing w:line="240" w:lineRule="auto"/>
    </w:pPr>
    <w:rPr>
      <w:i/>
    </w:rPr>
  </w:style>
  <w:style w:type="paragraph" w:customStyle="1" w:styleId="Subitem">
    <w:name w:val="Subitem"/>
    <w:aliases w:val="iss"/>
    <w:basedOn w:val="OPCParaBase"/>
    <w:rsid w:val="00212D5A"/>
    <w:pPr>
      <w:spacing w:before="180" w:line="240" w:lineRule="auto"/>
      <w:ind w:left="709" w:hanging="709"/>
    </w:pPr>
  </w:style>
  <w:style w:type="paragraph" w:customStyle="1" w:styleId="SubitemHead">
    <w:name w:val="SubitemHead"/>
    <w:aliases w:val="issh"/>
    <w:basedOn w:val="OPCParaBase"/>
    <w:rsid w:val="00212D5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12D5A"/>
    <w:pPr>
      <w:spacing w:before="40" w:line="240" w:lineRule="auto"/>
      <w:ind w:left="1134"/>
    </w:pPr>
  </w:style>
  <w:style w:type="paragraph" w:customStyle="1" w:styleId="SubsectionHead">
    <w:name w:val="SubsectionHead"/>
    <w:aliases w:val="ssh"/>
    <w:basedOn w:val="OPCParaBase"/>
    <w:next w:val="subsection"/>
    <w:rsid w:val="00212D5A"/>
    <w:pPr>
      <w:keepNext/>
      <w:keepLines/>
      <w:spacing w:before="240" w:line="240" w:lineRule="auto"/>
      <w:ind w:left="1134"/>
    </w:pPr>
    <w:rPr>
      <w:i/>
    </w:rPr>
  </w:style>
  <w:style w:type="paragraph" w:customStyle="1" w:styleId="Tablea">
    <w:name w:val="Table(a)"/>
    <w:aliases w:val="ta"/>
    <w:basedOn w:val="OPCParaBase"/>
    <w:rsid w:val="00212D5A"/>
    <w:pPr>
      <w:spacing w:before="60" w:line="240" w:lineRule="auto"/>
      <w:ind w:left="284" w:hanging="284"/>
    </w:pPr>
    <w:rPr>
      <w:sz w:val="20"/>
    </w:rPr>
  </w:style>
  <w:style w:type="paragraph" w:customStyle="1" w:styleId="TableAA">
    <w:name w:val="Table(AA)"/>
    <w:aliases w:val="taaa"/>
    <w:basedOn w:val="OPCParaBase"/>
    <w:rsid w:val="00212D5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12D5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12D5A"/>
    <w:pPr>
      <w:spacing w:before="60" w:line="240" w:lineRule="atLeast"/>
    </w:pPr>
    <w:rPr>
      <w:sz w:val="20"/>
    </w:rPr>
  </w:style>
  <w:style w:type="paragraph" w:customStyle="1" w:styleId="TLPBoxTextnote">
    <w:name w:val="TLPBoxText(note"/>
    <w:aliases w:val="right)"/>
    <w:basedOn w:val="OPCParaBase"/>
    <w:rsid w:val="00212D5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12D5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12D5A"/>
    <w:pPr>
      <w:spacing w:before="122" w:line="198" w:lineRule="exact"/>
      <w:ind w:left="1985" w:hanging="851"/>
      <w:jc w:val="right"/>
    </w:pPr>
    <w:rPr>
      <w:sz w:val="18"/>
    </w:rPr>
  </w:style>
  <w:style w:type="paragraph" w:customStyle="1" w:styleId="TLPTableBullet">
    <w:name w:val="TLPTableBullet"/>
    <w:aliases w:val="ttb"/>
    <w:basedOn w:val="OPCParaBase"/>
    <w:rsid w:val="00212D5A"/>
    <w:pPr>
      <w:spacing w:line="240" w:lineRule="exact"/>
      <w:ind w:left="284" w:hanging="284"/>
    </w:pPr>
    <w:rPr>
      <w:sz w:val="20"/>
    </w:rPr>
  </w:style>
  <w:style w:type="paragraph" w:styleId="TOC1">
    <w:name w:val="toc 1"/>
    <w:basedOn w:val="OPCParaBase"/>
    <w:next w:val="Normal"/>
    <w:uiPriority w:val="39"/>
    <w:semiHidden/>
    <w:unhideWhenUsed/>
    <w:rsid w:val="00212D5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12D5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212D5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212D5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12D5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12D5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212D5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212D5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12D5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12D5A"/>
    <w:pPr>
      <w:keepLines/>
      <w:spacing w:before="240" w:after="120" w:line="240" w:lineRule="auto"/>
      <w:ind w:left="794"/>
    </w:pPr>
    <w:rPr>
      <w:b/>
      <w:kern w:val="28"/>
      <w:sz w:val="20"/>
    </w:rPr>
  </w:style>
  <w:style w:type="paragraph" w:customStyle="1" w:styleId="TofSectsHeading">
    <w:name w:val="TofSects(Heading)"/>
    <w:basedOn w:val="OPCParaBase"/>
    <w:rsid w:val="00212D5A"/>
    <w:pPr>
      <w:spacing w:before="240" w:after="120" w:line="240" w:lineRule="auto"/>
    </w:pPr>
    <w:rPr>
      <w:b/>
      <w:sz w:val="24"/>
    </w:rPr>
  </w:style>
  <w:style w:type="paragraph" w:customStyle="1" w:styleId="TofSectsSection">
    <w:name w:val="TofSects(Section)"/>
    <w:basedOn w:val="OPCParaBase"/>
    <w:rsid w:val="00212D5A"/>
    <w:pPr>
      <w:keepLines/>
      <w:spacing w:before="40" w:line="240" w:lineRule="auto"/>
      <w:ind w:left="1588" w:hanging="794"/>
    </w:pPr>
    <w:rPr>
      <w:kern w:val="28"/>
      <w:sz w:val="18"/>
    </w:rPr>
  </w:style>
  <w:style w:type="paragraph" w:customStyle="1" w:styleId="TofSectsSubdiv">
    <w:name w:val="TofSects(Subdiv)"/>
    <w:basedOn w:val="OPCParaBase"/>
    <w:rsid w:val="00212D5A"/>
    <w:pPr>
      <w:keepLines/>
      <w:spacing w:before="80" w:line="240" w:lineRule="auto"/>
      <w:ind w:left="1588" w:hanging="794"/>
    </w:pPr>
    <w:rPr>
      <w:kern w:val="28"/>
    </w:rPr>
  </w:style>
  <w:style w:type="paragraph" w:customStyle="1" w:styleId="WRStyle">
    <w:name w:val="WR Style"/>
    <w:aliases w:val="WR"/>
    <w:basedOn w:val="OPCParaBase"/>
    <w:rsid w:val="00212D5A"/>
    <w:pPr>
      <w:spacing w:before="240" w:line="240" w:lineRule="auto"/>
      <w:ind w:left="284" w:hanging="284"/>
    </w:pPr>
    <w:rPr>
      <w:b/>
      <w:i/>
      <w:kern w:val="28"/>
      <w:sz w:val="24"/>
    </w:rPr>
  </w:style>
  <w:style w:type="paragraph" w:customStyle="1" w:styleId="notepara">
    <w:name w:val="note(para)"/>
    <w:aliases w:val="na"/>
    <w:basedOn w:val="OPCParaBase"/>
    <w:rsid w:val="00212D5A"/>
    <w:pPr>
      <w:spacing w:before="40" w:line="198" w:lineRule="exact"/>
      <w:ind w:left="2354" w:hanging="369"/>
    </w:pPr>
    <w:rPr>
      <w:sz w:val="18"/>
    </w:rPr>
  </w:style>
  <w:style w:type="paragraph" w:styleId="Footer">
    <w:name w:val="footer"/>
    <w:link w:val="FooterChar"/>
    <w:rsid w:val="00212D5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12D5A"/>
    <w:rPr>
      <w:rFonts w:eastAsia="Times New Roman" w:cs="Times New Roman"/>
      <w:sz w:val="22"/>
      <w:szCs w:val="24"/>
      <w:lang w:eastAsia="en-AU"/>
    </w:rPr>
  </w:style>
  <w:style w:type="character" w:styleId="LineNumber">
    <w:name w:val="line number"/>
    <w:basedOn w:val="OPCCharBase"/>
    <w:uiPriority w:val="99"/>
    <w:semiHidden/>
    <w:unhideWhenUsed/>
    <w:rsid w:val="00212D5A"/>
    <w:rPr>
      <w:sz w:val="16"/>
    </w:rPr>
  </w:style>
  <w:style w:type="table" w:customStyle="1" w:styleId="CFlag">
    <w:name w:val="CFlag"/>
    <w:basedOn w:val="TableNormal"/>
    <w:uiPriority w:val="99"/>
    <w:rsid w:val="00212D5A"/>
    <w:rPr>
      <w:rFonts w:eastAsia="Times New Roman" w:cs="Times New Roman"/>
      <w:lang w:eastAsia="en-AU"/>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E63F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E63F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E63F3"/>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EE63F3"/>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EE63F3"/>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EE63F3"/>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EE63F3"/>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EE63F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E63F3"/>
    <w:rPr>
      <w:rFonts w:asciiTheme="majorHAnsi" w:eastAsiaTheme="majorEastAsia" w:hAnsiTheme="majorHAnsi" w:cstheme="majorBidi"/>
      <w:i/>
      <w:iCs/>
      <w:color w:val="404040" w:themeColor="text1" w:themeTint="BF"/>
    </w:rPr>
  </w:style>
  <w:style w:type="character" w:customStyle="1" w:styleId="subsectionChar">
    <w:name w:val="subsection Char"/>
    <w:aliases w:val="ss Char"/>
    <w:link w:val="subsection"/>
    <w:rsid w:val="00EE63F3"/>
    <w:rPr>
      <w:rFonts w:eastAsia="Times New Roman" w:cs="Times New Roman"/>
      <w:sz w:val="22"/>
      <w:lang w:eastAsia="en-AU"/>
    </w:rPr>
  </w:style>
  <w:style w:type="character" w:customStyle="1" w:styleId="paragraphChar">
    <w:name w:val="paragraph Char"/>
    <w:aliases w:val="a Char"/>
    <w:basedOn w:val="DefaultParagraphFont"/>
    <w:link w:val="paragraph"/>
    <w:rsid w:val="00EE63F3"/>
    <w:rPr>
      <w:rFonts w:eastAsia="Times New Roman" w:cs="Times New Roman"/>
      <w:sz w:val="22"/>
      <w:lang w:eastAsia="en-AU"/>
    </w:rPr>
  </w:style>
  <w:style w:type="paragraph" w:styleId="BalloonText">
    <w:name w:val="Balloon Text"/>
    <w:basedOn w:val="Normal"/>
    <w:link w:val="BalloonTextChar"/>
    <w:uiPriority w:val="99"/>
    <w:semiHidden/>
    <w:unhideWhenUsed/>
    <w:rsid w:val="00CE44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4C5"/>
    <w:rPr>
      <w:rFonts w:ascii="Tahoma" w:hAnsi="Tahoma" w:cs="Tahoma"/>
      <w:sz w:val="16"/>
      <w:szCs w:val="16"/>
    </w:rPr>
  </w:style>
  <w:style w:type="paragraph" w:styleId="ListParagraph">
    <w:name w:val="List Paragraph"/>
    <w:basedOn w:val="Normal"/>
    <w:uiPriority w:val="34"/>
    <w:qFormat/>
    <w:rsid w:val="001B2A0A"/>
    <w:pPr>
      <w:spacing w:line="240" w:lineRule="auto"/>
      <w:ind w:left="720"/>
    </w:pPr>
    <w:rPr>
      <w:rFonts w:ascii="Calibri" w:hAnsi="Calibri" w:cs="Calibri"/>
      <w:szCs w:val="22"/>
      <w:lang w:eastAsia="en-AU"/>
    </w:rPr>
  </w:style>
  <w:style w:type="paragraph" w:customStyle="1" w:styleId="ClerkBlock">
    <w:name w:val="ClerkBlock"/>
    <w:basedOn w:val="Normal"/>
    <w:rsid w:val="006F5903"/>
    <w:pPr>
      <w:spacing w:line="200" w:lineRule="atLeast"/>
      <w:ind w:right="3827"/>
    </w:pPr>
    <w:rPr>
      <w:rFonts w:eastAsia="Times New Roman" w:cs="Times New Roman"/>
      <w:sz w:val="20"/>
      <w:lang w:eastAsia="en-AU"/>
    </w:rPr>
  </w:style>
  <w:style w:type="paragraph" w:customStyle="1" w:styleId="ShortTP1">
    <w:name w:val="ShortTP1"/>
    <w:basedOn w:val="ShortT"/>
    <w:link w:val="ShortTP1Char"/>
    <w:rsid w:val="00013845"/>
    <w:pPr>
      <w:spacing w:before="800"/>
    </w:pPr>
  </w:style>
  <w:style w:type="character" w:customStyle="1" w:styleId="OPCParaBaseChar">
    <w:name w:val="OPCParaBase Char"/>
    <w:basedOn w:val="DefaultParagraphFont"/>
    <w:link w:val="OPCParaBase"/>
    <w:rsid w:val="00013845"/>
    <w:rPr>
      <w:rFonts w:eastAsia="Times New Roman" w:cs="Times New Roman"/>
      <w:sz w:val="22"/>
      <w:lang w:eastAsia="en-AU"/>
    </w:rPr>
  </w:style>
  <w:style w:type="character" w:customStyle="1" w:styleId="ShortTChar">
    <w:name w:val="ShortT Char"/>
    <w:basedOn w:val="OPCParaBaseChar"/>
    <w:link w:val="ShortT"/>
    <w:rsid w:val="00013845"/>
    <w:rPr>
      <w:rFonts w:eastAsia="Times New Roman" w:cs="Times New Roman"/>
      <w:b/>
      <w:sz w:val="40"/>
      <w:lang w:eastAsia="en-AU"/>
    </w:rPr>
  </w:style>
  <w:style w:type="character" w:customStyle="1" w:styleId="ShortTP1Char">
    <w:name w:val="ShortTP1 Char"/>
    <w:basedOn w:val="ShortTChar"/>
    <w:link w:val="ShortTP1"/>
    <w:rsid w:val="00013845"/>
    <w:rPr>
      <w:rFonts w:eastAsia="Times New Roman" w:cs="Times New Roman"/>
      <w:b/>
      <w:sz w:val="40"/>
      <w:lang w:eastAsia="en-AU"/>
    </w:rPr>
  </w:style>
  <w:style w:type="paragraph" w:customStyle="1" w:styleId="ActNoP1">
    <w:name w:val="ActNoP1"/>
    <w:basedOn w:val="Actno"/>
    <w:link w:val="ActNoP1Char"/>
    <w:rsid w:val="00013845"/>
    <w:pPr>
      <w:spacing w:before="800"/>
    </w:pPr>
    <w:rPr>
      <w:sz w:val="28"/>
    </w:rPr>
  </w:style>
  <w:style w:type="character" w:customStyle="1" w:styleId="ActnoChar">
    <w:name w:val="Actno Char"/>
    <w:basedOn w:val="ShortTChar"/>
    <w:link w:val="Actno"/>
    <w:rsid w:val="00013845"/>
    <w:rPr>
      <w:rFonts w:eastAsia="Times New Roman" w:cs="Times New Roman"/>
      <w:b/>
      <w:sz w:val="40"/>
      <w:lang w:eastAsia="en-AU"/>
    </w:rPr>
  </w:style>
  <w:style w:type="character" w:customStyle="1" w:styleId="ActNoP1Char">
    <w:name w:val="ActNoP1 Char"/>
    <w:basedOn w:val="ActnoChar"/>
    <w:link w:val="ActNoP1"/>
    <w:rsid w:val="00013845"/>
    <w:rPr>
      <w:rFonts w:eastAsia="Times New Roman" w:cs="Times New Roman"/>
      <w:b/>
      <w:sz w:val="28"/>
      <w:lang w:eastAsia="en-AU"/>
    </w:rPr>
  </w:style>
  <w:style w:type="paragraph" w:customStyle="1" w:styleId="p1LinesBef">
    <w:name w:val="p1LinesBef"/>
    <w:basedOn w:val="Normal"/>
    <w:rsid w:val="00013845"/>
    <w:pPr>
      <w:pBdr>
        <w:bottom w:val="single" w:sz="6" w:space="0" w:color="auto"/>
      </w:pBdr>
      <w:spacing w:before="400" w:line="240" w:lineRule="auto"/>
    </w:pPr>
    <w:rPr>
      <w:rFonts w:eastAsia="Times New Roman" w:cs="Times New Roman"/>
      <w:b/>
      <w:sz w:val="28"/>
      <w:lang w:val="en-US" w:eastAsia="en-AU"/>
    </w:rPr>
  </w:style>
  <w:style w:type="paragraph" w:customStyle="1" w:styleId="p1LinesAfter">
    <w:name w:val="p1LinesAfter"/>
    <w:basedOn w:val="Normal"/>
    <w:rsid w:val="00013845"/>
    <w:pPr>
      <w:pBdr>
        <w:top w:val="single" w:sz="12" w:space="0" w:color="auto"/>
      </w:pBdr>
      <w:spacing w:line="240" w:lineRule="auto"/>
    </w:pPr>
    <w:rPr>
      <w:rFonts w:eastAsia="Times New Roman" w:cs="Times New Roman"/>
      <w:b/>
      <w:sz w:val="28"/>
      <w:lang w:val="en-US" w:eastAsia="en-AU"/>
    </w:rPr>
  </w:style>
  <w:style w:type="paragraph" w:customStyle="1" w:styleId="ShortTCP">
    <w:name w:val="ShortTCP"/>
    <w:basedOn w:val="ShortT"/>
    <w:link w:val="ShortTCPChar"/>
    <w:rsid w:val="00013845"/>
  </w:style>
  <w:style w:type="character" w:customStyle="1" w:styleId="ShortTCPChar">
    <w:name w:val="ShortTCP Char"/>
    <w:basedOn w:val="ShortTChar"/>
    <w:link w:val="ShortTCP"/>
    <w:rsid w:val="00013845"/>
    <w:rPr>
      <w:rFonts w:eastAsia="Times New Roman" w:cs="Times New Roman"/>
      <w:b/>
      <w:sz w:val="40"/>
      <w:lang w:eastAsia="en-AU"/>
    </w:rPr>
  </w:style>
  <w:style w:type="paragraph" w:customStyle="1" w:styleId="ActNoCP">
    <w:name w:val="ActNoCP"/>
    <w:basedOn w:val="Actno"/>
    <w:link w:val="ActNoCPChar"/>
    <w:rsid w:val="00013845"/>
    <w:pPr>
      <w:spacing w:before="400"/>
    </w:pPr>
  </w:style>
  <w:style w:type="character" w:customStyle="1" w:styleId="ActNoCPChar">
    <w:name w:val="ActNoCP Char"/>
    <w:basedOn w:val="ActnoChar"/>
    <w:link w:val="ActNoCP"/>
    <w:rsid w:val="00013845"/>
    <w:rPr>
      <w:rFonts w:eastAsia="Times New Roman" w:cs="Times New Roman"/>
      <w:b/>
      <w:sz w:val="40"/>
      <w:lang w:eastAsia="en-AU"/>
    </w:rPr>
  </w:style>
  <w:style w:type="paragraph" w:customStyle="1" w:styleId="AssentBk">
    <w:name w:val="AssentBk"/>
    <w:basedOn w:val="Normal"/>
    <w:rsid w:val="00013845"/>
    <w:pPr>
      <w:spacing w:line="240" w:lineRule="auto"/>
    </w:pPr>
    <w:rPr>
      <w:rFonts w:eastAsia="Times New Roman" w:cs="Times New Roman"/>
      <w:sz w:val="20"/>
      <w:lang w:eastAsia="en-AU"/>
    </w:rPr>
  </w:style>
  <w:style w:type="paragraph" w:customStyle="1" w:styleId="AssentDt">
    <w:name w:val="AssentDt"/>
    <w:basedOn w:val="Normal"/>
    <w:rsid w:val="000916B9"/>
    <w:pPr>
      <w:spacing w:line="240" w:lineRule="auto"/>
    </w:pPr>
    <w:rPr>
      <w:rFonts w:eastAsia="Times New Roman" w:cs="Times New Roman"/>
      <w:sz w:val="20"/>
      <w:lang w:eastAsia="en-AU"/>
    </w:rPr>
  </w:style>
  <w:style w:type="paragraph" w:customStyle="1" w:styleId="2ndRd">
    <w:name w:val="2ndRd"/>
    <w:basedOn w:val="Normal"/>
    <w:rsid w:val="000916B9"/>
    <w:pPr>
      <w:spacing w:line="240" w:lineRule="auto"/>
    </w:pPr>
    <w:rPr>
      <w:rFonts w:eastAsia="Times New Roman" w:cs="Times New Roman"/>
      <w:sz w:val="20"/>
      <w:lang w:eastAsia="en-AU"/>
    </w:rPr>
  </w:style>
  <w:style w:type="paragraph" w:customStyle="1" w:styleId="ScalePlusRef">
    <w:name w:val="ScalePlusRef"/>
    <w:basedOn w:val="Normal"/>
    <w:rsid w:val="000916B9"/>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269025">
      <w:bodyDiv w:val="1"/>
      <w:marLeft w:val="0"/>
      <w:marRight w:val="0"/>
      <w:marTop w:val="0"/>
      <w:marBottom w:val="0"/>
      <w:divBdr>
        <w:top w:val="none" w:sz="0" w:space="0" w:color="auto"/>
        <w:left w:val="none" w:sz="0" w:space="0" w:color="auto"/>
        <w:bottom w:val="none" w:sz="0" w:space="0" w:color="auto"/>
        <w:right w:val="none" w:sz="0" w:space="0" w:color="auto"/>
      </w:divBdr>
    </w:div>
    <w:div w:id="1543982764">
      <w:bodyDiv w:val="1"/>
      <w:marLeft w:val="0"/>
      <w:marRight w:val="0"/>
      <w:marTop w:val="0"/>
      <w:marBottom w:val="0"/>
      <w:divBdr>
        <w:top w:val="none" w:sz="0" w:space="0" w:color="auto"/>
        <w:left w:val="none" w:sz="0" w:space="0" w:color="auto"/>
        <w:bottom w:val="none" w:sz="0" w:space="0" w:color="auto"/>
        <w:right w:val="none" w:sz="0" w:space="0" w:color="auto"/>
      </w:divBdr>
    </w:div>
    <w:div w:id="160271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D17BD-FBD9-4FB5-8016-0B19029D9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2828</Words>
  <Characters>16126</Characters>
  <Application>Microsoft Office Word</Application>
  <DocSecurity>4</DocSecurity>
  <PresentationFormat/>
  <Lines>134</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2013-02-27T07:34:00Z</dcterms:created>
  <dcterms:modified xsi:type="dcterms:W3CDTF">2013-02-27T07:34:00Z</dcterms:modified>
</cp:coreProperties>
</file>