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1D" w:rsidRDefault="000C721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5pt;height:77.7pt" o:ole="" fillcolor="window">
            <v:imagedata r:id="rId8" o:title=""/>
          </v:shape>
          <o:OLEObject Type="Embed" ProgID="Word.Picture.8" ShapeID="_x0000_i1025" DrawAspect="Content" ObjectID="_1434879792" r:id="rId9"/>
        </w:object>
      </w:r>
    </w:p>
    <w:p w:rsidR="000C721D" w:rsidRDefault="000C721D"/>
    <w:p w:rsidR="000C721D" w:rsidRDefault="000C721D" w:rsidP="000C721D">
      <w:pPr>
        <w:spacing w:line="240" w:lineRule="auto"/>
      </w:pPr>
    </w:p>
    <w:p w:rsidR="000C721D" w:rsidRDefault="000C721D" w:rsidP="000C721D"/>
    <w:p w:rsidR="000C721D" w:rsidRDefault="000C721D" w:rsidP="000C721D"/>
    <w:p w:rsidR="000C721D" w:rsidRDefault="000C721D" w:rsidP="000C721D"/>
    <w:p w:rsidR="000C721D" w:rsidRDefault="000C721D" w:rsidP="000C721D"/>
    <w:p w:rsidR="0048364F" w:rsidRPr="00622209" w:rsidRDefault="00B62F5D" w:rsidP="0048364F">
      <w:pPr>
        <w:pStyle w:val="ShortT"/>
      </w:pPr>
      <w:r w:rsidRPr="00622209">
        <w:t xml:space="preserve">Australia Council </w:t>
      </w:r>
      <w:r w:rsidR="00A85B42" w:rsidRPr="00622209">
        <w:t>(Consequential and Transitional Provisions)</w:t>
      </w:r>
      <w:r w:rsidR="00C164CA" w:rsidRPr="00622209">
        <w:t xml:space="preserve"> </w:t>
      </w:r>
      <w:r w:rsidR="000C721D">
        <w:t>Act</w:t>
      </w:r>
      <w:r w:rsidR="00C164CA" w:rsidRPr="00622209">
        <w:t xml:space="preserve"> 201</w:t>
      </w:r>
      <w:r w:rsidR="00A85B42" w:rsidRPr="00622209">
        <w:t>3</w:t>
      </w:r>
    </w:p>
    <w:p w:rsidR="0048364F" w:rsidRPr="00622209" w:rsidRDefault="0048364F" w:rsidP="0048364F"/>
    <w:p w:rsidR="0048364F" w:rsidRPr="00622209" w:rsidRDefault="00C164CA" w:rsidP="000C721D">
      <w:pPr>
        <w:pStyle w:val="Actno"/>
        <w:spacing w:before="400"/>
      </w:pPr>
      <w:r w:rsidRPr="00622209">
        <w:t>No.</w:t>
      </w:r>
      <w:r w:rsidR="00470C53">
        <w:t xml:space="preserve"> 72</w:t>
      </w:r>
      <w:r w:rsidRPr="00622209">
        <w:t>, 201</w:t>
      </w:r>
      <w:r w:rsidR="00A85B42" w:rsidRPr="00622209">
        <w:t>3</w:t>
      </w:r>
    </w:p>
    <w:p w:rsidR="0048364F" w:rsidRPr="00622209" w:rsidRDefault="0048364F" w:rsidP="0048364F"/>
    <w:p w:rsidR="000C721D" w:rsidRDefault="000C721D" w:rsidP="000C721D"/>
    <w:p w:rsidR="000C721D" w:rsidRDefault="000C721D" w:rsidP="000C721D"/>
    <w:p w:rsidR="000C721D" w:rsidRDefault="000C721D" w:rsidP="000C721D"/>
    <w:p w:rsidR="000C721D" w:rsidRDefault="000C721D" w:rsidP="000C721D"/>
    <w:p w:rsidR="0048364F" w:rsidRPr="00622209" w:rsidRDefault="000C721D" w:rsidP="0048364F">
      <w:pPr>
        <w:pStyle w:val="LongT"/>
      </w:pPr>
      <w:r>
        <w:t>An Act</w:t>
      </w:r>
      <w:r w:rsidR="0048364F" w:rsidRPr="00622209">
        <w:t xml:space="preserve"> to </w:t>
      </w:r>
      <w:r w:rsidR="00A85B42" w:rsidRPr="00622209">
        <w:t xml:space="preserve">deal with consequential and transitional matters in connection with the </w:t>
      </w:r>
      <w:r w:rsidR="00B62F5D" w:rsidRPr="00622209">
        <w:rPr>
          <w:i/>
        </w:rPr>
        <w:t xml:space="preserve">Australia Council Act </w:t>
      </w:r>
      <w:r w:rsidR="00A85B42" w:rsidRPr="00622209">
        <w:rPr>
          <w:i/>
        </w:rPr>
        <w:t>2013</w:t>
      </w:r>
      <w:r w:rsidR="0048364F" w:rsidRPr="00622209">
        <w:t>, and for related purposes</w:t>
      </w:r>
    </w:p>
    <w:p w:rsidR="0048364F" w:rsidRPr="00622209" w:rsidRDefault="0048364F" w:rsidP="0048364F">
      <w:pPr>
        <w:pStyle w:val="Header"/>
        <w:tabs>
          <w:tab w:val="clear" w:pos="4150"/>
          <w:tab w:val="clear" w:pos="8307"/>
        </w:tabs>
      </w:pPr>
      <w:r w:rsidRPr="00622209">
        <w:rPr>
          <w:rStyle w:val="CharAmSchNo"/>
        </w:rPr>
        <w:t xml:space="preserve"> </w:t>
      </w:r>
      <w:r w:rsidRPr="00622209">
        <w:rPr>
          <w:rStyle w:val="CharAmSchText"/>
        </w:rPr>
        <w:t xml:space="preserve"> </w:t>
      </w:r>
    </w:p>
    <w:p w:rsidR="0048364F" w:rsidRPr="00622209" w:rsidRDefault="0048364F" w:rsidP="0048364F">
      <w:pPr>
        <w:pStyle w:val="Header"/>
        <w:tabs>
          <w:tab w:val="clear" w:pos="4150"/>
          <w:tab w:val="clear" w:pos="8307"/>
        </w:tabs>
      </w:pPr>
      <w:r w:rsidRPr="00622209">
        <w:rPr>
          <w:rStyle w:val="CharAmPartNo"/>
        </w:rPr>
        <w:t xml:space="preserve"> </w:t>
      </w:r>
      <w:r w:rsidRPr="00622209">
        <w:rPr>
          <w:rStyle w:val="CharAmPartText"/>
        </w:rPr>
        <w:t xml:space="preserve"> </w:t>
      </w:r>
    </w:p>
    <w:p w:rsidR="0048364F" w:rsidRPr="00622209" w:rsidRDefault="0048364F" w:rsidP="0048364F">
      <w:pPr>
        <w:sectPr w:rsidR="0048364F" w:rsidRPr="00622209" w:rsidSect="000C721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22209" w:rsidRDefault="0048364F" w:rsidP="00171A4A">
      <w:pPr>
        <w:rPr>
          <w:sz w:val="36"/>
        </w:rPr>
      </w:pPr>
      <w:r w:rsidRPr="00622209">
        <w:rPr>
          <w:sz w:val="36"/>
        </w:rPr>
        <w:lastRenderedPageBreak/>
        <w:t>Contents</w:t>
      </w:r>
    </w:p>
    <w:bookmarkStart w:id="0" w:name="BKCheck15B_1"/>
    <w:bookmarkEnd w:id="0"/>
    <w:p w:rsidR="00470C53" w:rsidRDefault="00470C5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70C53">
        <w:rPr>
          <w:noProof/>
        </w:rPr>
        <w:tab/>
      </w:r>
      <w:r w:rsidRPr="00470C53">
        <w:rPr>
          <w:noProof/>
        </w:rPr>
        <w:fldChar w:fldCharType="begin"/>
      </w:r>
      <w:r w:rsidRPr="00470C53">
        <w:rPr>
          <w:noProof/>
        </w:rPr>
        <w:instrText xml:space="preserve"> PAGEREF _Toc361124905 \h </w:instrText>
      </w:r>
      <w:r w:rsidRPr="00470C53">
        <w:rPr>
          <w:noProof/>
        </w:rPr>
      </w:r>
      <w:r w:rsidRPr="00470C53">
        <w:rPr>
          <w:noProof/>
        </w:rPr>
        <w:fldChar w:fldCharType="separate"/>
      </w:r>
      <w:r w:rsidR="00412634">
        <w:rPr>
          <w:noProof/>
        </w:rPr>
        <w:t>1</w:t>
      </w:r>
      <w:r w:rsidRPr="00470C53">
        <w:rPr>
          <w:noProof/>
        </w:rPr>
        <w:fldChar w:fldCharType="end"/>
      </w:r>
    </w:p>
    <w:p w:rsidR="00470C53" w:rsidRDefault="00470C53">
      <w:pPr>
        <w:pStyle w:val="TOC5"/>
        <w:rPr>
          <w:rFonts w:asciiTheme="minorHAnsi" w:eastAsiaTheme="minorEastAsia" w:hAnsiTheme="minorHAnsi" w:cstheme="minorBidi"/>
          <w:noProof/>
          <w:kern w:val="0"/>
          <w:sz w:val="22"/>
          <w:szCs w:val="22"/>
        </w:rPr>
      </w:pPr>
      <w:r>
        <w:rPr>
          <w:noProof/>
        </w:rPr>
        <w:t>2</w:t>
      </w:r>
      <w:r>
        <w:rPr>
          <w:noProof/>
        </w:rPr>
        <w:tab/>
        <w:t>Commencement</w:t>
      </w:r>
      <w:r w:rsidRPr="00470C53">
        <w:rPr>
          <w:noProof/>
        </w:rPr>
        <w:tab/>
      </w:r>
      <w:r w:rsidRPr="00470C53">
        <w:rPr>
          <w:noProof/>
        </w:rPr>
        <w:fldChar w:fldCharType="begin"/>
      </w:r>
      <w:r w:rsidRPr="00470C53">
        <w:rPr>
          <w:noProof/>
        </w:rPr>
        <w:instrText xml:space="preserve"> PAGEREF _Toc361124906 \h </w:instrText>
      </w:r>
      <w:r w:rsidRPr="00470C53">
        <w:rPr>
          <w:noProof/>
        </w:rPr>
      </w:r>
      <w:r w:rsidRPr="00470C53">
        <w:rPr>
          <w:noProof/>
        </w:rPr>
        <w:fldChar w:fldCharType="separate"/>
      </w:r>
      <w:r w:rsidR="00412634">
        <w:rPr>
          <w:noProof/>
        </w:rPr>
        <w:t>2</w:t>
      </w:r>
      <w:r w:rsidRPr="00470C53">
        <w:rPr>
          <w:noProof/>
        </w:rPr>
        <w:fldChar w:fldCharType="end"/>
      </w:r>
    </w:p>
    <w:p w:rsidR="00470C53" w:rsidRDefault="00470C53">
      <w:pPr>
        <w:pStyle w:val="TOC5"/>
        <w:rPr>
          <w:rFonts w:asciiTheme="minorHAnsi" w:eastAsiaTheme="minorEastAsia" w:hAnsiTheme="minorHAnsi" w:cstheme="minorBidi"/>
          <w:noProof/>
          <w:kern w:val="0"/>
          <w:sz w:val="22"/>
          <w:szCs w:val="22"/>
        </w:rPr>
      </w:pPr>
      <w:r>
        <w:rPr>
          <w:noProof/>
        </w:rPr>
        <w:t>3</w:t>
      </w:r>
      <w:r>
        <w:rPr>
          <w:noProof/>
        </w:rPr>
        <w:tab/>
        <w:t>Schedule(s)</w:t>
      </w:r>
      <w:r w:rsidRPr="00470C53">
        <w:rPr>
          <w:noProof/>
        </w:rPr>
        <w:tab/>
      </w:r>
      <w:r w:rsidRPr="00470C53">
        <w:rPr>
          <w:noProof/>
        </w:rPr>
        <w:fldChar w:fldCharType="begin"/>
      </w:r>
      <w:r w:rsidRPr="00470C53">
        <w:rPr>
          <w:noProof/>
        </w:rPr>
        <w:instrText xml:space="preserve"> PAGEREF _Toc361124907 \h </w:instrText>
      </w:r>
      <w:r w:rsidRPr="00470C53">
        <w:rPr>
          <w:noProof/>
        </w:rPr>
      </w:r>
      <w:r w:rsidRPr="00470C53">
        <w:rPr>
          <w:noProof/>
        </w:rPr>
        <w:fldChar w:fldCharType="separate"/>
      </w:r>
      <w:r w:rsidR="00412634">
        <w:rPr>
          <w:noProof/>
        </w:rPr>
        <w:t>2</w:t>
      </w:r>
      <w:r w:rsidRPr="00470C53">
        <w:rPr>
          <w:noProof/>
        </w:rPr>
        <w:fldChar w:fldCharType="end"/>
      </w:r>
    </w:p>
    <w:p w:rsidR="00470C53" w:rsidRDefault="00470C53">
      <w:pPr>
        <w:pStyle w:val="TOC6"/>
        <w:rPr>
          <w:rFonts w:asciiTheme="minorHAnsi" w:eastAsiaTheme="minorEastAsia" w:hAnsiTheme="minorHAnsi" w:cstheme="minorBidi"/>
          <w:b w:val="0"/>
          <w:noProof/>
          <w:kern w:val="0"/>
          <w:sz w:val="22"/>
          <w:szCs w:val="22"/>
        </w:rPr>
      </w:pPr>
      <w:r>
        <w:rPr>
          <w:noProof/>
        </w:rPr>
        <w:t>Schedule 1—Repeal</w:t>
      </w:r>
      <w:r w:rsidRPr="00470C53">
        <w:rPr>
          <w:b w:val="0"/>
          <w:noProof/>
          <w:sz w:val="18"/>
        </w:rPr>
        <w:tab/>
      </w:r>
      <w:r w:rsidRPr="00470C53">
        <w:rPr>
          <w:b w:val="0"/>
          <w:noProof/>
          <w:sz w:val="18"/>
        </w:rPr>
        <w:fldChar w:fldCharType="begin"/>
      </w:r>
      <w:r w:rsidRPr="00470C53">
        <w:rPr>
          <w:b w:val="0"/>
          <w:noProof/>
          <w:sz w:val="18"/>
        </w:rPr>
        <w:instrText xml:space="preserve"> PAGEREF _Toc361124908 \h </w:instrText>
      </w:r>
      <w:r w:rsidRPr="00470C53">
        <w:rPr>
          <w:b w:val="0"/>
          <w:noProof/>
          <w:sz w:val="18"/>
        </w:rPr>
      </w:r>
      <w:r w:rsidRPr="00470C53">
        <w:rPr>
          <w:b w:val="0"/>
          <w:noProof/>
          <w:sz w:val="18"/>
        </w:rPr>
        <w:fldChar w:fldCharType="separate"/>
      </w:r>
      <w:r w:rsidR="00412634">
        <w:rPr>
          <w:b w:val="0"/>
          <w:noProof/>
          <w:sz w:val="18"/>
        </w:rPr>
        <w:t>3</w:t>
      </w:r>
      <w:r w:rsidRPr="00470C53">
        <w:rPr>
          <w:b w:val="0"/>
          <w:noProof/>
          <w:sz w:val="18"/>
        </w:rPr>
        <w:fldChar w:fldCharType="end"/>
      </w:r>
    </w:p>
    <w:p w:rsidR="00470C53" w:rsidRDefault="00470C53">
      <w:pPr>
        <w:pStyle w:val="TOC9"/>
        <w:rPr>
          <w:rFonts w:asciiTheme="minorHAnsi" w:eastAsiaTheme="minorEastAsia" w:hAnsiTheme="minorHAnsi" w:cstheme="minorBidi"/>
          <w:i w:val="0"/>
          <w:noProof/>
          <w:kern w:val="0"/>
          <w:sz w:val="22"/>
          <w:szCs w:val="22"/>
        </w:rPr>
      </w:pPr>
      <w:r>
        <w:rPr>
          <w:noProof/>
        </w:rPr>
        <w:t>Australia Council Act 1975</w:t>
      </w:r>
      <w:r w:rsidRPr="00470C53">
        <w:rPr>
          <w:i w:val="0"/>
          <w:noProof/>
          <w:sz w:val="18"/>
        </w:rPr>
        <w:tab/>
      </w:r>
      <w:r w:rsidRPr="00470C53">
        <w:rPr>
          <w:i w:val="0"/>
          <w:noProof/>
          <w:sz w:val="18"/>
        </w:rPr>
        <w:fldChar w:fldCharType="begin"/>
      </w:r>
      <w:r w:rsidRPr="00470C53">
        <w:rPr>
          <w:i w:val="0"/>
          <w:noProof/>
          <w:sz w:val="18"/>
        </w:rPr>
        <w:instrText xml:space="preserve"> PAGEREF _Toc361124909 \h </w:instrText>
      </w:r>
      <w:r w:rsidRPr="00470C53">
        <w:rPr>
          <w:i w:val="0"/>
          <w:noProof/>
          <w:sz w:val="18"/>
        </w:rPr>
      </w:r>
      <w:r w:rsidRPr="00470C53">
        <w:rPr>
          <w:i w:val="0"/>
          <w:noProof/>
          <w:sz w:val="18"/>
        </w:rPr>
        <w:fldChar w:fldCharType="separate"/>
      </w:r>
      <w:r w:rsidR="00412634">
        <w:rPr>
          <w:i w:val="0"/>
          <w:noProof/>
          <w:sz w:val="18"/>
        </w:rPr>
        <w:t>3</w:t>
      </w:r>
      <w:r w:rsidRPr="00470C53">
        <w:rPr>
          <w:i w:val="0"/>
          <w:noProof/>
          <w:sz w:val="18"/>
        </w:rPr>
        <w:fldChar w:fldCharType="end"/>
      </w:r>
    </w:p>
    <w:p w:rsidR="00470C53" w:rsidRDefault="00470C53">
      <w:pPr>
        <w:pStyle w:val="TOC6"/>
        <w:rPr>
          <w:rFonts w:asciiTheme="minorHAnsi" w:eastAsiaTheme="minorEastAsia" w:hAnsiTheme="minorHAnsi" w:cstheme="minorBidi"/>
          <w:b w:val="0"/>
          <w:noProof/>
          <w:kern w:val="0"/>
          <w:sz w:val="22"/>
          <w:szCs w:val="22"/>
        </w:rPr>
      </w:pPr>
      <w:r>
        <w:rPr>
          <w:noProof/>
        </w:rPr>
        <w:t>Schedule 2—Transitional provisions</w:t>
      </w:r>
      <w:r w:rsidRPr="00470C53">
        <w:rPr>
          <w:b w:val="0"/>
          <w:noProof/>
          <w:sz w:val="18"/>
        </w:rPr>
        <w:tab/>
      </w:r>
      <w:r w:rsidRPr="00470C53">
        <w:rPr>
          <w:b w:val="0"/>
          <w:noProof/>
          <w:sz w:val="18"/>
        </w:rPr>
        <w:fldChar w:fldCharType="begin"/>
      </w:r>
      <w:r w:rsidRPr="00470C53">
        <w:rPr>
          <w:b w:val="0"/>
          <w:noProof/>
          <w:sz w:val="18"/>
        </w:rPr>
        <w:instrText xml:space="preserve"> PAGEREF _Toc361124910 \h </w:instrText>
      </w:r>
      <w:r w:rsidRPr="00470C53">
        <w:rPr>
          <w:b w:val="0"/>
          <w:noProof/>
          <w:sz w:val="18"/>
        </w:rPr>
      </w:r>
      <w:r w:rsidRPr="00470C53">
        <w:rPr>
          <w:b w:val="0"/>
          <w:noProof/>
          <w:sz w:val="18"/>
        </w:rPr>
        <w:fldChar w:fldCharType="separate"/>
      </w:r>
      <w:r w:rsidR="00412634">
        <w:rPr>
          <w:b w:val="0"/>
          <w:noProof/>
          <w:sz w:val="18"/>
        </w:rPr>
        <w:t>4</w:t>
      </w:r>
      <w:r w:rsidRPr="00470C53">
        <w:rPr>
          <w:b w:val="0"/>
          <w:noProof/>
          <w:sz w:val="18"/>
        </w:rPr>
        <w:fldChar w:fldCharType="end"/>
      </w:r>
    </w:p>
    <w:p w:rsidR="00470C53" w:rsidRDefault="00470C53">
      <w:pPr>
        <w:pStyle w:val="TOC7"/>
        <w:rPr>
          <w:rFonts w:asciiTheme="minorHAnsi" w:eastAsiaTheme="minorEastAsia" w:hAnsiTheme="minorHAnsi" w:cstheme="minorBidi"/>
          <w:noProof/>
          <w:kern w:val="0"/>
          <w:sz w:val="22"/>
          <w:szCs w:val="22"/>
        </w:rPr>
      </w:pPr>
      <w:r>
        <w:rPr>
          <w:noProof/>
        </w:rPr>
        <w:t>Part 1—Introduction</w:t>
      </w:r>
      <w:r w:rsidRPr="00470C53">
        <w:rPr>
          <w:noProof/>
          <w:sz w:val="18"/>
        </w:rPr>
        <w:tab/>
      </w:r>
      <w:r w:rsidRPr="00470C53">
        <w:rPr>
          <w:noProof/>
          <w:sz w:val="18"/>
        </w:rPr>
        <w:fldChar w:fldCharType="begin"/>
      </w:r>
      <w:r w:rsidRPr="00470C53">
        <w:rPr>
          <w:noProof/>
          <w:sz w:val="18"/>
        </w:rPr>
        <w:instrText xml:space="preserve"> PAGEREF _Toc361124911 \h </w:instrText>
      </w:r>
      <w:r w:rsidRPr="00470C53">
        <w:rPr>
          <w:noProof/>
          <w:sz w:val="18"/>
        </w:rPr>
      </w:r>
      <w:r w:rsidRPr="00470C53">
        <w:rPr>
          <w:noProof/>
          <w:sz w:val="18"/>
        </w:rPr>
        <w:fldChar w:fldCharType="separate"/>
      </w:r>
      <w:r w:rsidR="00412634">
        <w:rPr>
          <w:noProof/>
          <w:sz w:val="18"/>
        </w:rPr>
        <w:t>4</w:t>
      </w:r>
      <w:r w:rsidRPr="00470C53">
        <w:rPr>
          <w:noProof/>
          <w:sz w:val="18"/>
        </w:rPr>
        <w:fldChar w:fldCharType="end"/>
      </w:r>
    </w:p>
    <w:p w:rsidR="00470C53" w:rsidRDefault="00470C53">
      <w:pPr>
        <w:pStyle w:val="TOC7"/>
        <w:rPr>
          <w:rFonts w:asciiTheme="minorHAnsi" w:eastAsiaTheme="minorEastAsia" w:hAnsiTheme="minorHAnsi" w:cstheme="minorBidi"/>
          <w:noProof/>
          <w:kern w:val="0"/>
          <w:sz w:val="22"/>
          <w:szCs w:val="22"/>
        </w:rPr>
      </w:pPr>
      <w:r>
        <w:rPr>
          <w:noProof/>
        </w:rPr>
        <w:t>Part 2—The Council</w:t>
      </w:r>
      <w:r w:rsidRPr="00470C53">
        <w:rPr>
          <w:noProof/>
          <w:sz w:val="18"/>
        </w:rPr>
        <w:tab/>
      </w:r>
      <w:r w:rsidRPr="00470C53">
        <w:rPr>
          <w:noProof/>
          <w:sz w:val="18"/>
        </w:rPr>
        <w:fldChar w:fldCharType="begin"/>
      </w:r>
      <w:r w:rsidRPr="00470C53">
        <w:rPr>
          <w:noProof/>
          <w:sz w:val="18"/>
        </w:rPr>
        <w:instrText xml:space="preserve"> PAGEREF _Toc361124912 \h </w:instrText>
      </w:r>
      <w:r w:rsidRPr="00470C53">
        <w:rPr>
          <w:noProof/>
          <w:sz w:val="18"/>
        </w:rPr>
      </w:r>
      <w:r w:rsidRPr="00470C53">
        <w:rPr>
          <w:noProof/>
          <w:sz w:val="18"/>
        </w:rPr>
        <w:fldChar w:fldCharType="separate"/>
      </w:r>
      <w:r w:rsidR="00412634">
        <w:rPr>
          <w:noProof/>
          <w:sz w:val="18"/>
        </w:rPr>
        <w:t>5</w:t>
      </w:r>
      <w:r w:rsidRPr="00470C53">
        <w:rPr>
          <w:noProof/>
          <w:sz w:val="18"/>
        </w:rPr>
        <w:fldChar w:fldCharType="end"/>
      </w:r>
    </w:p>
    <w:p w:rsidR="00470C53" w:rsidRDefault="00470C53">
      <w:pPr>
        <w:pStyle w:val="TOC7"/>
        <w:rPr>
          <w:rFonts w:asciiTheme="minorHAnsi" w:eastAsiaTheme="minorEastAsia" w:hAnsiTheme="minorHAnsi" w:cstheme="minorBidi"/>
          <w:noProof/>
          <w:kern w:val="0"/>
          <w:sz w:val="22"/>
          <w:szCs w:val="22"/>
        </w:rPr>
      </w:pPr>
      <w:r>
        <w:rPr>
          <w:noProof/>
        </w:rPr>
        <w:t>Part 3—Effect of the Council transition</w:t>
      </w:r>
      <w:r w:rsidRPr="00470C53">
        <w:rPr>
          <w:noProof/>
          <w:sz w:val="18"/>
        </w:rPr>
        <w:tab/>
      </w:r>
      <w:r w:rsidRPr="00470C53">
        <w:rPr>
          <w:noProof/>
          <w:sz w:val="18"/>
        </w:rPr>
        <w:fldChar w:fldCharType="begin"/>
      </w:r>
      <w:r w:rsidRPr="00470C53">
        <w:rPr>
          <w:noProof/>
          <w:sz w:val="18"/>
        </w:rPr>
        <w:instrText xml:space="preserve"> PAGEREF _Toc361124913 \h </w:instrText>
      </w:r>
      <w:r w:rsidRPr="00470C53">
        <w:rPr>
          <w:noProof/>
          <w:sz w:val="18"/>
        </w:rPr>
      </w:r>
      <w:r w:rsidRPr="00470C53">
        <w:rPr>
          <w:noProof/>
          <w:sz w:val="18"/>
        </w:rPr>
        <w:fldChar w:fldCharType="separate"/>
      </w:r>
      <w:r w:rsidR="00412634">
        <w:rPr>
          <w:noProof/>
          <w:sz w:val="18"/>
        </w:rPr>
        <w:t>8</w:t>
      </w:r>
      <w:r w:rsidRPr="00470C53">
        <w:rPr>
          <w:noProof/>
          <w:sz w:val="18"/>
        </w:rPr>
        <w:fldChar w:fldCharType="end"/>
      </w:r>
    </w:p>
    <w:p w:rsidR="00470C53" w:rsidRDefault="00470C53">
      <w:pPr>
        <w:pStyle w:val="TOC7"/>
        <w:rPr>
          <w:rFonts w:asciiTheme="minorHAnsi" w:eastAsiaTheme="minorEastAsia" w:hAnsiTheme="minorHAnsi" w:cstheme="minorBidi"/>
          <w:noProof/>
          <w:kern w:val="0"/>
          <w:sz w:val="22"/>
          <w:szCs w:val="22"/>
        </w:rPr>
      </w:pPr>
      <w:r>
        <w:rPr>
          <w:noProof/>
        </w:rPr>
        <w:t>Part 4—Reporting obligations</w:t>
      </w:r>
      <w:r w:rsidRPr="00470C53">
        <w:rPr>
          <w:noProof/>
          <w:sz w:val="18"/>
        </w:rPr>
        <w:tab/>
      </w:r>
      <w:r w:rsidRPr="00470C53">
        <w:rPr>
          <w:noProof/>
          <w:sz w:val="18"/>
        </w:rPr>
        <w:fldChar w:fldCharType="begin"/>
      </w:r>
      <w:r w:rsidRPr="00470C53">
        <w:rPr>
          <w:noProof/>
          <w:sz w:val="18"/>
        </w:rPr>
        <w:instrText xml:space="preserve"> PAGEREF _Toc361124914 \h </w:instrText>
      </w:r>
      <w:r w:rsidRPr="00470C53">
        <w:rPr>
          <w:noProof/>
          <w:sz w:val="18"/>
        </w:rPr>
      </w:r>
      <w:r w:rsidRPr="00470C53">
        <w:rPr>
          <w:noProof/>
          <w:sz w:val="18"/>
        </w:rPr>
        <w:fldChar w:fldCharType="separate"/>
      </w:r>
      <w:r w:rsidR="00412634">
        <w:rPr>
          <w:noProof/>
          <w:sz w:val="18"/>
        </w:rPr>
        <w:t>9</w:t>
      </w:r>
      <w:r w:rsidRPr="00470C53">
        <w:rPr>
          <w:noProof/>
          <w:sz w:val="18"/>
        </w:rPr>
        <w:fldChar w:fldCharType="end"/>
      </w:r>
    </w:p>
    <w:p w:rsidR="00470C53" w:rsidRDefault="00470C53">
      <w:pPr>
        <w:pStyle w:val="TOC7"/>
        <w:rPr>
          <w:rFonts w:asciiTheme="minorHAnsi" w:eastAsiaTheme="minorEastAsia" w:hAnsiTheme="minorHAnsi" w:cstheme="minorBidi"/>
          <w:noProof/>
          <w:kern w:val="0"/>
          <w:sz w:val="22"/>
          <w:szCs w:val="22"/>
        </w:rPr>
      </w:pPr>
      <w:r>
        <w:rPr>
          <w:noProof/>
        </w:rPr>
        <w:t>Part 5—Miscellaneous</w:t>
      </w:r>
      <w:r w:rsidRPr="00470C53">
        <w:rPr>
          <w:noProof/>
          <w:sz w:val="18"/>
        </w:rPr>
        <w:tab/>
      </w:r>
      <w:r w:rsidRPr="00470C53">
        <w:rPr>
          <w:noProof/>
          <w:sz w:val="18"/>
        </w:rPr>
        <w:fldChar w:fldCharType="begin"/>
      </w:r>
      <w:r w:rsidRPr="00470C53">
        <w:rPr>
          <w:noProof/>
          <w:sz w:val="18"/>
        </w:rPr>
        <w:instrText xml:space="preserve"> PAGEREF _Toc361124915 \h </w:instrText>
      </w:r>
      <w:r w:rsidRPr="00470C53">
        <w:rPr>
          <w:noProof/>
          <w:sz w:val="18"/>
        </w:rPr>
      </w:r>
      <w:r w:rsidRPr="00470C53">
        <w:rPr>
          <w:noProof/>
          <w:sz w:val="18"/>
        </w:rPr>
        <w:fldChar w:fldCharType="separate"/>
      </w:r>
      <w:r w:rsidR="00412634">
        <w:rPr>
          <w:noProof/>
          <w:sz w:val="18"/>
        </w:rPr>
        <w:t>11</w:t>
      </w:r>
      <w:r w:rsidRPr="00470C53">
        <w:rPr>
          <w:noProof/>
          <w:sz w:val="18"/>
        </w:rPr>
        <w:fldChar w:fldCharType="end"/>
      </w:r>
    </w:p>
    <w:p w:rsidR="0048364F" w:rsidRPr="00622209" w:rsidRDefault="00470C53" w:rsidP="0048364F">
      <w:r>
        <w:fldChar w:fldCharType="end"/>
      </w:r>
    </w:p>
    <w:p w:rsidR="0048364F" w:rsidRPr="00622209" w:rsidRDefault="0048364F" w:rsidP="0048364F">
      <w:pPr>
        <w:sectPr w:rsidR="0048364F" w:rsidRPr="00622209" w:rsidSect="000C721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C721D" w:rsidRDefault="000C721D">
      <w:r>
        <w:object w:dxaOrig="2146" w:dyaOrig="1561">
          <v:shape id="_x0000_i1026" type="#_x0000_t75" style="width:107.65pt;height:77.7pt" o:ole="" fillcolor="window">
            <v:imagedata r:id="rId8" o:title=""/>
          </v:shape>
          <o:OLEObject Type="Embed" ProgID="Word.Picture.8" ShapeID="_x0000_i1026" DrawAspect="Content" ObjectID="_1434879793" r:id="rId21"/>
        </w:object>
      </w:r>
    </w:p>
    <w:p w:rsidR="000C721D" w:rsidRDefault="000C721D"/>
    <w:p w:rsidR="000C721D" w:rsidRDefault="000C721D" w:rsidP="000C721D">
      <w:pPr>
        <w:spacing w:line="240" w:lineRule="auto"/>
      </w:pPr>
    </w:p>
    <w:p w:rsidR="000C721D" w:rsidRDefault="00135A80" w:rsidP="000C721D">
      <w:pPr>
        <w:pStyle w:val="ShortTP1"/>
      </w:pPr>
      <w:fldSimple w:instr=" STYLEREF ShortT ">
        <w:r w:rsidR="00412634">
          <w:rPr>
            <w:noProof/>
          </w:rPr>
          <w:t>Australia Council (Consequential and Transitional Provisions) Act 2013</w:t>
        </w:r>
      </w:fldSimple>
    </w:p>
    <w:p w:rsidR="000C721D" w:rsidRDefault="00135A80" w:rsidP="000C721D">
      <w:pPr>
        <w:pStyle w:val="ActNoP1"/>
      </w:pPr>
      <w:fldSimple w:instr=" STYLEREF Actno ">
        <w:r w:rsidR="00412634">
          <w:rPr>
            <w:noProof/>
          </w:rPr>
          <w:t>No. 72, 2013</w:t>
        </w:r>
      </w:fldSimple>
    </w:p>
    <w:p w:rsidR="000C721D" w:rsidRDefault="000C721D">
      <w:pPr>
        <w:pStyle w:val="p1LinesBef"/>
      </w:pPr>
    </w:p>
    <w:p w:rsidR="000C721D" w:rsidRDefault="000C721D">
      <w:pPr>
        <w:spacing w:line="40" w:lineRule="exact"/>
        <w:rPr>
          <w:b/>
          <w:sz w:val="28"/>
        </w:rPr>
      </w:pPr>
    </w:p>
    <w:p w:rsidR="000C721D" w:rsidRDefault="000C721D">
      <w:pPr>
        <w:pStyle w:val="p1LinesAfter"/>
      </w:pPr>
    </w:p>
    <w:p w:rsidR="0048364F" w:rsidRPr="00622209" w:rsidRDefault="000C721D" w:rsidP="00622209">
      <w:pPr>
        <w:pStyle w:val="Page1"/>
      </w:pPr>
      <w:r>
        <w:t>An Act</w:t>
      </w:r>
      <w:r w:rsidR="00A85B42" w:rsidRPr="00622209">
        <w:t xml:space="preserve"> to deal with consequential and transitional matters in connection with the </w:t>
      </w:r>
      <w:r w:rsidR="00A85B42" w:rsidRPr="00622209">
        <w:rPr>
          <w:i/>
        </w:rPr>
        <w:t>Australia Council Act 2013</w:t>
      </w:r>
      <w:r w:rsidR="00A85B42" w:rsidRPr="00622209">
        <w:t>, and for related purposes</w:t>
      </w:r>
    </w:p>
    <w:p w:rsidR="00470C53" w:rsidRDefault="00470C53">
      <w:pPr>
        <w:pStyle w:val="AssentDt"/>
        <w:spacing w:before="240"/>
        <w:rPr>
          <w:sz w:val="24"/>
        </w:rPr>
      </w:pPr>
      <w:r>
        <w:rPr>
          <w:sz w:val="24"/>
        </w:rPr>
        <w:t>[</w:t>
      </w:r>
      <w:r>
        <w:rPr>
          <w:i/>
          <w:sz w:val="24"/>
        </w:rPr>
        <w:t>Assented to 27 June 2013</w:t>
      </w:r>
      <w:r>
        <w:rPr>
          <w:sz w:val="24"/>
        </w:rPr>
        <w:t>]</w:t>
      </w:r>
    </w:p>
    <w:p w:rsidR="00470C53" w:rsidRDefault="00470C53"/>
    <w:p w:rsidR="0048364F" w:rsidRPr="00622209" w:rsidRDefault="0048364F" w:rsidP="00622209">
      <w:pPr>
        <w:spacing w:before="240" w:line="240" w:lineRule="auto"/>
        <w:rPr>
          <w:sz w:val="32"/>
        </w:rPr>
      </w:pPr>
      <w:r w:rsidRPr="00622209">
        <w:rPr>
          <w:sz w:val="32"/>
        </w:rPr>
        <w:t>The Parliament of Australia enacts:</w:t>
      </w:r>
    </w:p>
    <w:p w:rsidR="0048364F" w:rsidRPr="00622209" w:rsidRDefault="0048364F" w:rsidP="00622209">
      <w:pPr>
        <w:pStyle w:val="ActHead5"/>
      </w:pPr>
      <w:bookmarkStart w:id="1" w:name="_Toc361124905"/>
      <w:r w:rsidRPr="00622209">
        <w:rPr>
          <w:rStyle w:val="CharSectno"/>
        </w:rPr>
        <w:t>1</w:t>
      </w:r>
      <w:r w:rsidRPr="00622209">
        <w:t xml:space="preserve">  Short title</w:t>
      </w:r>
      <w:bookmarkEnd w:id="1"/>
    </w:p>
    <w:p w:rsidR="00A85B42" w:rsidRPr="00622209" w:rsidRDefault="0048364F" w:rsidP="00622209">
      <w:pPr>
        <w:pStyle w:val="subsection"/>
      </w:pPr>
      <w:r w:rsidRPr="00622209">
        <w:tab/>
      </w:r>
      <w:r w:rsidRPr="00622209">
        <w:tab/>
        <w:t xml:space="preserve">This Act may be cited as the </w:t>
      </w:r>
      <w:r w:rsidR="00A85B42" w:rsidRPr="00622209">
        <w:rPr>
          <w:i/>
        </w:rPr>
        <w:t>Australia Council (Consequential and Transitional Provisions) Act 2013</w:t>
      </w:r>
      <w:r w:rsidR="00A85B42" w:rsidRPr="00622209">
        <w:t>.</w:t>
      </w:r>
    </w:p>
    <w:p w:rsidR="0048364F" w:rsidRPr="00622209" w:rsidRDefault="0048364F" w:rsidP="00622209">
      <w:pPr>
        <w:pStyle w:val="ActHead5"/>
      </w:pPr>
      <w:bookmarkStart w:id="2" w:name="_Toc361124906"/>
      <w:r w:rsidRPr="00622209">
        <w:rPr>
          <w:rStyle w:val="CharSectno"/>
        </w:rPr>
        <w:lastRenderedPageBreak/>
        <w:t>2</w:t>
      </w:r>
      <w:r w:rsidRPr="00622209">
        <w:t xml:space="preserve">  Commencement</w:t>
      </w:r>
      <w:bookmarkEnd w:id="2"/>
    </w:p>
    <w:p w:rsidR="0048364F" w:rsidRPr="00622209" w:rsidRDefault="0048364F" w:rsidP="00622209">
      <w:pPr>
        <w:pStyle w:val="subsection"/>
      </w:pPr>
      <w:r w:rsidRPr="00622209">
        <w:tab/>
        <w:t>(1)</w:t>
      </w:r>
      <w:r w:rsidRPr="00622209">
        <w:tab/>
        <w:t>Each provision of this Act specified in column 1 of the table commences, or is taken to have commenced, in accordance with column 2 of the table. Any other statement in column 2 has effect according to its terms.</w:t>
      </w:r>
    </w:p>
    <w:p w:rsidR="0048364F" w:rsidRPr="00622209" w:rsidRDefault="0048364F" w:rsidP="0062220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22209" w:rsidTr="003A4D74">
        <w:trPr>
          <w:tblHeader/>
        </w:trPr>
        <w:tc>
          <w:tcPr>
            <w:tcW w:w="7111" w:type="dxa"/>
            <w:gridSpan w:val="3"/>
            <w:tcBorders>
              <w:top w:val="single" w:sz="12" w:space="0" w:color="auto"/>
              <w:bottom w:val="single" w:sz="6" w:space="0" w:color="auto"/>
            </w:tcBorders>
            <w:shd w:val="clear" w:color="auto" w:fill="auto"/>
          </w:tcPr>
          <w:p w:rsidR="0048364F" w:rsidRPr="00622209" w:rsidRDefault="0048364F" w:rsidP="00622209">
            <w:pPr>
              <w:pStyle w:val="Tabletext"/>
              <w:keepNext/>
            </w:pPr>
            <w:r w:rsidRPr="00622209">
              <w:rPr>
                <w:b/>
              </w:rPr>
              <w:t>Commencement information</w:t>
            </w:r>
          </w:p>
        </w:tc>
      </w:tr>
      <w:tr w:rsidR="0048364F" w:rsidRPr="00622209" w:rsidTr="003A4D74">
        <w:trPr>
          <w:tblHeader/>
        </w:trPr>
        <w:tc>
          <w:tcPr>
            <w:tcW w:w="1701" w:type="dxa"/>
            <w:tcBorders>
              <w:top w:val="single" w:sz="6" w:space="0" w:color="auto"/>
              <w:bottom w:val="single" w:sz="6" w:space="0" w:color="auto"/>
            </w:tcBorders>
            <w:shd w:val="clear" w:color="auto" w:fill="auto"/>
          </w:tcPr>
          <w:p w:rsidR="0048364F" w:rsidRPr="00622209" w:rsidRDefault="0048364F" w:rsidP="00622209">
            <w:pPr>
              <w:pStyle w:val="Tabletext"/>
              <w:keepNext/>
            </w:pPr>
            <w:r w:rsidRPr="00622209">
              <w:rPr>
                <w:b/>
              </w:rPr>
              <w:t>Column 1</w:t>
            </w:r>
          </w:p>
        </w:tc>
        <w:tc>
          <w:tcPr>
            <w:tcW w:w="3828" w:type="dxa"/>
            <w:tcBorders>
              <w:top w:val="single" w:sz="6" w:space="0" w:color="auto"/>
              <w:bottom w:val="single" w:sz="6" w:space="0" w:color="auto"/>
            </w:tcBorders>
            <w:shd w:val="clear" w:color="auto" w:fill="auto"/>
          </w:tcPr>
          <w:p w:rsidR="0048364F" w:rsidRPr="00622209" w:rsidRDefault="0048364F" w:rsidP="00622209">
            <w:pPr>
              <w:pStyle w:val="Tabletext"/>
              <w:keepNext/>
            </w:pPr>
            <w:r w:rsidRPr="00622209">
              <w:rPr>
                <w:b/>
              </w:rPr>
              <w:t>Column 2</w:t>
            </w:r>
          </w:p>
        </w:tc>
        <w:tc>
          <w:tcPr>
            <w:tcW w:w="1582" w:type="dxa"/>
            <w:tcBorders>
              <w:top w:val="single" w:sz="6" w:space="0" w:color="auto"/>
              <w:bottom w:val="single" w:sz="6" w:space="0" w:color="auto"/>
            </w:tcBorders>
            <w:shd w:val="clear" w:color="auto" w:fill="auto"/>
          </w:tcPr>
          <w:p w:rsidR="0048364F" w:rsidRPr="00622209" w:rsidRDefault="0048364F" w:rsidP="00622209">
            <w:pPr>
              <w:pStyle w:val="Tabletext"/>
              <w:keepNext/>
            </w:pPr>
            <w:r w:rsidRPr="00622209">
              <w:rPr>
                <w:b/>
              </w:rPr>
              <w:t>Column 3</w:t>
            </w:r>
          </w:p>
        </w:tc>
      </w:tr>
      <w:tr w:rsidR="0048364F" w:rsidRPr="00622209" w:rsidTr="003A4D74">
        <w:trPr>
          <w:tblHeader/>
        </w:trPr>
        <w:tc>
          <w:tcPr>
            <w:tcW w:w="1701" w:type="dxa"/>
            <w:tcBorders>
              <w:top w:val="single" w:sz="6" w:space="0" w:color="auto"/>
              <w:bottom w:val="single" w:sz="12" w:space="0" w:color="auto"/>
            </w:tcBorders>
            <w:shd w:val="clear" w:color="auto" w:fill="auto"/>
          </w:tcPr>
          <w:p w:rsidR="0048364F" w:rsidRPr="00622209" w:rsidRDefault="0048364F" w:rsidP="00622209">
            <w:pPr>
              <w:pStyle w:val="Tabletext"/>
              <w:keepNext/>
            </w:pPr>
            <w:r w:rsidRPr="00622209">
              <w:rPr>
                <w:b/>
              </w:rPr>
              <w:t>Provision(s)</w:t>
            </w:r>
          </w:p>
        </w:tc>
        <w:tc>
          <w:tcPr>
            <w:tcW w:w="3828" w:type="dxa"/>
            <w:tcBorders>
              <w:top w:val="single" w:sz="6" w:space="0" w:color="auto"/>
              <w:bottom w:val="single" w:sz="12" w:space="0" w:color="auto"/>
            </w:tcBorders>
            <w:shd w:val="clear" w:color="auto" w:fill="auto"/>
          </w:tcPr>
          <w:p w:rsidR="0048364F" w:rsidRPr="00622209" w:rsidRDefault="0048364F" w:rsidP="00622209">
            <w:pPr>
              <w:pStyle w:val="Tabletext"/>
              <w:keepNext/>
            </w:pPr>
            <w:r w:rsidRPr="00622209">
              <w:rPr>
                <w:b/>
              </w:rPr>
              <w:t>Commencement</w:t>
            </w:r>
          </w:p>
        </w:tc>
        <w:tc>
          <w:tcPr>
            <w:tcW w:w="1582" w:type="dxa"/>
            <w:tcBorders>
              <w:top w:val="single" w:sz="6" w:space="0" w:color="auto"/>
              <w:bottom w:val="single" w:sz="12" w:space="0" w:color="auto"/>
            </w:tcBorders>
            <w:shd w:val="clear" w:color="auto" w:fill="auto"/>
          </w:tcPr>
          <w:p w:rsidR="0048364F" w:rsidRPr="00622209" w:rsidRDefault="0048364F" w:rsidP="00622209">
            <w:pPr>
              <w:pStyle w:val="Tabletext"/>
              <w:keepNext/>
            </w:pPr>
            <w:r w:rsidRPr="00622209">
              <w:rPr>
                <w:b/>
              </w:rPr>
              <w:t>Date/Details</w:t>
            </w:r>
          </w:p>
        </w:tc>
      </w:tr>
      <w:tr w:rsidR="0048364F" w:rsidRPr="00622209" w:rsidTr="003A4D74">
        <w:tc>
          <w:tcPr>
            <w:tcW w:w="1701" w:type="dxa"/>
            <w:tcBorders>
              <w:top w:val="single" w:sz="12" w:space="0" w:color="auto"/>
              <w:bottom w:val="single" w:sz="4" w:space="0" w:color="auto"/>
            </w:tcBorders>
            <w:shd w:val="clear" w:color="auto" w:fill="auto"/>
          </w:tcPr>
          <w:p w:rsidR="0048364F" w:rsidRPr="00622209" w:rsidRDefault="0048364F" w:rsidP="00622209">
            <w:pPr>
              <w:pStyle w:val="Tabletext"/>
            </w:pPr>
            <w:r w:rsidRPr="00622209">
              <w:t>1.  Sections</w:t>
            </w:r>
            <w:r w:rsidR="00622209" w:rsidRPr="00622209">
              <w:t> </w:t>
            </w:r>
            <w:r w:rsidRPr="00622209">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622209" w:rsidRDefault="0048364F" w:rsidP="00622209">
            <w:pPr>
              <w:pStyle w:val="Tabletext"/>
            </w:pPr>
            <w:r w:rsidRPr="00622209">
              <w:t>The day this Act receives the Royal Assent.</w:t>
            </w:r>
          </w:p>
        </w:tc>
        <w:tc>
          <w:tcPr>
            <w:tcW w:w="1582" w:type="dxa"/>
            <w:tcBorders>
              <w:top w:val="single" w:sz="12" w:space="0" w:color="auto"/>
              <w:bottom w:val="single" w:sz="4" w:space="0" w:color="auto"/>
            </w:tcBorders>
            <w:shd w:val="clear" w:color="auto" w:fill="auto"/>
          </w:tcPr>
          <w:p w:rsidR="0048364F" w:rsidRPr="00622209" w:rsidRDefault="004A1A40" w:rsidP="00622209">
            <w:pPr>
              <w:pStyle w:val="Tabletext"/>
            </w:pPr>
            <w:r>
              <w:t>27 June 2013</w:t>
            </w:r>
          </w:p>
        </w:tc>
      </w:tr>
      <w:tr w:rsidR="0048364F" w:rsidRPr="00622209" w:rsidTr="00930577">
        <w:tc>
          <w:tcPr>
            <w:tcW w:w="1701" w:type="dxa"/>
            <w:shd w:val="clear" w:color="auto" w:fill="auto"/>
          </w:tcPr>
          <w:p w:rsidR="0048364F" w:rsidRPr="00622209" w:rsidRDefault="0048364F" w:rsidP="00622209">
            <w:pPr>
              <w:pStyle w:val="Tabletext"/>
            </w:pPr>
            <w:r w:rsidRPr="00622209">
              <w:t xml:space="preserve">2.  </w:t>
            </w:r>
            <w:r w:rsidR="00D90C48" w:rsidRPr="00622209">
              <w:t>Schedule</w:t>
            </w:r>
            <w:r w:rsidR="00622209" w:rsidRPr="00622209">
              <w:t> </w:t>
            </w:r>
            <w:r w:rsidR="00D90C48" w:rsidRPr="00622209">
              <w:t>1</w:t>
            </w:r>
          </w:p>
        </w:tc>
        <w:tc>
          <w:tcPr>
            <w:tcW w:w="3828" w:type="dxa"/>
            <w:shd w:val="clear" w:color="auto" w:fill="auto"/>
          </w:tcPr>
          <w:p w:rsidR="0048364F" w:rsidRPr="00622209" w:rsidRDefault="003A4D74" w:rsidP="00622209">
            <w:pPr>
              <w:pStyle w:val="Tabletext"/>
              <w:rPr>
                <w:i/>
              </w:rPr>
            </w:pPr>
            <w:r w:rsidRPr="00622209">
              <w:t>At the same time as section</w:t>
            </w:r>
            <w:r w:rsidR="00622209" w:rsidRPr="00622209">
              <w:t> </w:t>
            </w:r>
            <w:r w:rsidR="00F630D8" w:rsidRPr="00622209">
              <w:t>3</w:t>
            </w:r>
            <w:r w:rsidRPr="00622209">
              <w:t xml:space="preserve"> of the </w:t>
            </w:r>
            <w:r w:rsidRPr="00622209">
              <w:rPr>
                <w:i/>
              </w:rPr>
              <w:t>Australia Council Act 2013</w:t>
            </w:r>
            <w:r w:rsidRPr="00622209">
              <w:t xml:space="preserve"> commences.</w:t>
            </w:r>
          </w:p>
        </w:tc>
        <w:tc>
          <w:tcPr>
            <w:tcW w:w="1582" w:type="dxa"/>
            <w:shd w:val="clear" w:color="auto" w:fill="auto"/>
          </w:tcPr>
          <w:p w:rsidR="0048364F" w:rsidRPr="00622209" w:rsidRDefault="00412634" w:rsidP="00622209">
            <w:pPr>
              <w:pStyle w:val="Tabletext"/>
            </w:pPr>
            <w:r>
              <w:t>1 July 2013</w:t>
            </w:r>
          </w:p>
        </w:tc>
      </w:tr>
      <w:tr w:rsidR="00930577" w:rsidRPr="00622209" w:rsidTr="003A4D74">
        <w:tc>
          <w:tcPr>
            <w:tcW w:w="1701" w:type="dxa"/>
            <w:tcBorders>
              <w:bottom w:val="single" w:sz="12" w:space="0" w:color="auto"/>
            </w:tcBorders>
            <w:shd w:val="clear" w:color="auto" w:fill="auto"/>
          </w:tcPr>
          <w:p w:rsidR="00930577" w:rsidRPr="00622209" w:rsidRDefault="00930577" w:rsidP="00622209">
            <w:pPr>
              <w:pStyle w:val="Tabletext"/>
            </w:pPr>
            <w:r w:rsidRPr="00622209">
              <w:t>3.  Schedule</w:t>
            </w:r>
            <w:r w:rsidR="00622209" w:rsidRPr="00622209">
              <w:t> </w:t>
            </w:r>
            <w:r w:rsidRPr="00622209">
              <w:t>2</w:t>
            </w:r>
          </w:p>
        </w:tc>
        <w:tc>
          <w:tcPr>
            <w:tcW w:w="3828" w:type="dxa"/>
            <w:tcBorders>
              <w:bottom w:val="single" w:sz="12" w:space="0" w:color="auto"/>
            </w:tcBorders>
            <w:shd w:val="clear" w:color="auto" w:fill="auto"/>
          </w:tcPr>
          <w:p w:rsidR="00930577" w:rsidRPr="00622209" w:rsidRDefault="00930577" w:rsidP="00622209">
            <w:pPr>
              <w:pStyle w:val="Tabletext"/>
            </w:pPr>
            <w:r w:rsidRPr="00622209">
              <w:t>The later of:</w:t>
            </w:r>
          </w:p>
          <w:p w:rsidR="00930577" w:rsidRPr="00622209" w:rsidRDefault="00930577" w:rsidP="00622209">
            <w:pPr>
              <w:pStyle w:val="Tablea"/>
            </w:pPr>
            <w:r w:rsidRPr="00622209">
              <w:t>(a) the day this Act receives the Royal Assent; and</w:t>
            </w:r>
          </w:p>
          <w:p w:rsidR="00930577" w:rsidRPr="00622209" w:rsidRDefault="00930577" w:rsidP="00622209">
            <w:pPr>
              <w:pStyle w:val="Tablea"/>
            </w:pPr>
            <w:r w:rsidRPr="00622209">
              <w:t xml:space="preserve">(b) the day the </w:t>
            </w:r>
            <w:r w:rsidRPr="00622209">
              <w:rPr>
                <w:i/>
              </w:rPr>
              <w:t>Australia Council Act 2013</w:t>
            </w:r>
            <w:r w:rsidRPr="00622209">
              <w:t xml:space="preserve"> receives the Royal Assent.</w:t>
            </w:r>
          </w:p>
          <w:p w:rsidR="00930577" w:rsidRPr="00622209" w:rsidRDefault="00930577" w:rsidP="00622209">
            <w:pPr>
              <w:pStyle w:val="Tabletext"/>
            </w:pPr>
            <w:r w:rsidRPr="00622209">
              <w:t xml:space="preserve">However, the provision(s) do not commence at all if the event mentioned in </w:t>
            </w:r>
            <w:r w:rsidR="00622209" w:rsidRPr="00622209">
              <w:t>paragraph (</w:t>
            </w:r>
            <w:r w:rsidRPr="00622209">
              <w:t>b) does not occur.</w:t>
            </w:r>
          </w:p>
        </w:tc>
        <w:tc>
          <w:tcPr>
            <w:tcW w:w="1582" w:type="dxa"/>
            <w:tcBorders>
              <w:bottom w:val="single" w:sz="12" w:space="0" w:color="auto"/>
            </w:tcBorders>
            <w:shd w:val="clear" w:color="auto" w:fill="auto"/>
          </w:tcPr>
          <w:p w:rsidR="00930577" w:rsidRPr="00622209" w:rsidRDefault="00412634" w:rsidP="00622209">
            <w:pPr>
              <w:pStyle w:val="Tabletext"/>
            </w:pPr>
            <w:r>
              <w:t>27 June 2013</w:t>
            </w:r>
            <w:bookmarkStart w:id="3" w:name="_GoBack"/>
            <w:bookmarkEnd w:id="3"/>
          </w:p>
        </w:tc>
      </w:tr>
    </w:tbl>
    <w:p w:rsidR="0048364F" w:rsidRPr="00622209" w:rsidRDefault="00201D27" w:rsidP="00622209">
      <w:pPr>
        <w:pStyle w:val="notetext"/>
      </w:pPr>
      <w:r w:rsidRPr="00622209">
        <w:rPr>
          <w:snapToGrid w:val="0"/>
          <w:lang w:eastAsia="en-US"/>
        </w:rPr>
        <w:t xml:space="preserve">Note: </w:t>
      </w:r>
      <w:r w:rsidRPr="00622209">
        <w:rPr>
          <w:snapToGrid w:val="0"/>
          <w:lang w:eastAsia="en-US"/>
        </w:rPr>
        <w:tab/>
        <w:t>This table relates only to the provisions of this Act as originally enacted. It will not be amended to deal with any later amendments of this Act.</w:t>
      </w:r>
    </w:p>
    <w:p w:rsidR="0048364F" w:rsidRPr="00622209" w:rsidRDefault="0048364F" w:rsidP="00622209">
      <w:pPr>
        <w:pStyle w:val="subsection"/>
      </w:pPr>
      <w:r w:rsidRPr="00622209">
        <w:tab/>
        <w:t>(2)</w:t>
      </w:r>
      <w:r w:rsidRPr="00622209">
        <w:tab/>
      </w:r>
      <w:r w:rsidR="00201D27" w:rsidRPr="00622209">
        <w:t xml:space="preserve">Any information in </w:t>
      </w:r>
      <w:r w:rsidR="00877D48" w:rsidRPr="00622209">
        <w:t>c</w:t>
      </w:r>
      <w:r w:rsidR="00201D27" w:rsidRPr="00622209">
        <w:t>olumn 3 of the table is not part of this Act. Information may be inserted in this column, or information in it may be edited, in any published version of this Act.</w:t>
      </w:r>
    </w:p>
    <w:p w:rsidR="0048364F" w:rsidRPr="00622209" w:rsidRDefault="0048364F" w:rsidP="00622209">
      <w:pPr>
        <w:pStyle w:val="ActHead5"/>
      </w:pPr>
      <w:bookmarkStart w:id="4" w:name="_Toc361124907"/>
      <w:r w:rsidRPr="00622209">
        <w:rPr>
          <w:rStyle w:val="CharSectno"/>
        </w:rPr>
        <w:t>3</w:t>
      </w:r>
      <w:r w:rsidRPr="00622209">
        <w:t xml:space="preserve">  Schedule(s)</w:t>
      </w:r>
      <w:bookmarkEnd w:id="4"/>
    </w:p>
    <w:p w:rsidR="0048364F" w:rsidRPr="00622209" w:rsidRDefault="0048364F" w:rsidP="00622209">
      <w:pPr>
        <w:pStyle w:val="subsection"/>
      </w:pPr>
      <w:r w:rsidRPr="00622209">
        <w:tab/>
      </w:r>
      <w:r w:rsidRPr="00622209">
        <w:tab/>
        <w:t>Each Act that is specified in a Schedule to this Act is amended or repealed as set out in the applicable items in the Schedule concerned, and any other item in a Schedule to this Act has effect according to its terms.</w:t>
      </w:r>
    </w:p>
    <w:p w:rsidR="0048364F" w:rsidRPr="00622209" w:rsidRDefault="0048364F" w:rsidP="00622209">
      <w:pPr>
        <w:pStyle w:val="ActHead6"/>
        <w:pageBreakBefore/>
      </w:pPr>
      <w:bookmarkStart w:id="5" w:name="_Toc361124908"/>
      <w:bookmarkStart w:id="6" w:name="opcAmSched"/>
      <w:r w:rsidRPr="00622209">
        <w:rPr>
          <w:rStyle w:val="CharAmSchNo"/>
        </w:rPr>
        <w:lastRenderedPageBreak/>
        <w:t>Schedule</w:t>
      </w:r>
      <w:r w:rsidR="00622209" w:rsidRPr="00622209">
        <w:rPr>
          <w:rStyle w:val="CharAmSchNo"/>
        </w:rPr>
        <w:t> </w:t>
      </w:r>
      <w:r w:rsidRPr="00622209">
        <w:rPr>
          <w:rStyle w:val="CharAmSchNo"/>
        </w:rPr>
        <w:t>1</w:t>
      </w:r>
      <w:r w:rsidRPr="00622209">
        <w:t>—</w:t>
      </w:r>
      <w:r w:rsidR="00A85B42" w:rsidRPr="00622209">
        <w:rPr>
          <w:rStyle w:val="CharAmSchText"/>
        </w:rPr>
        <w:t>Repeal</w:t>
      </w:r>
      <w:bookmarkEnd w:id="5"/>
    </w:p>
    <w:bookmarkEnd w:id="6"/>
    <w:p w:rsidR="00A85B42" w:rsidRPr="00622209" w:rsidRDefault="00A85B42" w:rsidP="00622209">
      <w:pPr>
        <w:pStyle w:val="Header"/>
      </w:pPr>
      <w:r w:rsidRPr="00622209">
        <w:rPr>
          <w:rStyle w:val="CharAmPartNo"/>
        </w:rPr>
        <w:t xml:space="preserve"> </w:t>
      </w:r>
      <w:r w:rsidRPr="00622209">
        <w:rPr>
          <w:rStyle w:val="CharAmPartText"/>
        </w:rPr>
        <w:t xml:space="preserve"> </w:t>
      </w:r>
    </w:p>
    <w:p w:rsidR="003E1287" w:rsidRPr="00622209" w:rsidRDefault="003E1287" w:rsidP="00622209">
      <w:pPr>
        <w:pStyle w:val="ActHead9"/>
        <w:rPr>
          <w:i w:val="0"/>
        </w:rPr>
      </w:pPr>
      <w:bookmarkStart w:id="7" w:name="_Toc361124909"/>
      <w:r w:rsidRPr="00622209">
        <w:t>Australia Council Act 1975</w:t>
      </w:r>
      <w:bookmarkEnd w:id="7"/>
    </w:p>
    <w:p w:rsidR="00A678F1" w:rsidRPr="00622209" w:rsidRDefault="00A85B42" w:rsidP="00622209">
      <w:pPr>
        <w:pStyle w:val="ItemHead"/>
      </w:pPr>
      <w:r w:rsidRPr="00622209">
        <w:t>1  The whole of the Act</w:t>
      </w:r>
    </w:p>
    <w:p w:rsidR="00A85B42" w:rsidRPr="00622209" w:rsidRDefault="00A85B42" w:rsidP="00622209">
      <w:pPr>
        <w:pStyle w:val="Item"/>
      </w:pPr>
      <w:bookmarkStart w:id="8" w:name="bkCheck17_1"/>
      <w:r w:rsidRPr="00622209">
        <w:t>Repeal the Act</w:t>
      </w:r>
      <w:bookmarkEnd w:id="8"/>
      <w:r w:rsidRPr="00622209">
        <w:t>.</w:t>
      </w:r>
    </w:p>
    <w:p w:rsidR="002F30CB" w:rsidRPr="00622209" w:rsidRDefault="00A85B42" w:rsidP="00622209">
      <w:pPr>
        <w:pStyle w:val="ActHead6"/>
        <w:pageBreakBefore/>
      </w:pPr>
      <w:bookmarkStart w:id="9" w:name="_Toc361124910"/>
      <w:bookmarkStart w:id="10" w:name="opcCurrentFind"/>
      <w:r w:rsidRPr="00622209">
        <w:rPr>
          <w:rStyle w:val="CharAmSchNo"/>
        </w:rPr>
        <w:lastRenderedPageBreak/>
        <w:t>Schedule</w:t>
      </w:r>
      <w:r w:rsidR="00622209" w:rsidRPr="00622209">
        <w:rPr>
          <w:rStyle w:val="CharAmSchNo"/>
        </w:rPr>
        <w:t> </w:t>
      </w:r>
      <w:r w:rsidRPr="00622209">
        <w:rPr>
          <w:rStyle w:val="CharAmSchNo"/>
        </w:rPr>
        <w:t>2</w:t>
      </w:r>
      <w:r w:rsidR="00A678F1" w:rsidRPr="00622209">
        <w:t>—</w:t>
      </w:r>
      <w:r w:rsidRPr="00622209">
        <w:rPr>
          <w:rStyle w:val="CharAmSchText"/>
        </w:rPr>
        <w:t>T</w:t>
      </w:r>
      <w:r w:rsidR="00A678F1" w:rsidRPr="00622209">
        <w:rPr>
          <w:rStyle w:val="CharAmSchText"/>
        </w:rPr>
        <w:t>ransitional provisions</w:t>
      </w:r>
      <w:bookmarkEnd w:id="9"/>
    </w:p>
    <w:p w:rsidR="00083C19" w:rsidRPr="00622209" w:rsidRDefault="00083C19" w:rsidP="00622209">
      <w:pPr>
        <w:pStyle w:val="ActHead7"/>
      </w:pPr>
      <w:bookmarkStart w:id="11" w:name="_Toc361124911"/>
      <w:bookmarkEnd w:id="10"/>
      <w:r w:rsidRPr="00622209">
        <w:rPr>
          <w:rStyle w:val="CharAmPartNo"/>
        </w:rPr>
        <w:t>Part</w:t>
      </w:r>
      <w:r w:rsidR="00622209" w:rsidRPr="00622209">
        <w:rPr>
          <w:rStyle w:val="CharAmPartNo"/>
        </w:rPr>
        <w:t> </w:t>
      </w:r>
      <w:r w:rsidRPr="00622209">
        <w:rPr>
          <w:rStyle w:val="CharAmPartNo"/>
        </w:rPr>
        <w:t>1</w:t>
      </w:r>
      <w:r w:rsidRPr="00622209">
        <w:t>—</w:t>
      </w:r>
      <w:r w:rsidRPr="00622209">
        <w:rPr>
          <w:rStyle w:val="CharAmPartText"/>
        </w:rPr>
        <w:t>Introduction</w:t>
      </w:r>
      <w:bookmarkEnd w:id="11"/>
    </w:p>
    <w:p w:rsidR="004C61AF" w:rsidRPr="00622209" w:rsidRDefault="0098406D" w:rsidP="00622209">
      <w:pPr>
        <w:pStyle w:val="ItemHead"/>
      </w:pPr>
      <w:r w:rsidRPr="00622209">
        <w:t>1</w:t>
      </w:r>
      <w:r w:rsidR="004C61AF" w:rsidRPr="00622209">
        <w:t xml:space="preserve">  Definitions</w:t>
      </w:r>
    </w:p>
    <w:p w:rsidR="004C61AF" w:rsidRPr="00622209" w:rsidRDefault="004C61AF" w:rsidP="00622209">
      <w:pPr>
        <w:pStyle w:val="Item"/>
      </w:pPr>
      <w:r w:rsidRPr="00622209">
        <w:t>In this Schedule:</w:t>
      </w:r>
    </w:p>
    <w:p w:rsidR="004C61AF" w:rsidRPr="00622209" w:rsidRDefault="004C61AF" w:rsidP="00622209">
      <w:pPr>
        <w:pStyle w:val="Item"/>
      </w:pPr>
      <w:r w:rsidRPr="00622209">
        <w:rPr>
          <w:b/>
          <w:i/>
        </w:rPr>
        <w:t>asset</w:t>
      </w:r>
      <w:r w:rsidRPr="00622209">
        <w:t xml:space="preserve"> means:</w:t>
      </w:r>
    </w:p>
    <w:p w:rsidR="004C61AF" w:rsidRPr="00622209" w:rsidRDefault="004C61AF" w:rsidP="00622209">
      <w:pPr>
        <w:pStyle w:val="paragraph"/>
      </w:pPr>
      <w:r w:rsidRPr="00622209">
        <w:tab/>
        <w:t>(a)</w:t>
      </w:r>
      <w:r w:rsidRPr="00622209">
        <w:tab/>
        <w:t>any legal or equitable estate or interest in real or personal property, whether actual, contingent or prospective; and</w:t>
      </w:r>
    </w:p>
    <w:p w:rsidR="004C61AF" w:rsidRPr="00622209" w:rsidRDefault="004C61AF" w:rsidP="00622209">
      <w:pPr>
        <w:pStyle w:val="paragraph"/>
      </w:pPr>
      <w:r w:rsidRPr="00622209">
        <w:tab/>
        <w:t>(b)</w:t>
      </w:r>
      <w:r w:rsidRPr="00622209">
        <w:tab/>
        <w:t>any right, power, privilege or immunity, whether actual, contingent or prospective.</w:t>
      </w:r>
    </w:p>
    <w:p w:rsidR="00E770FD" w:rsidRPr="00622209" w:rsidRDefault="00E770FD" w:rsidP="00622209">
      <w:pPr>
        <w:pStyle w:val="Item"/>
      </w:pPr>
      <w:r w:rsidRPr="00622209">
        <w:rPr>
          <w:b/>
          <w:i/>
        </w:rPr>
        <w:t>continued Council</w:t>
      </w:r>
      <w:r w:rsidRPr="00622209">
        <w:t xml:space="preserve"> means the Australia Council as continued in existence after the transition time.</w:t>
      </w:r>
    </w:p>
    <w:p w:rsidR="00E770FD" w:rsidRPr="00622209" w:rsidRDefault="00E770FD" w:rsidP="00622209">
      <w:pPr>
        <w:pStyle w:val="notemargin"/>
      </w:pPr>
      <w:r w:rsidRPr="00622209">
        <w:t>Note:</w:t>
      </w:r>
      <w:r w:rsidRPr="00622209">
        <w:tab/>
        <w:t>Section</w:t>
      </w:r>
      <w:r w:rsidR="00622209" w:rsidRPr="00622209">
        <w:t> </w:t>
      </w:r>
      <w:r w:rsidR="00F630D8" w:rsidRPr="00622209">
        <w:t>7</w:t>
      </w:r>
      <w:r w:rsidRPr="00622209">
        <w:t xml:space="preserve"> of the new Act provides for the Australia Council to continue in existence.</w:t>
      </w:r>
    </w:p>
    <w:p w:rsidR="004C61AF" w:rsidRPr="00622209" w:rsidRDefault="004C61AF" w:rsidP="00622209">
      <w:pPr>
        <w:pStyle w:val="Item"/>
      </w:pPr>
      <w:r w:rsidRPr="00622209">
        <w:rPr>
          <w:b/>
          <w:i/>
        </w:rPr>
        <w:t xml:space="preserve">Council transition </w:t>
      </w:r>
      <w:r w:rsidRPr="00622209">
        <w:t>means the transition from the old Council to the continued Council.</w:t>
      </w:r>
    </w:p>
    <w:p w:rsidR="004C61AF" w:rsidRPr="00622209" w:rsidRDefault="004C61AF" w:rsidP="00622209">
      <w:pPr>
        <w:pStyle w:val="Item"/>
      </w:pPr>
      <w:r w:rsidRPr="00622209">
        <w:rPr>
          <w:b/>
          <w:i/>
        </w:rPr>
        <w:t xml:space="preserve">instrument </w:t>
      </w:r>
      <w:r w:rsidRPr="00622209">
        <w:t>includes an Act and any instrument made under an Act.</w:t>
      </w:r>
    </w:p>
    <w:p w:rsidR="004C61AF" w:rsidRPr="00622209" w:rsidRDefault="004C61AF" w:rsidP="00622209">
      <w:pPr>
        <w:pStyle w:val="Item"/>
      </w:pPr>
      <w:r w:rsidRPr="00622209">
        <w:rPr>
          <w:b/>
          <w:i/>
        </w:rPr>
        <w:t>liability</w:t>
      </w:r>
      <w:r w:rsidRPr="00622209">
        <w:t xml:space="preserve"> means any liability, duty or obligation, whether actual, contingent or prospective.</w:t>
      </w:r>
    </w:p>
    <w:p w:rsidR="004C61AF" w:rsidRPr="00622209" w:rsidRDefault="004C61AF" w:rsidP="00622209">
      <w:pPr>
        <w:pStyle w:val="Item"/>
      </w:pPr>
      <w:r w:rsidRPr="00622209">
        <w:rPr>
          <w:b/>
          <w:i/>
        </w:rPr>
        <w:t>new Act</w:t>
      </w:r>
      <w:r w:rsidRPr="00622209">
        <w:t xml:space="preserve"> means the </w:t>
      </w:r>
      <w:r w:rsidRPr="00622209">
        <w:rPr>
          <w:i/>
        </w:rPr>
        <w:t>Australia Council Act 2013</w:t>
      </w:r>
      <w:r w:rsidRPr="00622209">
        <w:t>.</w:t>
      </w:r>
    </w:p>
    <w:p w:rsidR="00E770FD" w:rsidRPr="00622209" w:rsidRDefault="00E770FD" w:rsidP="00622209">
      <w:pPr>
        <w:pStyle w:val="Item"/>
      </w:pPr>
      <w:r w:rsidRPr="00622209">
        <w:rPr>
          <w:b/>
          <w:i/>
        </w:rPr>
        <w:t>new Board</w:t>
      </w:r>
      <w:r w:rsidRPr="00622209">
        <w:t xml:space="preserve"> means the Board of the Australia Council established by section</w:t>
      </w:r>
      <w:r w:rsidR="00622209" w:rsidRPr="00622209">
        <w:t> </w:t>
      </w:r>
      <w:r w:rsidR="00F630D8" w:rsidRPr="00622209">
        <w:t>14</w:t>
      </w:r>
      <w:r w:rsidRPr="00622209">
        <w:t xml:space="preserve"> of the new Act.</w:t>
      </w:r>
    </w:p>
    <w:p w:rsidR="004C61AF" w:rsidRPr="00622209" w:rsidRDefault="004C61AF" w:rsidP="00622209">
      <w:pPr>
        <w:pStyle w:val="Item"/>
      </w:pPr>
      <w:r w:rsidRPr="00622209">
        <w:rPr>
          <w:b/>
          <w:i/>
        </w:rPr>
        <w:t>old Act</w:t>
      </w:r>
      <w:r w:rsidRPr="00622209">
        <w:t xml:space="preserve"> means the </w:t>
      </w:r>
      <w:r w:rsidRPr="00622209">
        <w:rPr>
          <w:i/>
        </w:rPr>
        <w:t>Australia Council Act 1975</w:t>
      </w:r>
      <w:r w:rsidRPr="00622209">
        <w:t>, including regulations and other instruments made under that Act.</w:t>
      </w:r>
    </w:p>
    <w:p w:rsidR="004C61AF" w:rsidRPr="00622209" w:rsidRDefault="004C61AF" w:rsidP="00622209">
      <w:pPr>
        <w:pStyle w:val="Item"/>
      </w:pPr>
      <w:r w:rsidRPr="00622209">
        <w:rPr>
          <w:b/>
          <w:i/>
        </w:rPr>
        <w:t>old Council</w:t>
      </w:r>
      <w:r w:rsidRPr="00622209">
        <w:t xml:space="preserve"> means the Australia Council as established and in existence before the transition time.</w:t>
      </w:r>
    </w:p>
    <w:p w:rsidR="004C61AF" w:rsidRPr="00622209" w:rsidRDefault="004C61AF" w:rsidP="00622209">
      <w:pPr>
        <w:pStyle w:val="notemargin"/>
      </w:pPr>
      <w:r w:rsidRPr="00622209">
        <w:t>Note:</w:t>
      </w:r>
      <w:r w:rsidRPr="00622209">
        <w:tab/>
        <w:t>The Australia Council was established by section</w:t>
      </w:r>
      <w:r w:rsidR="00622209" w:rsidRPr="00622209">
        <w:t> </w:t>
      </w:r>
      <w:r w:rsidRPr="00622209">
        <w:t>4 of the old Act.</w:t>
      </w:r>
    </w:p>
    <w:p w:rsidR="004C61AF" w:rsidRPr="00622209" w:rsidRDefault="004C61AF" w:rsidP="00622209">
      <w:pPr>
        <w:pStyle w:val="Item"/>
      </w:pPr>
      <w:r w:rsidRPr="00622209">
        <w:rPr>
          <w:b/>
          <w:i/>
        </w:rPr>
        <w:t>transition time</w:t>
      </w:r>
      <w:r w:rsidRPr="00622209">
        <w:t xml:space="preserve"> means the commencement of section</w:t>
      </w:r>
      <w:r w:rsidR="00622209" w:rsidRPr="00622209">
        <w:t> </w:t>
      </w:r>
      <w:r w:rsidR="00F630D8" w:rsidRPr="00622209">
        <w:t>3</w:t>
      </w:r>
      <w:r w:rsidRPr="00622209">
        <w:t xml:space="preserve"> of the new Act.</w:t>
      </w:r>
    </w:p>
    <w:p w:rsidR="004C61AF" w:rsidRPr="00622209" w:rsidRDefault="004C61AF" w:rsidP="00622209">
      <w:pPr>
        <w:pStyle w:val="ActHead7"/>
      </w:pPr>
      <w:bookmarkStart w:id="12" w:name="_Toc361124912"/>
      <w:r w:rsidRPr="00622209">
        <w:rPr>
          <w:rStyle w:val="CharAmPartNo"/>
        </w:rPr>
        <w:lastRenderedPageBreak/>
        <w:t>Part</w:t>
      </w:r>
      <w:r w:rsidR="00622209" w:rsidRPr="00622209">
        <w:rPr>
          <w:rStyle w:val="CharAmPartNo"/>
        </w:rPr>
        <w:t> </w:t>
      </w:r>
      <w:r w:rsidR="00083C19" w:rsidRPr="00622209">
        <w:rPr>
          <w:rStyle w:val="CharAmPartNo"/>
        </w:rPr>
        <w:t>2</w:t>
      </w:r>
      <w:r w:rsidRPr="00622209">
        <w:t>—</w:t>
      </w:r>
      <w:r w:rsidRPr="00622209">
        <w:rPr>
          <w:rStyle w:val="CharAmPartText"/>
        </w:rPr>
        <w:t>The Council</w:t>
      </w:r>
      <w:bookmarkEnd w:id="12"/>
    </w:p>
    <w:p w:rsidR="004C61AF" w:rsidRPr="00622209" w:rsidRDefault="0098406D" w:rsidP="00622209">
      <w:pPr>
        <w:pStyle w:val="ItemHead"/>
      </w:pPr>
      <w:r w:rsidRPr="00622209">
        <w:t>2</w:t>
      </w:r>
      <w:r w:rsidR="004C61AF" w:rsidRPr="00622209">
        <w:t xml:space="preserve">  Continuation of appointments of </w:t>
      </w:r>
      <w:r w:rsidR="00672ABA" w:rsidRPr="00622209">
        <w:t>Chair</w:t>
      </w:r>
      <w:r w:rsidR="00C64993" w:rsidRPr="00622209">
        <w:t>person</w:t>
      </w:r>
      <w:r w:rsidR="00672ABA" w:rsidRPr="00622209">
        <w:t xml:space="preserve"> and Deputy Chair</w:t>
      </w:r>
      <w:r w:rsidR="00C64993" w:rsidRPr="00622209">
        <w:t>person</w:t>
      </w:r>
    </w:p>
    <w:p w:rsidR="00A31663" w:rsidRPr="00622209" w:rsidRDefault="00A31663" w:rsidP="00622209">
      <w:pPr>
        <w:pStyle w:val="SubitemHead"/>
      </w:pPr>
      <w:r w:rsidRPr="00622209">
        <w:t>Chairperson</w:t>
      </w:r>
    </w:p>
    <w:p w:rsidR="00A31663" w:rsidRPr="00622209" w:rsidRDefault="00A31663" w:rsidP="00622209">
      <w:pPr>
        <w:pStyle w:val="Subitem"/>
      </w:pPr>
      <w:r w:rsidRPr="00622209">
        <w:t>(1)</w:t>
      </w:r>
      <w:r w:rsidRPr="00622209">
        <w:tab/>
      </w:r>
      <w:r w:rsidR="00622209" w:rsidRPr="00622209">
        <w:t>Subitem (</w:t>
      </w:r>
      <w:r w:rsidRPr="00622209">
        <w:t>2) applies to the person who, immediately before the transition time, h</w:t>
      </w:r>
      <w:r w:rsidR="009B5C73" w:rsidRPr="00622209">
        <w:t>o</w:t>
      </w:r>
      <w:r w:rsidRPr="00622209">
        <w:t>ld</w:t>
      </w:r>
      <w:r w:rsidR="009B5C73" w:rsidRPr="00622209">
        <w:t>s</w:t>
      </w:r>
      <w:r w:rsidRPr="00622209">
        <w:t xml:space="preserve"> office as the Chairperson of the old Council.</w:t>
      </w:r>
    </w:p>
    <w:p w:rsidR="00A31663" w:rsidRPr="00622209" w:rsidRDefault="00A31663" w:rsidP="00622209">
      <w:pPr>
        <w:pStyle w:val="Subitem"/>
      </w:pPr>
      <w:r w:rsidRPr="00622209">
        <w:t>(2)</w:t>
      </w:r>
      <w:r w:rsidRPr="00622209">
        <w:tab/>
        <w:t>The instrument appointing the person to that office has effect, after the transition time, as if it were an instrument made by the Minister under section</w:t>
      </w:r>
      <w:r w:rsidR="00622209" w:rsidRPr="00622209">
        <w:t> </w:t>
      </w:r>
      <w:r w:rsidR="00F630D8" w:rsidRPr="00622209">
        <w:t>17</w:t>
      </w:r>
      <w:r w:rsidRPr="00622209">
        <w:t xml:space="preserve"> of the new Act appointing the person, for the remainder of the period of the person’s appointment to th</w:t>
      </w:r>
      <w:r w:rsidR="003C56E2" w:rsidRPr="00622209">
        <w:t>at</w:t>
      </w:r>
      <w:r w:rsidRPr="00622209">
        <w:t xml:space="preserve"> office, to the office of Chair of the new Board.</w:t>
      </w:r>
    </w:p>
    <w:p w:rsidR="003B3704" w:rsidRPr="00622209" w:rsidRDefault="003B3704" w:rsidP="00622209">
      <w:pPr>
        <w:pStyle w:val="Subitem"/>
      </w:pPr>
      <w:r w:rsidRPr="00622209">
        <w:t>(3)</w:t>
      </w:r>
      <w:r w:rsidRPr="00622209">
        <w:tab/>
        <w:t xml:space="preserve">A determination, in relation to the Chairperson of the old Council, that is in force immediately before the transition time under the </w:t>
      </w:r>
      <w:r w:rsidRPr="00622209">
        <w:rPr>
          <w:i/>
        </w:rPr>
        <w:t>Remuneration Tribunal Act 1973</w:t>
      </w:r>
      <w:r w:rsidRPr="00622209">
        <w:t xml:space="preserve"> has effect after the transition time as if it were a determination in relation to the Chair of the new Board.</w:t>
      </w:r>
    </w:p>
    <w:p w:rsidR="00A31663" w:rsidRPr="00622209" w:rsidRDefault="00A31663" w:rsidP="00622209">
      <w:pPr>
        <w:pStyle w:val="SubitemHead"/>
      </w:pPr>
      <w:r w:rsidRPr="00622209">
        <w:t>Deputy Chairperson</w:t>
      </w:r>
    </w:p>
    <w:p w:rsidR="00A31663" w:rsidRPr="00622209" w:rsidRDefault="00A31663" w:rsidP="00622209">
      <w:pPr>
        <w:pStyle w:val="Subitem"/>
      </w:pPr>
      <w:r w:rsidRPr="00622209">
        <w:t>(</w:t>
      </w:r>
      <w:r w:rsidR="003B3704" w:rsidRPr="00622209">
        <w:t>4</w:t>
      </w:r>
      <w:r w:rsidRPr="00622209">
        <w:t>)</w:t>
      </w:r>
      <w:r w:rsidRPr="00622209">
        <w:tab/>
      </w:r>
      <w:r w:rsidR="00622209" w:rsidRPr="00622209">
        <w:t>Subitem (</w:t>
      </w:r>
      <w:r w:rsidR="003B3704" w:rsidRPr="00622209">
        <w:t>5</w:t>
      </w:r>
      <w:r w:rsidRPr="00622209">
        <w:t>) applies to the person who, immediately before the transition time, h</w:t>
      </w:r>
      <w:r w:rsidR="009B5C73" w:rsidRPr="00622209">
        <w:t>o</w:t>
      </w:r>
      <w:r w:rsidRPr="00622209">
        <w:t>ld</w:t>
      </w:r>
      <w:r w:rsidR="009B5C73" w:rsidRPr="00622209">
        <w:t>s</w:t>
      </w:r>
      <w:r w:rsidRPr="00622209">
        <w:t xml:space="preserve"> office as the Deputy Chairperson of the old Council.</w:t>
      </w:r>
    </w:p>
    <w:p w:rsidR="00A31663" w:rsidRPr="00622209" w:rsidRDefault="00A31663" w:rsidP="00622209">
      <w:pPr>
        <w:pStyle w:val="Subitem"/>
      </w:pPr>
      <w:r w:rsidRPr="00622209">
        <w:t>(</w:t>
      </w:r>
      <w:r w:rsidR="003B3704" w:rsidRPr="00622209">
        <w:t>5</w:t>
      </w:r>
      <w:r w:rsidRPr="00622209">
        <w:t>)</w:t>
      </w:r>
      <w:r w:rsidRPr="00622209">
        <w:tab/>
        <w:t>The instrument appointing the person to that office has effect, after the transition time, as if it were an instrument made by the Minister under section</w:t>
      </w:r>
      <w:r w:rsidR="00622209" w:rsidRPr="00622209">
        <w:t> </w:t>
      </w:r>
      <w:r w:rsidR="00F630D8" w:rsidRPr="00622209">
        <w:t>17</w:t>
      </w:r>
      <w:r w:rsidRPr="00622209">
        <w:t xml:space="preserve"> of the new Act appointing the person, for the remainder of the period of the person’s appointment as a member of the old Council, to the office of Deputy Chair of the new Board.</w:t>
      </w:r>
    </w:p>
    <w:p w:rsidR="003B3704" w:rsidRPr="00622209" w:rsidRDefault="003B3704" w:rsidP="00622209">
      <w:pPr>
        <w:pStyle w:val="Subitem"/>
      </w:pPr>
      <w:r w:rsidRPr="00622209">
        <w:t>(6)</w:t>
      </w:r>
      <w:r w:rsidRPr="00622209">
        <w:tab/>
        <w:t xml:space="preserve">A determination, in relation to the Deputy Chairperson of the old Council, that is in force immediately before the transition time under the </w:t>
      </w:r>
      <w:r w:rsidRPr="00622209">
        <w:rPr>
          <w:i/>
        </w:rPr>
        <w:t>Remuneration Tribunal Act 1973</w:t>
      </w:r>
      <w:r w:rsidRPr="00622209">
        <w:t xml:space="preserve"> has effect after the transition time as if it were a determination in relation to the Deputy Chair of the new Board.</w:t>
      </w:r>
    </w:p>
    <w:p w:rsidR="008F655A" w:rsidRPr="00622209" w:rsidRDefault="0098406D" w:rsidP="00622209">
      <w:pPr>
        <w:pStyle w:val="ItemHead"/>
      </w:pPr>
      <w:r w:rsidRPr="00622209">
        <w:t>3</w:t>
      </w:r>
      <w:r w:rsidR="008F655A" w:rsidRPr="00622209">
        <w:t xml:space="preserve">  Continuation of appointment of General Manager</w:t>
      </w:r>
    </w:p>
    <w:p w:rsidR="006A38CE" w:rsidRPr="00622209" w:rsidRDefault="008F655A" w:rsidP="00622209">
      <w:pPr>
        <w:pStyle w:val="Subitem"/>
      </w:pPr>
      <w:r w:rsidRPr="00622209">
        <w:t>(1)</w:t>
      </w:r>
      <w:r w:rsidRPr="00622209">
        <w:tab/>
      </w:r>
      <w:r w:rsidR="00622209" w:rsidRPr="00622209">
        <w:t>Subitem (</w:t>
      </w:r>
      <w:r w:rsidRPr="00622209">
        <w:t>2) applies to the person who, immediately before the transition time</w:t>
      </w:r>
      <w:r w:rsidR="006A38CE" w:rsidRPr="00622209">
        <w:t>:</w:t>
      </w:r>
    </w:p>
    <w:p w:rsidR="008F655A" w:rsidRPr="00622209" w:rsidRDefault="006A38CE" w:rsidP="00622209">
      <w:pPr>
        <w:pStyle w:val="paragraph"/>
      </w:pPr>
      <w:r w:rsidRPr="00622209">
        <w:lastRenderedPageBreak/>
        <w:tab/>
        <w:t>(a)</w:t>
      </w:r>
      <w:r w:rsidRPr="00622209">
        <w:tab/>
      </w:r>
      <w:r w:rsidR="00290D83" w:rsidRPr="00622209">
        <w:t xml:space="preserve">holds office as </w:t>
      </w:r>
      <w:r w:rsidR="00805DBA" w:rsidRPr="00622209">
        <w:t xml:space="preserve">the </w:t>
      </w:r>
      <w:r w:rsidR="008F655A" w:rsidRPr="00622209">
        <w:t>General Manager</w:t>
      </w:r>
      <w:r w:rsidRPr="00622209">
        <w:t xml:space="preserve"> of the old Council; or</w:t>
      </w:r>
    </w:p>
    <w:p w:rsidR="006A38CE" w:rsidRPr="00622209" w:rsidRDefault="006A38CE" w:rsidP="00622209">
      <w:pPr>
        <w:pStyle w:val="paragraph"/>
      </w:pPr>
      <w:r w:rsidRPr="00622209">
        <w:tab/>
        <w:t>(b)</w:t>
      </w:r>
      <w:r w:rsidRPr="00622209">
        <w:tab/>
      </w:r>
      <w:r w:rsidR="00290D83" w:rsidRPr="00622209">
        <w:t xml:space="preserve">if no person holds office as referred to in </w:t>
      </w:r>
      <w:r w:rsidR="00622209" w:rsidRPr="00622209">
        <w:t>paragraph (</w:t>
      </w:r>
      <w:r w:rsidR="00290D83" w:rsidRPr="00622209">
        <w:t>a)—is</w:t>
      </w:r>
      <w:r w:rsidR="00805DBA" w:rsidRPr="00622209">
        <w:t xml:space="preserve"> </w:t>
      </w:r>
      <w:r w:rsidRPr="00622209">
        <w:t xml:space="preserve">acting </w:t>
      </w:r>
      <w:r w:rsidR="00290D83" w:rsidRPr="00622209">
        <w:t xml:space="preserve">as </w:t>
      </w:r>
      <w:r w:rsidRPr="00622209">
        <w:t>General Manager of the old Council.</w:t>
      </w:r>
    </w:p>
    <w:p w:rsidR="00290D83" w:rsidRPr="00622209" w:rsidRDefault="00290D83" w:rsidP="00622209">
      <w:pPr>
        <w:pStyle w:val="Subitem"/>
      </w:pPr>
      <w:r w:rsidRPr="00622209">
        <w:t>(2)</w:t>
      </w:r>
      <w:r w:rsidRPr="00622209">
        <w:tab/>
        <w:t>The instrument appointing the person to that office</w:t>
      </w:r>
      <w:r w:rsidR="00C663B2" w:rsidRPr="00622209">
        <w:t>, or to act in that office,</w:t>
      </w:r>
      <w:r w:rsidRPr="00622209">
        <w:t xml:space="preserve"> has effect, after the transition time, as if it were an instrument made by the new Board under section</w:t>
      </w:r>
      <w:r w:rsidR="00622209" w:rsidRPr="00622209">
        <w:t> </w:t>
      </w:r>
      <w:r w:rsidR="00F630D8" w:rsidRPr="00622209">
        <w:t>36</w:t>
      </w:r>
      <w:r w:rsidRPr="00622209">
        <w:t xml:space="preserve"> of the new Act appointing the person to act as the Chief Executive Officer of the continued Council until the new Board makes an appointment under section</w:t>
      </w:r>
      <w:r w:rsidR="00622209" w:rsidRPr="00622209">
        <w:t> </w:t>
      </w:r>
      <w:r w:rsidR="00F630D8" w:rsidRPr="00622209">
        <w:t>35</w:t>
      </w:r>
      <w:r w:rsidRPr="00622209">
        <w:t xml:space="preserve"> or </w:t>
      </w:r>
      <w:r w:rsidR="00F630D8" w:rsidRPr="00622209">
        <w:t>36</w:t>
      </w:r>
      <w:r w:rsidRPr="00622209">
        <w:t xml:space="preserve"> of the new Act.</w:t>
      </w:r>
    </w:p>
    <w:p w:rsidR="008F655A" w:rsidRPr="00622209" w:rsidRDefault="008F655A" w:rsidP="00622209">
      <w:pPr>
        <w:pStyle w:val="Subitem"/>
      </w:pPr>
      <w:r w:rsidRPr="00622209">
        <w:t>(3)</w:t>
      </w:r>
      <w:r w:rsidRPr="00622209">
        <w:tab/>
        <w:t xml:space="preserve">A determination, in relation to the General Manager of the old Council, that is in force immediately before the transition time under the </w:t>
      </w:r>
      <w:r w:rsidRPr="00622209">
        <w:rPr>
          <w:i/>
        </w:rPr>
        <w:t>Remuneration Tribunal Act 1973</w:t>
      </w:r>
      <w:r w:rsidRPr="00622209">
        <w:t xml:space="preserve"> has effect after the transition time as if it were a determination in relation to the </w:t>
      </w:r>
      <w:r w:rsidR="006A38CE" w:rsidRPr="00622209">
        <w:t xml:space="preserve">Chief Executive Officer of the </w:t>
      </w:r>
      <w:r w:rsidR="00805DBA" w:rsidRPr="00622209">
        <w:t xml:space="preserve">continued </w:t>
      </w:r>
      <w:r w:rsidR="006A38CE" w:rsidRPr="00622209">
        <w:t>Council</w:t>
      </w:r>
      <w:r w:rsidRPr="00622209">
        <w:t>.</w:t>
      </w:r>
    </w:p>
    <w:p w:rsidR="006A38CE" w:rsidRPr="00622209" w:rsidRDefault="006A38CE" w:rsidP="00622209">
      <w:pPr>
        <w:pStyle w:val="Subitem"/>
      </w:pPr>
      <w:r w:rsidRPr="00622209">
        <w:t>(4)</w:t>
      </w:r>
      <w:r w:rsidRPr="00622209">
        <w:tab/>
        <w:t>A determination, in relation to the General Manager of the old Council, that is in force immediately before the transition time under subsection</w:t>
      </w:r>
      <w:r w:rsidR="00622209" w:rsidRPr="00622209">
        <w:t> </w:t>
      </w:r>
      <w:r w:rsidRPr="00622209">
        <w:t>19A(3) of the old Act has effect after the transition time as if it were a determination under section</w:t>
      </w:r>
      <w:r w:rsidR="00622209" w:rsidRPr="00622209">
        <w:t> </w:t>
      </w:r>
      <w:r w:rsidR="00F630D8" w:rsidRPr="00622209">
        <w:t>42</w:t>
      </w:r>
      <w:r w:rsidRPr="00622209">
        <w:t xml:space="preserve"> of the new Act in relation to the Chief Executive Officer of the </w:t>
      </w:r>
      <w:r w:rsidR="00805DBA" w:rsidRPr="00622209">
        <w:t xml:space="preserve">continued </w:t>
      </w:r>
      <w:r w:rsidRPr="00622209">
        <w:t>Council.</w:t>
      </w:r>
    </w:p>
    <w:p w:rsidR="006D29D6" w:rsidRPr="00622209" w:rsidRDefault="0098406D" w:rsidP="00622209">
      <w:pPr>
        <w:pStyle w:val="ItemHead"/>
      </w:pPr>
      <w:r w:rsidRPr="00622209">
        <w:t>4</w:t>
      </w:r>
      <w:r w:rsidR="006D29D6" w:rsidRPr="00622209">
        <w:t xml:space="preserve">  Appointment</w:t>
      </w:r>
      <w:r w:rsidR="005E3A2B" w:rsidRPr="00622209">
        <w:t>s</w:t>
      </w:r>
      <w:r w:rsidR="006D29D6" w:rsidRPr="00622209">
        <w:t xml:space="preserve"> of other members</w:t>
      </w:r>
      <w:r w:rsidR="005E3A2B" w:rsidRPr="00622209">
        <w:t xml:space="preserve"> and officers</w:t>
      </w:r>
    </w:p>
    <w:p w:rsidR="006D29D6" w:rsidRPr="00622209" w:rsidRDefault="006D29D6" w:rsidP="00622209">
      <w:pPr>
        <w:pStyle w:val="Subitem"/>
      </w:pPr>
      <w:r w:rsidRPr="00622209">
        <w:t>(1)</w:t>
      </w:r>
      <w:r w:rsidRPr="00622209">
        <w:tab/>
        <w:t>This item applies to a person who, immediately before the transition time, h</w:t>
      </w:r>
      <w:r w:rsidR="009B5C73" w:rsidRPr="00622209">
        <w:t>o</w:t>
      </w:r>
      <w:r w:rsidRPr="00622209">
        <w:t>ld</w:t>
      </w:r>
      <w:r w:rsidR="009B5C73" w:rsidRPr="00622209">
        <w:t>s</w:t>
      </w:r>
      <w:r w:rsidRPr="00622209">
        <w:t xml:space="preserve"> office as any of the following:</w:t>
      </w:r>
    </w:p>
    <w:p w:rsidR="006D29D6" w:rsidRPr="00622209" w:rsidRDefault="006D29D6" w:rsidP="00622209">
      <w:pPr>
        <w:pStyle w:val="paragraph"/>
      </w:pPr>
      <w:r w:rsidRPr="00622209">
        <w:tab/>
        <w:t>(a)</w:t>
      </w:r>
      <w:r w:rsidRPr="00622209">
        <w:tab/>
        <w:t xml:space="preserve">a member of the old Council (other than the </w:t>
      </w:r>
      <w:r w:rsidR="00C64993" w:rsidRPr="00622209">
        <w:t>Chairperson</w:t>
      </w:r>
      <w:r w:rsidR="008F655A" w:rsidRPr="00622209">
        <w:t>,</w:t>
      </w:r>
      <w:r w:rsidR="00C64993" w:rsidRPr="00622209">
        <w:t xml:space="preserve"> </w:t>
      </w:r>
      <w:r w:rsidRPr="00622209">
        <w:t xml:space="preserve">the Deputy </w:t>
      </w:r>
      <w:r w:rsidR="00C64993" w:rsidRPr="00622209">
        <w:t>Chairperson</w:t>
      </w:r>
      <w:r w:rsidR="008F655A" w:rsidRPr="00622209">
        <w:t xml:space="preserve"> or the General Manager</w:t>
      </w:r>
      <w:r w:rsidRPr="00622209">
        <w:t>);</w:t>
      </w:r>
    </w:p>
    <w:p w:rsidR="006D29D6" w:rsidRPr="00622209" w:rsidRDefault="008F655A" w:rsidP="00622209">
      <w:pPr>
        <w:pStyle w:val="paragraph"/>
      </w:pPr>
      <w:r w:rsidRPr="00622209">
        <w:tab/>
        <w:t>(</w:t>
      </w:r>
      <w:r w:rsidR="00A8304A" w:rsidRPr="00622209">
        <w:t>b</w:t>
      </w:r>
      <w:r w:rsidR="006D29D6" w:rsidRPr="00622209">
        <w:t>)</w:t>
      </w:r>
      <w:r w:rsidR="006D29D6" w:rsidRPr="00622209">
        <w:tab/>
        <w:t>a member of a committee established under section</w:t>
      </w:r>
      <w:r w:rsidR="00622209" w:rsidRPr="00622209">
        <w:t> </w:t>
      </w:r>
      <w:r w:rsidR="006D29D6" w:rsidRPr="00622209">
        <w:t>17A of the old Act;</w:t>
      </w:r>
    </w:p>
    <w:p w:rsidR="00A31663" w:rsidRPr="00622209" w:rsidRDefault="006D29D6" w:rsidP="00622209">
      <w:pPr>
        <w:pStyle w:val="paragraph"/>
      </w:pPr>
      <w:r w:rsidRPr="00622209">
        <w:tab/>
        <w:t>(</w:t>
      </w:r>
      <w:r w:rsidR="00A8304A" w:rsidRPr="00622209">
        <w:t>c</w:t>
      </w:r>
      <w:r w:rsidRPr="00622209">
        <w:t>)</w:t>
      </w:r>
      <w:r w:rsidRPr="00622209">
        <w:tab/>
        <w:t>a member of a Board established under section</w:t>
      </w:r>
      <w:r w:rsidR="00622209" w:rsidRPr="00622209">
        <w:t> </w:t>
      </w:r>
      <w:r w:rsidRPr="00622209">
        <w:t>20 of the old Act</w:t>
      </w:r>
      <w:r w:rsidR="00A31663" w:rsidRPr="00622209">
        <w:t>.</w:t>
      </w:r>
    </w:p>
    <w:p w:rsidR="006D29D6" w:rsidRPr="00622209" w:rsidRDefault="006D29D6" w:rsidP="00622209">
      <w:pPr>
        <w:pStyle w:val="Subitem"/>
      </w:pPr>
      <w:r w:rsidRPr="00622209">
        <w:t>(2)</w:t>
      </w:r>
      <w:r w:rsidRPr="00622209">
        <w:tab/>
        <w:t>The person</w:t>
      </w:r>
      <w:r w:rsidR="00A31663" w:rsidRPr="00622209">
        <w:t xml:space="preserve"> ceases to hold that office </w:t>
      </w:r>
      <w:r w:rsidRPr="00622209">
        <w:t>at the transition time.</w:t>
      </w:r>
    </w:p>
    <w:p w:rsidR="006D29D6" w:rsidRPr="00622209" w:rsidRDefault="006D29D6" w:rsidP="00622209">
      <w:pPr>
        <w:pStyle w:val="Subitem"/>
      </w:pPr>
      <w:r w:rsidRPr="00622209">
        <w:t>(3)</w:t>
      </w:r>
      <w:r w:rsidRPr="00622209">
        <w:tab/>
        <w:t xml:space="preserve">Nothing in this item prevents </w:t>
      </w:r>
      <w:r w:rsidR="00A31663" w:rsidRPr="00622209">
        <w:t>the</w:t>
      </w:r>
      <w:r w:rsidRPr="00622209">
        <w:t xml:space="preserve"> person being appointed to an office under the new Act.</w:t>
      </w:r>
    </w:p>
    <w:p w:rsidR="002A6D5F" w:rsidRPr="00622209" w:rsidRDefault="0098406D" w:rsidP="00622209">
      <w:pPr>
        <w:pStyle w:val="ItemHead"/>
      </w:pPr>
      <w:r w:rsidRPr="00622209">
        <w:lastRenderedPageBreak/>
        <w:t>5</w:t>
      </w:r>
      <w:r w:rsidR="002A6D5F" w:rsidRPr="00622209">
        <w:t xml:space="preserve">  Periods of appointment as member of old Council</w:t>
      </w:r>
    </w:p>
    <w:p w:rsidR="002A6D5F" w:rsidRPr="00622209" w:rsidRDefault="002A6D5F" w:rsidP="00622209">
      <w:pPr>
        <w:pStyle w:val="Item"/>
      </w:pPr>
      <w:r w:rsidRPr="00622209">
        <w:t>The reference in paragraph</w:t>
      </w:r>
      <w:r w:rsidR="00622209" w:rsidRPr="00622209">
        <w:t> </w:t>
      </w:r>
      <w:r w:rsidR="00F630D8" w:rsidRPr="00622209">
        <w:t>17</w:t>
      </w:r>
      <w:r w:rsidRPr="00622209">
        <w:t xml:space="preserve">(7)(b) of the new Act to periods of </w:t>
      </w:r>
      <w:r w:rsidR="00C24DC7" w:rsidRPr="00622209">
        <w:t xml:space="preserve">previous </w:t>
      </w:r>
      <w:r w:rsidRPr="00622209">
        <w:t xml:space="preserve">appointment of a person as an appointed Board member is taken to include </w:t>
      </w:r>
      <w:r w:rsidR="002C39FA" w:rsidRPr="00622209">
        <w:t xml:space="preserve">any period, before the transition time, during which a person held office as a member of the old </w:t>
      </w:r>
      <w:r w:rsidR="005E3A2B" w:rsidRPr="00622209">
        <w:t>Council</w:t>
      </w:r>
      <w:r w:rsidR="002C39FA" w:rsidRPr="00622209">
        <w:t xml:space="preserve"> (other than as a result of subsection</w:t>
      </w:r>
      <w:r w:rsidR="00622209" w:rsidRPr="00622209">
        <w:t> </w:t>
      </w:r>
      <w:r w:rsidR="002C39FA" w:rsidRPr="00622209">
        <w:t>9(4B) of the old Act).</w:t>
      </w:r>
    </w:p>
    <w:p w:rsidR="00F3561B" w:rsidRPr="00622209" w:rsidRDefault="0098406D" w:rsidP="00622209">
      <w:pPr>
        <w:pStyle w:val="ItemHead"/>
      </w:pPr>
      <w:r w:rsidRPr="00622209">
        <w:t>6</w:t>
      </w:r>
      <w:r w:rsidR="00F3561B" w:rsidRPr="00622209">
        <w:t xml:space="preserve">  Appointments of first members of </w:t>
      </w:r>
      <w:r w:rsidR="00555E03" w:rsidRPr="00622209">
        <w:t>new</w:t>
      </w:r>
      <w:r w:rsidR="00F3561B" w:rsidRPr="00622209">
        <w:t xml:space="preserve"> Board</w:t>
      </w:r>
    </w:p>
    <w:p w:rsidR="00F3561B" w:rsidRPr="00622209" w:rsidRDefault="00802CC8" w:rsidP="00622209">
      <w:pPr>
        <w:pStyle w:val="Item"/>
      </w:pPr>
      <w:r w:rsidRPr="00622209">
        <w:t>Subsection</w:t>
      </w:r>
      <w:r w:rsidR="00622209" w:rsidRPr="00622209">
        <w:t> </w:t>
      </w:r>
      <w:r w:rsidR="00F630D8" w:rsidRPr="00622209">
        <w:t>17</w:t>
      </w:r>
      <w:r w:rsidRPr="00622209">
        <w:t xml:space="preserve">(2) of the new Act </w:t>
      </w:r>
      <w:r w:rsidR="00C25800" w:rsidRPr="00622209">
        <w:t>applies,</w:t>
      </w:r>
      <w:r w:rsidRPr="00622209">
        <w:t xml:space="preserve"> in relation to a</w:t>
      </w:r>
      <w:r w:rsidR="00C25800" w:rsidRPr="00622209">
        <w:t xml:space="preserve"> proposed</w:t>
      </w:r>
      <w:r w:rsidRPr="00622209">
        <w:t xml:space="preserve"> appointment of a member of the new Board before the transition time in accordance with section</w:t>
      </w:r>
      <w:r w:rsidR="00622209" w:rsidRPr="00622209">
        <w:t> </w:t>
      </w:r>
      <w:r w:rsidRPr="00622209">
        <w:t xml:space="preserve">4 of the </w:t>
      </w:r>
      <w:r w:rsidRPr="00622209">
        <w:rPr>
          <w:i/>
        </w:rPr>
        <w:t>Acts Interpretation Act 1901</w:t>
      </w:r>
      <w:r w:rsidR="00C25800" w:rsidRPr="00622209">
        <w:t>, as if the first reference to the Chair in that subsection were a reference to the Chairperson of the old Council</w:t>
      </w:r>
      <w:r w:rsidRPr="00622209">
        <w:t>.</w:t>
      </w:r>
    </w:p>
    <w:p w:rsidR="004C61AF" w:rsidRPr="00622209" w:rsidRDefault="00083C19" w:rsidP="00622209">
      <w:pPr>
        <w:pStyle w:val="ActHead7"/>
        <w:pageBreakBefore/>
      </w:pPr>
      <w:bookmarkStart w:id="13" w:name="_Toc361124913"/>
      <w:r w:rsidRPr="00622209">
        <w:rPr>
          <w:rStyle w:val="CharAmPartNo"/>
        </w:rPr>
        <w:lastRenderedPageBreak/>
        <w:t>Part</w:t>
      </w:r>
      <w:r w:rsidR="00622209" w:rsidRPr="00622209">
        <w:rPr>
          <w:rStyle w:val="CharAmPartNo"/>
        </w:rPr>
        <w:t> </w:t>
      </w:r>
      <w:r w:rsidRPr="00622209">
        <w:rPr>
          <w:rStyle w:val="CharAmPartNo"/>
        </w:rPr>
        <w:t>3</w:t>
      </w:r>
      <w:r w:rsidR="004C61AF" w:rsidRPr="00622209">
        <w:t>—</w:t>
      </w:r>
      <w:r w:rsidR="004C61AF" w:rsidRPr="00622209">
        <w:rPr>
          <w:rStyle w:val="CharAmPartText"/>
        </w:rPr>
        <w:t xml:space="preserve">Effect of the </w:t>
      </w:r>
      <w:r w:rsidR="007B3D08" w:rsidRPr="00622209">
        <w:rPr>
          <w:rStyle w:val="CharAmPartText"/>
        </w:rPr>
        <w:t>Council</w:t>
      </w:r>
      <w:r w:rsidR="004C61AF" w:rsidRPr="00622209">
        <w:rPr>
          <w:rStyle w:val="CharAmPartText"/>
        </w:rPr>
        <w:t xml:space="preserve"> transition</w:t>
      </w:r>
      <w:bookmarkEnd w:id="13"/>
    </w:p>
    <w:p w:rsidR="004C61AF" w:rsidRPr="00622209" w:rsidRDefault="0098406D" w:rsidP="00622209">
      <w:pPr>
        <w:pStyle w:val="ItemHead"/>
      </w:pPr>
      <w:r w:rsidRPr="00622209">
        <w:t>7</w:t>
      </w:r>
      <w:r w:rsidR="004C61AF" w:rsidRPr="00622209">
        <w:t xml:space="preserve">  Object</w:t>
      </w:r>
    </w:p>
    <w:p w:rsidR="004C61AF" w:rsidRPr="00622209" w:rsidRDefault="004C61AF" w:rsidP="00622209">
      <w:pPr>
        <w:pStyle w:val="Subitem"/>
      </w:pPr>
      <w:r w:rsidRPr="00622209">
        <w:t>(1)</w:t>
      </w:r>
      <w:r w:rsidRPr="00622209">
        <w:tab/>
        <w:t xml:space="preserve">The object of this </w:t>
      </w:r>
      <w:r w:rsidR="007E6778" w:rsidRPr="00622209">
        <w:t>Part</w:t>
      </w:r>
      <w:r w:rsidRPr="00622209">
        <w:t xml:space="preserve"> is to avoid doubt about the effect of the </w:t>
      </w:r>
      <w:r w:rsidR="007B3D08" w:rsidRPr="00622209">
        <w:t>Council</w:t>
      </w:r>
      <w:r w:rsidRPr="00622209">
        <w:t xml:space="preserve"> transition on certain matters.</w:t>
      </w:r>
    </w:p>
    <w:p w:rsidR="004C61AF" w:rsidRPr="00622209" w:rsidRDefault="004C61AF" w:rsidP="00622209">
      <w:pPr>
        <w:pStyle w:val="Subitem"/>
      </w:pPr>
      <w:r w:rsidRPr="00622209">
        <w:t>(2)</w:t>
      </w:r>
      <w:r w:rsidRPr="00622209">
        <w:tab/>
        <w:t xml:space="preserve">This </w:t>
      </w:r>
      <w:r w:rsidR="007E6778" w:rsidRPr="00622209">
        <w:t>Part</w:t>
      </w:r>
      <w:r w:rsidRPr="00622209">
        <w:t xml:space="preserve"> has effect subject to the other provisions of this Schedule.</w:t>
      </w:r>
    </w:p>
    <w:p w:rsidR="004C61AF" w:rsidRPr="00622209" w:rsidRDefault="0098406D" w:rsidP="00622209">
      <w:pPr>
        <w:pStyle w:val="ItemHead"/>
      </w:pPr>
      <w:r w:rsidRPr="00622209">
        <w:t>8</w:t>
      </w:r>
      <w:r w:rsidR="004C61AF" w:rsidRPr="00622209">
        <w:t xml:space="preserve">  </w:t>
      </w:r>
      <w:r w:rsidR="007B3D08" w:rsidRPr="00622209">
        <w:t>Employees</w:t>
      </w:r>
      <w:r w:rsidR="004C61AF" w:rsidRPr="00622209">
        <w:t xml:space="preserve"> of old </w:t>
      </w:r>
      <w:r w:rsidR="007B3D08" w:rsidRPr="00622209">
        <w:t>Council</w:t>
      </w:r>
    </w:p>
    <w:p w:rsidR="004C61AF" w:rsidRPr="00622209" w:rsidRDefault="004C61AF" w:rsidP="00622209">
      <w:pPr>
        <w:pStyle w:val="Subitem"/>
      </w:pPr>
      <w:r w:rsidRPr="00622209">
        <w:t>(1)</w:t>
      </w:r>
      <w:r w:rsidRPr="00622209">
        <w:tab/>
        <w:t xml:space="preserve">The </w:t>
      </w:r>
      <w:r w:rsidR="007B3D08" w:rsidRPr="00622209">
        <w:t>Council</w:t>
      </w:r>
      <w:r w:rsidRPr="00622209">
        <w:t xml:space="preserve"> transition does not affect the continuity of the employment, or the terms and conditions of employment, of the persons who, immediately before the transition time, </w:t>
      </w:r>
      <w:r w:rsidR="007E6778" w:rsidRPr="00622209">
        <w:t>a</w:t>
      </w:r>
      <w:r w:rsidRPr="00622209">
        <w:t xml:space="preserve">re </w:t>
      </w:r>
      <w:r w:rsidR="007B3D08" w:rsidRPr="00622209">
        <w:t>engaged as employees as</w:t>
      </w:r>
      <w:r w:rsidRPr="00622209">
        <w:t xml:space="preserve"> referred to in section</w:t>
      </w:r>
      <w:r w:rsidR="00622209" w:rsidRPr="00622209">
        <w:t> </w:t>
      </w:r>
      <w:r w:rsidRPr="00622209">
        <w:t>4</w:t>
      </w:r>
      <w:r w:rsidR="007B3D08" w:rsidRPr="00622209">
        <w:t>1</w:t>
      </w:r>
      <w:r w:rsidRPr="00622209">
        <w:t xml:space="preserve"> of the old Act.</w:t>
      </w:r>
    </w:p>
    <w:p w:rsidR="004C61AF" w:rsidRPr="00622209" w:rsidRDefault="004C61AF" w:rsidP="00622209">
      <w:pPr>
        <w:pStyle w:val="Subitem"/>
      </w:pPr>
      <w:r w:rsidRPr="00622209">
        <w:t>(2)</w:t>
      </w:r>
      <w:r w:rsidRPr="00622209">
        <w:tab/>
        <w:t xml:space="preserve">Those </w:t>
      </w:r>
      <w:r w:rsidR="007B3D08" w:rsidRPr="00622209">
        <w:t>persons</w:t>
      </w:r>
      <w:r w:rsidRPr="00622209">
        <w:t xml:space="preserve"> are taken, after the transition time, to be </w:t>
      </w:r>
      <w:r w:rsidR="007B3D08" w:rsidRPr="00622209">
        <w:t>employees as</w:t>
      </w:r>
      <w:r w:rsidRPr="00622209">
        <w:t xml:space="preserve"> referred to in section</w:t>
      </w:r>
      <w:r w:rsidR="00622209" w:rsidRPr="00622209">
        <w:t> </w:t>
      </w:r>
      <w:r w:rsidR="00F630D8" w:rsidRPr="00622209">
        <w:t>43</w:t>
      </w:r>
      <w:r w:rsidRPr="00622209">
        <w:t xml:space="preserve"> of the new Act.</w:t>
      </w:r>
    </w:p>
    <w:p w:rsidR="004C61AF" w:rsidRPr="00622209" w:rsidRDefault="0098406D" w:rsidP="00622209">
      <w:pPr>
        <w:pStyle w:val="ItemHead"/>
      </w:pPr>
      <w:r w:rsidRPr="00622209">
        <w:t>9</w:t>
      </w:r>
      <w:r w:rsidR="004C61AF" w:rsidRPr="00622209">
        <w:t xml:space="preserve">  Assets and liabilities of old </w:t>
      </w:r>
      <w:r w:rsidR="007B3D08" w:rsidRPr="00622209">
        <w:t>Council</w:t>
      </w:r>
    </w:p>
    <w:p w:rsidR="004C61AF" w:rsidRPr="00622209" w:rsidRDefault="004C61AF" w:rsidP="00622209">
      <w:pPr>
        <w:pStyle w:val="Item"/>
      </w:pPr>
      <w:r w:rsidRPr="00622209">
        <w:t xml:space="preserve">Assets and liabilities of the old </w:t>
      </w:r>
      <w:r w:rsidR="007B3D08" w:rsidRPr="00622209">
        <w:t>Council</w:t>
      </w:r>
      <w:r w:rsidRPr="00622209">
        <w:t xml:space="preserve"> immediately before the transition time continue,</w:t>
      </w:r>
      <w:r w:rsidRPr="00622209">
        <w:rPr>
          <w:i/>
        </w:rPr>
        <w:t xml:space="preserve"> </w:t>
      </w:r>
      <w:r w:rsidRPr="00622209">
        <w:t xml:space="preserve">after the transition time, to be assets and liabilities of the continued </w:t>
      </w:r>
      <w:r w:rsidR="007B3D08" w:rsidRPr="00622209">
        <w:t xml:space="preserve">Council </w:t>
      </w:r>
      <w:r w:rsidRPr="00622209">
        <w:t>(without any conveyance, transfer or assignment).</w:t>
      </w:r>
    </w:p>
    <w:p w:rsidR="004C61AF" w:rsidRPr="00622209" w:rsidRDefault="0098406D" w:rsidP="00622209">
      <w:pPr>
        <w:pStyle w:val="ItemHead"/>
      </w:pPr>
      <w:r w:rsidRPr="00622209">
        <w:t>10</w:t>
      </w:r>
      <w:r w:rsidR="004C61AF" w:rsidRPr="00622209">
        <w:t xml:space="preserve">  References in instruments to old </w:t>
      </w:r>
      <w:r w:rsidR="007B3D08" w:rsidRPr="00622209">
        <w:t>Council</w:t>
      </w:r>
    </w:p>
    <w:p w:rsidR="004C61AF" w:rsidRPr="00622209" w:rsidRDefault="004C61AF" w:rsidP="00622209">
      <w:pPr>
        <w:pStyle w:val="Item"/>
      </w:pPr>
      <w:r w:rsidRPr="00622209">
        <w:t xml:space="preserve">A reference to the old </w:t>
      </w:r>
      <w:r w:rsidR="007B3D08" w:rsidRPr="00622209">
        <w:t xml:space="preserve">Council </w:t>
      </w:r>
      <w:r w:rsidRPr="00622209">
        <w:t xml:space="preserve">in an instrument that is in force immediately before the transition time has </w:t>
      </w:r>
      <w:r w:rsidR="00555E03" w:rsidRPr="00622209">
        <w:t>e</w:t>
      </w:r>
      <w:r w:rsidRPr="00622209">
        <w:t>ffect,</w:t>
      </w:r>
      <w:r w:rsidRPr="00622209">
        <w:rPr>
          <w:i/>
        </w:rPr>
        <w:t xml:space="preserve"> </w:t>
      </w:r>
      <w:r w:rsidRPr="00622209">
        <w:t>after the transition time, as a reference to the continued</w:t>
      </w:r>
      <w:r w:rsidR="007B3D08" w:rsidRPr="00622209">
        <w:t xml:space="preserve"> Council</w:t>
      </w:r>
      <w:r w:rsidRPr="00622209">
        <w:t>.</w:t>
      </w:r>
    </w:p>
    <w:p w:rsidR="004C61AF" w:rsidRPr="00622209" w:rsidRDefault="0098406D" w:rsidP="00622209">
      <w:pPr>
        <w:pStyle w:val="ItemHead"/>
      </w:pPr>
      <w:r w:rsidRPr="00622209">
        <w:t>11</w:t>
      </w:r>
      <w:r w:rsidR="004C61AF" w:rsidRPr="00622209">
        <w:t xml:space="preserve">  Effect of things done by, or in relation to, the old </w:t>
      </w:r>
      <w:r w:rsidR="007B3D08" w:rsidRPr="00622209">
        <w:t>Council</w:t>
      </w:r>
    </w:p>
    <w:p w:rsidR="004C61AF" w:rsidRPr="00622209" w:rsidRDefault="004C61AF" w:rsidP="00622209">
      <w:pPr>
        <w:pStyle w:val="Item"/>
      </w:pPr>
      <w:r w:rsidRPr="00622209">
        <w:t xml:space="preserve">A thing done by, or in relation to, the old </w:t>
      </w:r>
      <w:r w:rsidR="007B3D08" w:rsidRPr="00622209">
        <w:t>Council</w:t>
      </w:r>
      <w:r w:rsidRPr="00622209">
        <w:t xml:space="preserve"> before the transition time has effect, after the transition time, as if it had been done by, or in relation to, the continued </w:t>
      </w:r>
      <w:r w:rsidR="007B3D08" w:rsidRPr="00622209">
        <w:t>Council</w:t>
      </w:r>
      <w:r w:rsidRPr="00622209">
        <w:t>.</w:t>
      </w:r>
    </w:p>
    <w:p w:rsidR="004C61AF" w:rsidRPr="00622209" w:rsidRDefault="0098406D" w:rsidP="00622209">
      <w:pPr>
        <w:pStyle w:val="ItemHead"/>
      </w:pPr>
      <w:r w:rsidRPr="00622209">
        <w:t>12</w:t>
      </w:r>
      <w:r w:rsidR="004C61AF" w:rsidRPr="00622209">
        <w:t xml:space="preserve">  Legal proceedings</w:t>
      </w:r>
    </w:p>
    <w:p w:rsidR="004C61AF" w:rsidRPr="00622209" w:rsidRDefault="004C61AF" w:rsidP="00622209">
      <w:pPr>
        <w:pStyle w:val="Item"/>
      </w:pPr>
      <w:r w:rsidRPr="00622209">
        <w:t xml:space="preserve">If any proceedings to which the old </w:t>
      </w:r>
      <w:r w:rsidR="007B3D08" w:rsidRPr="00622209">
        <w:t xml:space="preserve">Council </w:t>
      </w:r>
      <w:r w:rsidR="009B5C73" w:rsidRPr="00622209">
        <w:t>i</w:t>
      </w:r>
      <w:r w:rsidRPr="00622209">
        <w:t xml:space="preserve">s a party </w:t>
      </w:r>
      <w:r w:rsidR="009B5C73" w:rsidRPr="00622209">
        <w:t>a</w:t>
      </w:r>
      <w:r w:rsidRPr="00622209">
        <w:t xml:space="preserve">re pending in a court or tribunal immediately before the transition time, the continued </w:t>
      </w:r>
      <w:r w:rsidR="007B3D08" w:rsidRPr="00622209">
        <w:t xml:space="preserve">Council </w:t>
      </w:r>
      <w:r w:rsidRPr="00622209">
        <w:t>is, after the transition time, that party to those proceedings.</w:t>
      </w:r>
    </w:p>
    <w:p w:rsidR="004C61AF" w:rsidRPr="00622209" w:rsidRDefault="00083C19" w:rsidP="00622209">
      <w:pPr>
        <w:pStyle w:val="ActHead7"/>
        <w:pageBreakBefore/>
      </w:pPr>
      <w:bookmarkStart w:id="14" w:name="_Toc361124914"/>
      <w:r w:rsidRPr="00622209">
        <w:rPr>
          <w:rStyle w:val="CharAmPartNo"/>
        </w:rPr>
        <w:lastRenderedPageBreak/>
        <w:t>Part</w:t>
      </w:r>
      <w:r w:rsidR="00622209" w:rsidRPr="00622209">
        <w:rPr>
          <w:rStyle w:val="CharAmPartNo"/>
        </w:rPr>
        <w:t> </w:t>
      </w:r>
      <w:r w:rsidRPr="00622209">
        <w:rPr>
          <w:rStyle w:val="CharAmPartNo"/>
        </w:rPr>
        <w:t>4</w:t>
      </w:r>
      <w:r w:rsidR="004C61AF" w:rsidRPr="00622209">
        <w:t>—</w:t>
      </w:r>
      <w:r w:rsidR="004C61AF" w:rsidRPr="00622209">
        <w:rPr>
          <w:rStyle w:val="CharAmPartText"/>
        </w:rPr>
        <w:t>Reporting obligations</w:t>
      </w:r>
      <w:bookmarkEnd w:id="14"/>
    </w:p>
    <w:p w:rsidR="004F7F0F" w:rsidRPr="00622209" w:rsidRDefault="0098406D" w:rsidP="00622209">
      <w:pPr>
        <w:pStyle w:val="ItemHead"/>
      </w:pPr>
      <w:r w:rsidRPr="00622209">
        <w:t>1</w:t>
      </w:r>
      <w:r w:rsidR="00190148" w:rsidRPr="00622209">
        <w:t>3</w:t>
      </w:r>
      <w:r w:rsidR="004F7F0F" w:rsidRPr="00622209">
        <w:t xml:space="preserve">  Final annual report of the old Council</w:t>
      </w:r>
    </w:p>
    <w:p w:rsidR="004F7F0F" w:rsidRPr="00622209" w:rsidRDefault="004F7F0F" w:rsidP="00622209">
      <w:pPr>
        <w:pStyle w:val="Subitem"/>
      </w:pPr>
      <w:r w:rsidRPr="00622209">
        <w:t>(1)</w:t>
      </w:r>
      <w:r w:rsidRPr="00622209">
        <w:tab/>
        <w:t xml:space="preserve">The members of the </w:t>
      </w:r>
      <w:r w:rsidR="00B3027D" w:rsidRPr="00622209">
        <w:t xml:space="preserve">new </w:t>
      </w:r>
      <w:r w:rsidRPr="00622209">
        <w:t>Board must prepare a report in accordance with Schedule</w:t>
      </w:r>
      <w:r w:rsidR="00622209" w:rsidRPr="00622209">
        <w:t> </w:t>
      </w:r>
      <w:r w:rsidRPr="00622209">
        <w:t xml:space="preserve">1 to the </w:t>
      </w:r>
      <w:r w:rsidRPr="00622209">
        <w:rPr>
          <w:i/>
        </w:rPr>
        <w:t>Commonwealth Authorities and Companies Act 1997</w:t>
      </w:r>
      <w:r w:rsidRPr="00622209">
        <w:t xml:space="preserve"> for </w:t>
      </w:r>
      <w:r w:rsidR="00B3027D" w:rsidRPr="00622209">
        <w:t>the old Council</w:t>
      </w:r>
      <w:r w:rsidRPr="00622209">
        <w:t xml:space="preserve"> for the transitional reporting period.</w:t>
      </w:r>
    </w:p>
    <w:p w:rsidR="004F7F0F" w:rsidRPr="00622209" w:rsidRDefault="004F7F0F" w:rsidP="00622209">
      <w:pPr>
        <w:pStyle w:val="Subitem"/>
      </w:pPr>
      <w:r w:rsidRPr="00622209">
        <w:t>(2)</w:t>
      </w:r>
      <w:r w:rsidRPr="00622209">
        <w:tab/>
        <w:t xml:space="preserve">However, the report need not cover a period that has already been covered by a report given to the Minister by the members of </w:t>
      </w:r>
      <w:r w:rsidR="00B3027D" w:rsidRPr="00622209">
        <w:t>the old Council</w:t>
      </w:r>
      <w:r w:rsidRPr="00622209">
        <w:t xml:space="preserve"> under section</w:t>
      </w:r>
      <w:r w:rsidR="00622209" w:rsidRPr="00622209">
        <w:t> </w:t>
      </w:r>
      <w:r w:rsidRPr="00622209">
        <w:t xml:space="preserve">9 of the </w:t>
      </w:r>
      <w:r w:rsidRPr="00622209">
        <w:rPr>
          <w:i/>
        </w:rPr>
        <w:t>Commonwealth Authorities and Companies Act 1997</w:t>
      </w:r>
      <w:r w:rsidRPr="00622209">
        <w:t>.</w:t>
      </w:r>
    </w:p>
    <w:p w:rsidR="004F7F0F" w:rsidRPr="00622209" w:rsidRDefault="004F7F0F" w:rsidP="00622209">
      <w:pPr>
        <w:pStyle w:val="Subitem"/>
      </w:pPr>
      <w:r w:rsidRPr="00622209">
        <w:t>(3)</w:t>
      </w:r>
      <w:r w:rsidRPr="00622209">
        <w:tab/>
        <w:t>The report must include the matters described in subsection</w:t>
      </w:r>
      <w:r w:rsidR="00622209" w:rsidRPr="00622209">
        <w:t> </w:t>
      </w:r>
      <w:r w:rsidR="00367DFF" w:rsidRPr="00622209">
        <w:t xml:space="preserve">38(1) </w:t>
      </w:r>
      <w:r w:rsidRPr="00622209">
        <w:t xml:space="preserve">of the </w:t>
      </w:r>
      <w:r w:rsidR="00367DFF" w:rsidRPr="00622209">
        <w:t>old Act</w:t>
      </w:r>
      <w:r w:rsidRPr="00622209">
        <w:t xml:space="preserve"> as in force immediately before the transition time.</w:t>
      </w:r>
    </w:p>
    <w:p w:rsidR="004F7F0F" w:rsidRPr="00622209" w:rsidRDefault="004F7F0F" w:rsidP="00622209">
      <w:pPr>
        <w:pStyle w:val="Subitem"/>
      </w:pPr>
      <w:r w:rsidRPr="00622209">
        <w:t>(4)</w:t>
      </w:r>
      <w:r w:rsidRPr="00622209">
        <w:tab/>
        <w:t>Schedule</w:t>
      </w:r>
      <w:r w:rsidR="00622209" w:rsidRPr="00622209">
        <w:t> </w:t>
      </w:r>
      <w:r w:rsidRPr="00622209">
        <w:t xml:space="preserve">1 to the </w:t>
      </w:r>
      <w:r w:rsidRPr="00622209">
        <w:rPr>
          <w:i/>
        </w:rPr>
        <w:t>Commonwealth Authorities and Companies Act 1997</w:t>
      </w:r>
      <w:r w:rsidRPr="00622209">
        <w:t>, and the Finance Minister’s Orders referred to in that Schedule, apply in relation to the report as if:</w:t>
      </w:r>
    </w:p>
    <w:p w:rsidR="004F7F0F" w:rsidRPr="00622209" w:rsidRDefault="004F7F0F" w:rsidP="00622209">
      <w:pPr>
        <w:pStyle w:val="paragraph"/>
      </w:pPr>
      <w:r w:rsidRPr="00622209">
        <w:tab/>
        <w:t>(a)</w:t>
      </w:r>
      <w:r w:rsidRPr="00622209">
        <w:tab/>
        <w:t xml:space="preserve">references in that Schedule, or those Orders, to the directors were references to the members of the </w:t>
      </w:r>
      <w:r w:rsidR="00B3027D" w:rsidRPr="00622209">
        <w:t xml:space="preserve">new </w:t>
      </w:r>
      <w:r w:rsidRPr="00622209">
        <w:t>Board; and</w:t>
      </w:r>
    </w:p>
    <w:p w:rsidR="004F7F0F" w:rsidRPr="00622209" w:rsidRDefault="004F7F0F" w:rsidP="00622209">
      <w:pPr>
        <w:pStyle w:val="paragraph"/>
      </w:pPr>
      <w:r w:rsidRPr="00622209">
        <w:tab/>
        <w:t>(b)</w:t>
      </w:r>
      <w:r w:rsidRPr="00622209">
        <w:tab/>
        <w:t>references in that Schedule, or those Orders, to an annual report were references to the report; and</w:t>
      </w:r>
    </w:p>
    <w:p w:rsidR="004F7F0F" w:rsidRPr="00622209" w:rsidRDefault="004F7F0F" w:rsidP="00622209">
      <w:pPr>
        <w:pStyle w:val="paragraph"/>
      </w:pPr>
      <w:r w:rsidRPr="00622209">
        <w:tab/>
        <w:t>(c)</w:t>
      </w:r>
      <w:r w:rsidRPr="00622209">
        <w:tab/>
        <w:t>references in that Schedule, or those Orders, to a financial year were references to the transitional reporting period.</w:t>
      </w:r>
    </w:p>
    <w:p w:rsidR="004F7F0F" w:rsidRPr="00622209" w:rsidRDefault="004F7F0F" w:rsidP="00622209">
      <w:pPr>
        <w:pStyle w:val="Subitem"/>
      </w:pPr>
      <w:r w:rsidRPr="00622209">
        <w:t>(5)</w:t>
      </w:r>
      <w:r w:rsidRPr="00622209">
        <w:tab/>
        <w:t xml:space="preserve">The members of the </w:t>
      </w:r>
      <w:r w:rsidR="00B3027D" w:rsidRPr="00622209">
        <w:t xml:space="preserve">new </w:t>
      </w:r>
      <w:r w:rsidRPr="00622209">
        <w:t>Board must give the report to the Minister by the 15th day of the fourth month after the end of the transitional reporting period. The Minister may grant an extension of time in special circumstances.</w:t>
      </w:r>
    </w:p>
    <w:p w:rsidR="004F7F0F" w:rsidRPr="00622209" w:rsidRDefault="004F7F0F" w:rsidP="00622209">
      <w:pPr>
        <w:pStyle w:val="Subitem"/>
      </w:pPr>
      <w:r w:rsidRPr="00622209">
        <w:t>(6)</w:t>
      </w:r>
      <w:r w:rsidRPr="00622209">
        <w:tab/>
        <w:t>The Minister must table the report in each House of the Parliament as soon as practicable.</w:t>
      </w:r>
    </w:p>
    <w:p w:rsidR="004F7F0F" w:rsidRPr="00622209" w:rsidRDefault="004F7F0F" w:rsidP="00622209">
      <w:pPr>
        <w:pStyle w:val="Subitem"/>
      </w:pPr>
      <w:r w:rsidRPr="00622209">
        <w:t>(7)</w:t>
      </w:r>
      <w:r w:rsidRPr="00622209">
        <w:tab/>
        <w:t>In this item:</w:t>
      </w:r>
    </w:p>
    <w:p w:rsidR="004F7F0F" w:rsidRPr="00622209" w:rsidRDefault="004F7F0F" w:rsidP="00622209">
      <w:pPr>
        <w:pStyle w:val="Item"/>
      </w:pPr>
      <w:r w:rsidRPr="00622209">
        <w:rPr>
          <w:b/>
          <w:i/>
        </w:rPr>
        <w:t>transitional reporting period</w:t>
      </w:r>
      <w:r w:rsidRPr="00622209">
        <w:t xml:space="preserve"> means the period beginning at the start of the financial year before the financial year in which the transition time occurs and ending immediately before the transition time.</w:t>
      </w:r>
    </w:p>
    <w:p w:rsidR="004F7F0F" w:rsidRPr="00622209" w:rsidRDefault="0098406D" w:rsidP="00622209">
      <w:pPr>
        <w:pStyle w:val="ItemHead"/>
      </w:pPr>
      <w:r w:rsidRPr="00622209">
        <w:lastRenderedPageBreak/>
        <w:t>1</w:t>
      </w:r>
      <w:r w:rsidR="00190148" w:rsidRPr="00622209">
        <w:t>4</w:t>
      </w:r>
      <w:r w:rsidR="004F7F0F" w:rsidRPr="00622209">
        <w:t xml:space="preserve">  Contravention of final annual reporting requirement</w:t>
      </w:r>
    </w:p>
    <w:p w:rsidR="004F7F0F" w:rsidRPr="00622209" w:rsidRDefault="004F7F0F" w:rsidP="00622209">
      <w:pPr>
        <w:pStyle w:val="Subitem"/>
      </w:pPr>
      <w:r w:rsidRPr="00622209">
        <w:t>(1)</w:t>
      </w:r>
      <w:r w:rsidRPr="00622209">
        <w:tab/>
        <w:t xml:space="preserve">If a final annual reporting requirement is contravened, each member of the </w:t>
      </w:r>
      <w:r w:rsidR="00B3027D" w:rsidRPr="00622209">
        <w:t xml:space="preserve">new </w:t>
      </w:r>
      <w:r w:rsidRPr="00622209">
        <w:t>Board who:</w:t>
      </w:r>
    </w:p>
    <w:p w:rsidR="004F7F0F" w:rsidRPr="00622209" w:rsidRDefault="004F7F0F" w:rsidP="00622209">
      <w:pPr>
        <w:pStyle w:val="paragraph"/>
      </w:pPr>
      <w:r w:rsidRPr="00622209">
        <w:tab/>
        <w:t>(a)</w:t>
      </w:r>
      <w:r w:rsidRPr="00622209">
        <w:tab/>
        <w:t>caused the contravention; or</w:t>
      </w:r>
    </w:p>
    <w:p w:rsidR="004F7F0F" w:rsidRPr="00622209" w:rsidRDefault="004F7F0F" w:rsidP="00622209">
      <w:pPr>
        <w:pStyle w:val="paragraph"/>
      </w:pPr>
      <w:r w:rsidRPr="00622209">
        <w:tab/>
        <w:t>(b)</w:t>
      </w:r>
      <w:r w:rsidRPr="00622209">
        <w:tab/>
        <w:t>failed to take all reasonable steps to comply with the requirement, or secure compliance with the requirement;</w:t>
      </w:r>
    </w:p>
    <w:p w:rsidR="004F7F0F" w:rsidRPr="00622209" w:rsidRDefault="004F7F0F" w:rsidP="00622209">
      <w:pPr>
        <w:pStyle w:val="Item"/>
      </w:pPr>
      <w:r w:rsidRPr="00622209">
        <w:t>contravenes this subitem.</w:t>
      </w:r>
    </w:p>
    <w:p w:rsidR="004F7F0F" w:rsidRPr="00622209" w:rsidRDefault="004F7F0F" w:rsidP="00622209">
      <w:pPr>
        <w:pStyle w:val="Subitem"/>
      </w:pPr>
      <w:r w:rsidRPr="00622209">
        <w:t>(2)</w:t>
      </w:r>
      <w:r w:rsidRPr="00622209">
        <w:tab/>
        <w:t>Schedule</w:t>
      </w:r>
      <w:r w:rsidR="00622209" w:rsidRPr="00622209">
        <w:t> </w:t>
      </w:r>
      <w:r w:rsidRPr="00622209">
        <w:t xml:space="preserve">2 to the </w:t>
      </w:r>
      <w:r w:rsidRPr="00622209">
        <w:rPr>
          <w:i/>
        </w:rPr>
        <w:t>Commonwealth Authorities and Companies Act 1997</w:t>
      </w:r>
      <w:r w:rsidRPr="00622209">
        <w:t xml:space="preserve"> applies in relation to a contravention of </w:t>
      </w:r>
      <w:r w:rsidR="00622209" w:rsidRPr="00622209">
        <w:t>subitem (</w:t>
      </w:r>
      <w:r w:rsidRPr="00622209">
        <w:t>1) of this item as if:</w:t>
      </w:r>
    </w:p>
    <w:p w:rsidR="004F7F0F" w:rsidRPr="00622209" w:rsidRDefault="004F7F0F" w:rsidP="00622209">
      <w:pPr>
        <w:pStyle w:val="paragraph"/>
      </w:pPr>
      <w:r w:rsidRPr="00622209">
        <w:tab/>
        <w:t>(a)</w:t>
      </w:r>
      <w:r w:rsidRPr="00622209">
        <w:tab/>
      </w:r>
      <w:r w:rsidR="00622209" w:rsidRPr="00622209">
        <w:t>subitem (</w:t>
      </w:r>
      <w:r w:rsidRPr="00622209">
        <w:t>1) of this item were a civil penalty provision specified in clause</w:t>
      </w:r>
      <w:r w:rsidR="00622209" w:rsidRPr="00622209">
        <w:t> </w:t>
      </w:r>
      <w:r w:rsidRPr="00622209">
        <w:t>1 of that Schedule; and</w:t>
      </w:r>
    </w:p>
    <w:p w:rsidR="004F7F0F" w:rsidRPr="00622209" w:rsidRDefault="004F7F0F" w:rsidP="00622209">
      <w:pPr>
        <w:pStyle w:val="paragraph"/>
      </w:pPr>
      <w:r w:rsidRPr="00622209">
        <w:tab/>
        <w:t>(b)</w:t>
      </w:r>
      <w:r w:rsidRPr="00622209">
        <w:tab/>
        <w:t>subparagraphs</w:t>
      </w:r>
      <w:r w:rsidR="00622209" w:rsidRPr="00622209">
        <w:t> </w:t>
      </w:r>
      <w:r w:rsidRPr="00622209">
        <w:t>3(1)(b)(i) and (ii), clauses</w:t>
      </w:r>
      <w:r w:rsidR="00622209" w:rsidRPr="00622209">
        <w:t> </w:t>
      </w:r>
      <w:r w:rsidRPr="00622209">
        <w:t>4 and 5</w:t>
      </w:r>
      <w:r w:rsidR="009A6F60" w:rsidRPr="00622209">
        <w:t>,</w:t>
      </w:r>
      <w:r w:rsidRPr="00622209">
        <w:t xml:space="preserve"> subclaus</w:t>
      </w:r>
      <w:r w:rsidR="009A6F60" w:rsidRPr="00622209">
        <w:t>e</w:t>
      </w:r>
      <w:r w:rsidR="00622209" w:rsidRPr="00622209">
        <w:t> </w:t>
      </w:r>
      <w:r w:rsidRPr="00622209">
        <w:t>6(2) and paragraph</w:t>
      </w:r>
      <w:r w:rsidR="00622209" w:rsidRPr="00622209">
        <w:t> </w:t>
      </w:r>
      <w:r w:rsidRPr="00622209">
        <w:t>11(c) of that Schedule were omitted; and</w:t>
      </w:r>
    </w:p>
    <w:p w:rsidR="004F7F0F" w:rsidRPr="00622209" w:rsidRDefault="004F7F0F" w:rsidP="00622209">
      <w:pPr>
        <w:pStyle w:val="paragraph"/>
      </w:pPr>
      <w:r w:rsidRPr="00622209">
        <w:tab/>
        <w:t>(c)</w:t>
      </w:r>
      <w:r w:rsidRPr="00622209">
        <w:tab/>
        <w:t>the reference to “or a compensation order” in subclause</w:t>
      </w:r>
      <w:r w:rsidR="00622209" w:rsidRPr="00622209">
        <w:t> </w:t>
      </w:r>
      <w:r w:rsidRPr="00622209">
        <w:t>6(1) were omitted.</w:t>
      </w:r>
    </w:p>
    <w:p w:rsidR="004F7F0F" w:rsidRPr="00622209" w:rsidRDefault="004F7F0F" w:rsidP="00622209">
      <w:pPr>
        <w:pStyle w:val="Subitem"/>
      </w:pPr>
      <w:r w:rsidRPr="00622209">
        <w:t>(3)</w:t>
      </w:r>
      <w:r w:rsidRPr="00622209">
        <w:tab/>
        <w:t>If a contravention of a final annual reporting requirement consists of an omission from the financial statements, it is a defence if the defendant proves that the information omitted was immaterial and did not affect the giving of a true and fair view of the matters required by the Finance Minister’s Orders to be included in the statements.</w:t>
      </w:r>
    </w:p>
    <w:p w:rsidR="004F7F0F" w:rsidRPr="00622209" w:rsidRDefault="004F7F0F" w:rsidP="00622209">
      <w:pPr>
        <w:pStyle w:val="Subitem"/>
      </w:pPr>
      <w:r w:rsidRPr="00622209">
        <w:t>(4)</w:t>
      </w:r>
      <w:r w:rsidRPr="00622209">
        <w:tab/>
        <w:t>In this item:</w:t>
      </w:r>
    </w:p>
    <w:p w:rsidR="004F7F0F" w:rsidRPr="00622209" w:rsidRDefault="004F7F0F" w:rsidP="00622209">
      <w:pPr>
        <w:pStyle w:val="Item"/>
      </w:pPr>
      <w:r w:rsidRPr="00622209">
        <w:rPr>
          <w:b/>
          <w:i/>
        </w:rPr>
        <w:t>final annual reporting requirement</w:t>
      </w:r>
      <w:r w:rsidRPr="00622209">
        <w:t xml:space="preserve"> means subitem</w:t>
      </w:r>
      <w:r w:rsidR="00622209" w:rsidRPr="00622209">
        <w:t> </w:t>
      </w:r>
      <w:r w:rsidR="0098406D" w:rsidRPr="00622209">
        <w:t>1</w:t>
      </w:r>
      <w:r w:rsidR="00190148" w:rsidRPr="00622209">
        <w:t>3</w:t>
      </w:r>
      <w:r w:rsidRPr="00622209">
        <w:t>(1), (3) or (5) of this Schedule.</w:t>
      </w:r>
    </w:p>
    <w:p w:rsidR="004069A3" w:rsidRPr="00622209" w:rsidRDefault="0098406D" w:rsidP="00622209">
      <w:pPr>
        <w:pStyle w:val="ItemHead"/>
      </w:pPr>
      <w:r w:rsidRPr="00622209">
        <w:t>1</w:t>
      </w:r>
      <w:r w:rsidR="00190148" w:rsidRPr="00622209">
        <w:t>5</w:t>
      </w:r>
      <w:r w:rsidR="004069A3" w:rsidRPr="00622209">
        <w:t xml:space="preserve">  First annual report of the continued Council</w:t>
      </w:r>
    </w:p>
    <w:p w:rsidR="00C005B1" w:rsidRPr="00622209" w:rsidRDefault="00C005B1" w:rsidP="00622209">
      <w:pPr>
        <w:pStyle w:val="Item"/>
      </w:pPr>
      <w:r w:rsidRPr="00622209">
        <w:t>The first report prepared by the members of the new Board for the continued Council in accordance with Schedule</w:t>
      </w:r>
      <w:r w:rsidR="00622209" w:rsidRPr="00622209">
        <w:t> </w:t>
      </w:r>
      <w:r w:rsidRPr="00622209">
        <w:t xml:space="preserve">1 to the </w:t>
      </w:r>
      <w:r w:rsidRPr="00622209">
        <w:rPr>
          <w:i/>
        </w:rPr>
        <w:t>Commonwealth Authorities and Companies Act 1997</w:t>
      </w:r>
      <w:r w:rsidRPr="00622209">
        <w:t xml:space="preserve"> need not cover a period that has already been covered by a report given to the Minister under item</w:t>
      </w:r>
      <w:r w:rsidR="00622209" w:rsidRPr="00622209">
        <w:t> </w:t>
      </w:r>
      <w:r w:rsidR="0098406D" w:rsidRPr="00622209">
        <w:t>1</w:t>
      </w:r>
      <w:r w:rsidR="00190148" w:rsidRPr="00622209">
        <w:t>3</w:t>
      </w:r>
      <w:r w:rsidRPr="00622209">
        <w:t xml:space="preserve"> of this Schedule.</w:t>
      </w:r>
    </w:p>
    <w:p w:rsidR="00522A10" w:rsidRPr="00622209" w:rsidRDefault="0098406D" w:rsidP="00622209">
      <w:pPr>
        <w:pStyle w:val="ItemHead"/>
      </w:pPr>
      <w:r w:rsidRPr="00622209">
        <w:t>1</w:t>
      </w:r>
      <w:r w:rsidR="00190148" w:rsidRPr="00622209">
        <w:t>6</w:t>
      </w:r>
      <w:r w:rsidR="00522A10" w:rsidRPr="00622209">
        <w:t xml:space="preserve">  Review of performance in corporate plan</w:t>
      </w:r>
    </w:p>
    <w:p w:rsidR="00522A10" w:rsidRPr="00622209" w:rsidRDefault="00522A10" w:rsidP="00622209">
      <w:pPr>
        <w:pStyle w:val="Item"/>
      </w:pPr>
      <w:r w:rsidRPr="00622209">
        <w:t xml:space="preserve">Paragraph </w:t>
      </w:r>
      <w:r w:rsidR="00F630D8" w:rsidRPr="00622209">
        <w:t>45</w:t>
      </w:r>
      <w:r w:rsidRPr="00622209">
        <w:t>(3)(g) of the new Act does not require a corporate plan to include a review of performance during any period before the first corporate plan comes into effect.</w:t>
      </w:r>
    </w:p>
    <w:p w:rsidR="004C61AF" w:rsidRPr="00622209" w:rsidRDefault="004C61AF" w:rsidP="00622209">
      <w:pPr>
        <w:pStyle w:val="ActHead7"/>
        <w:pageBreakBefore/>
      </w:pPr>
      <w:bookmarkStart w:id="15" w:name="_Toc361124915"/>
      <w:r w:rsidRPr="00622209">
        <w:rPr>
          <w:rStyle w:val="CharAmPartNo"/>
        </w:rPr>
        <w:lastRenderedPageBreak/>
        <w:t>Part</w:t>
      </w:r>
      <w:r w:rsidR="00622209" w:rsidRPr="00622209">
        <w:rPr>
          <w:rStyle w:val="CharAmPartNo"/>
        </w:rPr>
        <w:t> </w:t>
      </w:r>
      <w:r w:rsidR="00083C19" w:rsidRPr="00622209">
        <w:rPr>
          <w:rStyle w:val="CharAmPartNo"/>
        </w:rPr>
        <w:t>5</w:t>
      </w:r>
      <w:r w:rsidRPr="00622209">
        <w:t>—</w:t>
      </w:r>
      <w:r w:rsidRPr="00622209">
        <w:rPr>
          <w:rStyle w:val="CharAmPartText"/>
        </w:rPr>
        <w:t>Miscellaneous</w:t>
      </w:r>
      <w:bookmarkEnd w:id="15"/>
    </w:p>
    <w:p w:rsidR="004C61AF" w:rsidRPr="00622209" w:rsidRDefault="0098406D" w:rsidP="00622209">
      <w:pPr>
        <w:pStyle w:val="ItemHead"/>
      </w:pPr>
      <w:r w:rsidRPr="00622209">
        <w:t>1</w:t>
      </w:r>
      <w:r w:rsidR="00190148" w:rsidRPr="00622209">
        <w:t>7</w:t>
      </w:r>
      <w:r w:rsidR="004C61AF" w:rsidRPr="00622209">
        <w:t xml:space="preserve">  Exemption from stamp duty and other State or Territory taxes</w:t>
      </w:r>
    </w:p>
    <w:p w:rsidR="004C61AF" w:rsidRPr="00622209" w:rsidRDefault="004C61AF" w:rsidP="00622209">
      <w:pPr>
        <w:pStyle w:val="Subitem"/>
      </w:pPr>
      <w:r w:rsidRPr="00622209">
        <w:t>(1)</w:t>
      </w:r>
      <w:r w:rsidRPr="00622209">
        <w:tab/>
        <w:t>No stamp duty or other tax is payable under a law of a State or a Territory in respect of an exempt matter, or anything connected with an exempt matter.</w:t>
      </w:r>
    </w:p>
    <w:p w:rsidR="004C61AF" w:rsidRPr="00622209" w:rsidRDefault="004C61AF" w:rsidP="00622209">
      <w:pPr>
        <w:pStyle w:val="Subitem"/>
      </w:pPr>
      <w:r w:rsidRPr="00622209">
        <w:t>(2)</w:t>
      </w:r>
      <w:r w:rsidRPr="00622209">
        <w:tab/>
        <w:t xml:space="preserve">For the purpose of this item, an </w:t>
      </w:r>
      <w:r w:rsidRPr="00622209">
        <w:rPr>
          <w:b/>
          <w:i/>
        </w:rPr>
        <w:t>exempt matter</w:t>
      </w:r>
      <w:r w:rsidRPr="00622209">
        <w:t xml:space="preserve"> is the operation of this Schedule in any respect.</w:t>
      </w:r>
    </w:p>
    <w:p w:rsidR="004C61AF" w:rsidRPr="00622209" w:rsidRDefault="004C61AF" w:rsidP="00622209">
      <w:pPr>
        <w:pStyle w:val="Subitem"/>
      </w:pPr>
      <w:r w:rsidRPr="00622209">
        <w:t>(3)</w:t>
      </w:r>
      <w:r w:rsidRPr="00622209">
        <w:tab/>
        <w:t>The Minister may certify in writing:</w:t>
      </w:r>
    </w:p>
    <w:p w:rsidR="004C61AF" w:rsidRPr="00622209" w:rsidRDefault="004C61AF" w:rsidP="00622209">
      <w:pPr>
        <w:pStyle w:val="paragraph"/>
      </w:pPr>
      <w:r w:rsidRPr="00622209">
        <w:tab/>
        <w:t>(a)</w:t>
      </w:r>
      <w:r w:rsidRPr="00622209">
        <w:tab/>
        <w:t>that a specified matter is an exempt matter; or</w:t>
      </w:r>
    </w:p>
    <w:p w:rsidR="004C61AF" w:rsidRPr="00622209" w:rsidRDefault="004C61AF" w:rsidP="00622209">
      <w:pPr>
        <w:pStyle w:val="paragraph"/>
      </w:pPr>
      <w:r w:rsidRPr="00622209">
        <w:tab/>
        <w:t>(b)</w:t>
      </w:r>
      <w:r w:rsidRPr="00622209">
        <w:tab/>
        <w:t>that a specified thing was connected with a specified exempt matter.</w:t>
      </w:r>
    </w:p>
    <w:p w:rsidR="004C61AF" w:rsidRPr="00622209" w:rsidRDefault="004C61AF" w:rsidP="00622209">
      <w:pPr>
        <w:pStyle w:val="Subitem"/>
      </w:pPr>
      <w:r w:rsidRPr="00622209">
        <w:t>(4)</w:t>
      </w:r>
      <w:r w:rsidRPr="00622209">
        <w:tab/>
        <w:t xml:space="preserve">In all courts, and for all purposes (other than for the purposes of criminal proceedings), a certificate under </w:t>
      </w:r>
      <w:r w:rsidR="00622209" w:rsidRPr="00622209">
        <w:t>subitem (</w:t>
      </w:r>
      <w:r w:rsidRPr="00622209">
        <w:t>3) is prima facie evidence of the matters stated in the certificate.</w:t>
      </w:r>
    </w:p>
    <w:p w:rsidR="004C61AF" w:rsidRPr="00622209" w:rsidRDefault="004C61AF" w:rsidP="00622209">
      <w:pPr>
        <w:pStyle w:val="Subitem"/>
      </w:pPr>
      <w:r w:rsidRPr="00622209">
        <w:t>(5)</w:t>
      </w:r>
      <w:r w:rsidRPr="00622209">
        <w:tab/>
        <w:t xml:space="preserve">A certificate made under </w:t>
      </w:r>
      <w:r w:rsidR="00622209" w:rsidRPr="00622209">
        <w:t>subitem (</w:t>
      </w:r>
      <w:r w:rsidRPr="00622209">
        <w:t>3) is not a legislative instrument.</w:t>
      </w:r>
    </w:p>
    <w:p w:rsidR="004C61AF" w:rsidRPr="00622209" w:rsidRDefault="0098406D" w:rsidP="00622209">
      <w:pPr>
        <w:pStyle w:val="ItemHead"/>
      </w:pPr>
      <w:r w:rsidRPr="00622209">
        <w:t>1</w:t>
      </w:r>
      <w:r w:rsidR="00190148" w:rsidRPr="00622209">
        <w:t>8</w:t>
      </w:r>
      <w:r w:rsidR="004C61AF" w:rsidRPr="00622209">
        <w:t xml:space="preserve">  </w:t>
      </w:r>
      <w:r w:rsidR="00936D93" w:rsidRPr="00622209">
        <w:t>Rules</w:t>
      </w:r>
    </w:p>
    <w:p w:rsidR="00936D93" w:rsidRPr="00622209" w:rsidRDefault="00936D93" w:rsidP="00622209">
      <w:pPr>
        <w:pStyle w:val="Subitem"/>
      </w:pPr>
      <w:r w:rsidRPr="00622209">
        <w:t>(1)</w:t>
      </w:r>
      <w:r w:rsidRPr="00622209">
        <w:tab/>
        <w:t>The Minister may, by legislative instrument, make rules prescribing matters:</w:t>
      </w:r>
    </w:p>
    <w:p w:rsidR="00936D93" w:rsidRPr="00622209" w:rsidRDefault="00936D93" w:rsidP="00622209">
      <w:pPr>
        <w:pStyle w:val="paragraph"/>
      </w:pPr>
      <w:r w:rsidRPr="00622209">
        <w:tab/>
        <w:t>(a)</w:t>
      </w:r>
      <w:r w:rsidRPr="00622209">
        <w:tab/>
        <w:t xml:space="preserve">required or permitted by this </w:t>
      </w:r>
      <w:r w:rsidR="00C16D3C" w:rsidRPr="00622209">
        <w:t>Act</w:t>
      </w:r>
      <w:r w:rsidRPr="00622209">
        <w:t xml:space="preserve"> to be prescribed</w:t>
      </w:r>
      <w:r w:rsidR="005C714E" w:rsidRPr="00622209">
        <w:t xml:space="preserve"> by the rules</w:t>
      </w:r>
      <w:r w:rsidRPr="00622209">
        <w:t>; or</w:t>
      </w:r>
    </w:p>
    <w:p w:rsidR="00936D93" w:rsidRPr="00622209" w:rsidRDefault="00936D93" w:rsidP="00622209">
      <w:pPr>
        <w:pStyle w:val="paragraph"/>
      </w:pPr>
      <w:r w:rsidRPr="00622209">
        <w:tab/>
        <w:t>(b)</w:t>
      </w:r>
      <w:r w:rsidRPr="00622209">
        <w:tab/>
        <w:t xml:space="preserve">necessary or convenient to be prescribed for carrying out or giving effect to this </w:t>
      </w:r>
      <w:r w:rsidR="00C16D3C" w:rsidRPr="00622209">
        <w:t>Act</w:t>
      </w:r>
      <w:r w:rsidRPr="00622209">
        <w:t>.</w:t>
      </w:r>
    </w:p>
    <w:p w:rsidR="00936D93" w:rsidRPr="00622209" w:rsidRDefault="00936D93" w:rsidP="00622209">
      <w:pPr>
        <w:pStyle w:val="Subitem"/>
      </w:pPr>
      <w:r w:rsidRPr="00622209">
        <w:t>(2)</w:t>
      </w:r>
      <w:r w:rsidRPr="00622209">
        <w:tab/>
      </w:r>
      <w:r w:rsidR="00C16D3C" w:rsidRPr="00622209">
        <w:t>T</w:t>
      </w:r>
      <w:r w:rsidRPr="00622209">
        <w:t>he rules may prescribe matters of a transitional nature (including prescribing any saving or application provisions) relating to:</w:t>
      </w:r>
    </w:p>
    <w:p w:rsidR="00936D93" w:rsidRPr="00622209" w:rsidRDefault="00936D93" w:rsidP="00622209">
      <w:pPr>
        <w:pStyle w:val="paragraph"/>
      </w:pPr>
      <w:r w:rsidRPr="00622209">
        <w:tab/>
        <w:t>(a)</w:t>
      </w:r>
      <w:r w:rsidRPr="00622209">
        <w:tab/>
        <w:t>the repeals or amendments made by this Act; or</w:t>
      </w:r>
    </w:p>
    <w:p w:rsidR="004336F5" w:rsidRDefault="00936D93" w:rsidP="00622209">
      <w:pPr>
        <w:pStyle w:val="paragraph"/>
      </w:pPr>
      <w:r w:rsidRPr="00622209">
        <w:tab/>
        <w:t>(b)</w:t>
      </w:r>
      <w:r w:rsidRPr="00622209">
        <w:tab/>
        <w:t xml:space="preserve">the enactment of this Act or the </w:t>
      </w:r>
      <w:r w:rsidRPr="00622209">
        <w:rPr>
          <w:i/>
        </w:rPr>
        <w:t>Australia Council Act 2013</w:t>
      </w:r>
      <w:r w:rsidRPr="00622209">
        <w:t>.</w:t>
      </w:r>
    </w:p>
    <w:p w:rsidR="000C721D" w:rsidRDefault="000C721D" w:rsidP="00622209">
      <w:pPr>
        <w:pStyle w:val="paragraph"/>
        <w:sectPr w:rsidR="000C721D" w:rsidSect="000C721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70C53" w:rsidRDefault="00470C53">
      <w:pPr>
        <w:pStyle w:val="2ndRd"/>
        <w:keepNext/>
        <w:spacing w:line="260" w:lineRule="atLeast"/>
        <w:rPr>
          <w:i/>
        </w:rPr>
      </w:pPr>
      <w:r>
        <w:lastRenderedPageBreak/>
        <w:t>[</w:t>
      </w:r>
      <w:r>
        <w:rPr>
          <w:i/>
        </w:rPr>
        <w:t>Minister’s second reading speech made in—</w:t>
      </w:r>
    </w:p>
    <w:p w:rsidR="00470C53" w:rsidRDefault="00470C53">
      <w:pPr>
        <w:pStyle w:val="2ndRd"/>
        <w:keepNext/>
        <w:spacing w:line="260" w:lineRule="atLeast"/>
        <w:rPr>
          <w:i/>
        </w:rPr>
      </w:pPr>
      <w:r>
        <w:rPr>
          <w:i/>
        </w:rPr>
        <w:t>House of Representatives on 20 March 2013</w:t>
      </w:r>
    </w:p>
    <w:p w:rsidR="00470C53" w:rsidRDefault="00470C53">
      <w:pPr>
        <w:pStyle w:val="2ndRd"/>
        <w:keepNext/>
        <w:spacing w:line="260" w:lineRule="atLeast"/>
        <w:rPr>
          <w:i/>
        </w:rPr>
      </w:pPr>
      <w:r>
        <w:rPr>
          <w:i/>
        </w:rPr>
        <w:t>Senate on 17 June 2013</w:t>
      </w:r>
      <w:r>
        <w:t>]</w:t>
      </w:r>
    </w:p>
    <w:p w:rsidR="00470C53" w:rsidRDefault="00470C53" w:rsidP="00470C53">
      <w:pPr>
        <w:framePr w:hSpace="180" w:wrap="around" w:vAnchor="text" w:hAnchor="page" w:x="2410" w:y="9659"/>
      </w:pPr>
      <w:r>
        <w:t>(84/13)</w:t>
      </w:r>
    </w:p>
    <w:p w:rsidR="00470C53" w:rsidRDefault="00470C53"/>
    <w:sectPr w:rsidR="00470C53" w:rsidSect="000C721D">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9F" w:rsidRDefault="00537A9F" w:rsidP="0048364F">
      <w:pPr>
        <w:spacing w:line="240" w:lineRule="auto"/>
      </w:pPr>
      <w:r>
        <w:separator/>
      </w:r>
    </w:p>
  </w:endnote>
  <w:endnote w:type="continuationSeparator" w:id="0">
    <w:p w:rsidR="00537A9F" w:rsidRDefault="00537A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09" w:rsidRDefault="00622209" w:rsidP="00622209">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622209">
    <w:pPr>
      <w:pBdr>
        <w:top w:val="single" w:sz="6" w:space="1" w:color="auto"/>
      </w:pBdr>
      <w:spacing w:before="120"/>
      <w:rPr>
        <w:sz w:val="18"/>
      </w:rPr>
    </w:pPr>
  </w:p>
  <w:p w:rsidR="000C721D" w:rsidRPr="00A961C4" w:rsidRDefault="000C721D"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11</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622209">
    <w:pPr>
      <w:pBdr>
        <w:top w:val="single" w:sz="6" w:space="1" w:color="auto"/>
      </w:pBdr>
      <w:spacing w:before="120"/>
      <w:rPr>
        <w:sz w:val="18"/>
      </w:rPr>
    </w:pPr>
  </w:p>
  <w:p w:rsidR="000C721D" w:rsidRPr="00A961C4" w:rsidRDefault="000C721D"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11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3" w:rsidRDefault="00470C53">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70C53" w:rsidRDefault="00470C53"/>
  <w:p w:rsidR="00622209" w:rsidRDefault="00622209" w:rsidP="0062220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6222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622209">
    <w:pPr>
      <w:pBdr>
        <w:top w:val="single" w:sz="6" w:space="1" w:color="auto"/>
      </w:pBdr>
      <w:spacing w:before="120"/>
      <w:rPr>
        <w:sz w:val="18"/>
      </w:rPr>
    </w:pPr>
  </w:p>
  <w:p w:rsidR="00537A9F" w:rsidRPr="00ED79B6" w:rsidRDefault="00537A9F" w:rsidP="0048364F">
    <w:pPr>
      <w:jc w:val="right"/>
      <w:rPr>
        <w:i/>
        <w:sz w:val="18"/>
      </w:rPr>
    </w:pPr>
    <w:r w:rsidRPr="00ED79B6">
      <w:rPr>
        <w:i/>
        <w:sz w:val="18"/>
      </w:rPr>
      <w:fldChar w:fldCharType="begin"/>
    </w:r>
    <w:r w:rsidR="004336F5">
      <w:rPr>
        <w:i/>
        <w:sz w:val="18"/>
      </w:rPr>
      <w:instrText xml:space="preserve"> DOCPROPERTY ShortT </w:instrText>
    </w:r>
    <w:r w:rsidRPr="00ED79B6">
      <w:rPr>
        <w:i/>
        <w:sz w:val="18"/>
      </w:rPr>
      <w:fldChar w:fldCharType="separate"/>
    </w:r>
    <w:r w:rsidR="00412634">
      <w:rPr>
        <w:i/>
        <w:sz w:val="18"/>
      </w:rPr>
      <w:t>Australia Council (Consequential and Transitional Provisions) Act 2013</w:t>
    </w:r>
    <w:r w:rsidRPr="00ED79B6">
      <w:rPr>
        <w:i/>
        <w:sz w:val="18"/>
      </w:rPr>
      <w:fldChar w:fldCharType="end"/>
    </w:r>
    <w:r w:rsidRPr="00ED79B6">
      <w:rPr>
        <w:i/>
        <w:sz w:val="18"/>
      </w:rPr>
      <w:t xml:space="preserve">       </w:t>
    </w:r>
    <w:r w:rsidRPr="00ED79B6">
      <w:rPr>
        <w:i/>
        <w:sz w:val="18"/>
      </w:rPr>
      <w:fldChar w:fldCharType="begin"/>
    </w:r>
    <w:r w:rsidR="004336F5">
      <w:rPr>
        <w:i/>
        <w:sz w:val="18"/>
      </w:rPr>
      <w:instrText xml:space="preserve"> DOCPROPERTY ActNo </w:instrText>
    </w:r>
    <w:r w:rsidRPr="00ED79B6">
      <w:rPr>
        <w:i/>
        <w:sz w:val="18"/>
      </w:rPr>
      <w:fldChar w:fldCharType="separate"/>
    </w:r>
    <w:r w:rsidR="00412634">
      <w:rPr>
        <w:i/>
        <w:sz w:val="18"/>
      </w:rPr>
      <w:t>No. 72,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412634">
      <w:rPr>
        <w:i/>
        <w:noProof/>
        <w:sz w:val="18"/>
      </w:rPr>
      <w:t>xi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622209">
    <w:pPr>
      <w:pBdr>
        <w:top w:val="single" w:sz="6" w:space="1" w:color="auto"/>
      </w:pBdr>
      <w:spacing w:before="120"/>
      <w:rPr>
        <w:sz w:val="18"/>
      </w:rPr>
    </w:pPr>
  </w:p>
  <w:p w:rsidR="00537A9F" w:rsidRPr="00ED79B6" w:rsidRDefault="00537A9F"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412634">
      <w:rPr>
        <w:i/>
        <w:noProof/>
        <w:sz w:val="18"/>
      </w:rPr>
      <w:t>i</w:t>
    </w:r>
    <w:r w:rsidRPr="00ED79B6">
      <w:rPr>
        <w:i/>
        <w:sz w:val="18"/>
      </w:rPr>
      <w:fldChar w:fldCharType="end"/>
    </w:r>
    <w:r w:rsidRPr="00ED79B6">
      <w:rPr>
        <w:i/>
        <w:sz w:val="18"/>
      </w:rPr>
      <w:t xml:space="preserve">       </w:t>
    </w:r>
    <w:r w:rsidRPr="00ED79B6">
      <w:rPr>
        <w:i/>
        <w:sz w:val="18"/>
      </w:rPr>
      <w:fldChar w:fldCharType="begin"/>
    </w:r>
    <w:r w:rsidR="004336F5">
      <w:rPr>
        <w:i/>
        <w:sz w:val="18"/>
      </w:rPr>
      <w:instrText xml:space="preserve"> DOCPROPERTY ShortT </w:instrText>
    </w:r>
    <w:r w:rsidRPr="00ED79B6">
      <w:rPr>
        <w:i/>
        <w:sz w:val="18"/>
      </w:rPr>
      <w:fldChar w:fldCharType="separate"/>
    </w:r>
    <w:r w:rsidR="00412634">
      <w:rPr>
        <w:i/>
        <w:sz w:val="18"/>
      </w:rPr>
      <w:t>Australia Council (Consequential and Transitional Provisions) Act 2013</w:t>
    </w:r>
    <w:r w:rsidRPr="00ED79B6">
      <w:rPr>
        <w:i/>
        <w:sz w:val="18"/>
      </w:rPr>
      <w:fldChar w:fldCharType="end"/>
    </w:r>
    <w:r w:rsidRPr="00ED79B6">
      <w:rPr>
        <w:i/>
        <w:sz w:val="18"/>
      </w:rPr>
      <w:t xml:space="preserve">       </w:t>
    </w:r>
    <w:r w:rsidRPr="00ED79B6">
      <w:rPr>
        <w:i/>
        <w:sz w:val="18"/>
      </w:rPr>
      <w:fldChar w:fldCharType="begin"/>
    </w:r>
    <w:r w:rsidR="004336F5">
      <w:rPr>
        <w:i/>
        <w:sz w:val="18"/>
      </w:rPr>
      <w:instrText xml:space="preserve"> DOCPROPERTY ActNo </w:instrText>
    </w:r>
    <w:r w:rsidRPr="00ED79B6">
      <w:rPr>
        <w:i/>
        <w:sz w:val="18"/>
      </w:rPr>
      <w:fldChar w:fldCharType="separate"/>
    </w:r>
    <w:r w:rsidR="00412634">
      <w:rPr>
        <w:i/>
        <w:sz w:val="18"/>
      </w:rPr>
      <w:t>No. 72,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622209">
    <w:pPr>
      <w:pBdr>
        <w:top w:val="single" w:sz="6" w:space="1" w:color="auto"/>
      </w:pBdr>
      <w:spacing w:before="120"/>
      <w:jc w:val="right"/>
      <w:rPr>
        <w:sz w:val="18"/>
      </w:rPr>
    </w:pPr>
  </w:p>
  <w:p w:rsidR="00537A9F" w:rsidRPr="00A961C4" w:rsidRDefault="00537A9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2</w:t>
    </w:r>
    <w:r w:rsidRPr="00A961C4">
      <w:rPr>
        <w:i/>
        <w:sz w:val="18"/>
      </w:rPr>
      <w:fldChar w:fldCharType="end"/>
    </w:r>
    <w:r w:rsidRPr="00A961C4">
      <w:rPr>
        <w:i/>
        <w:sz w:val="18"/>
      </w:rPr>
      <w:t xml:space="preserve">            </w:t>
    </w:r>
    <w:r w:rsidRPr="00A961C4">
      <w:rPr>
        <w:i/>
        <w:sz w:val="18"/>
      </w:rPr>
      <w:fldChar w:fldCharType="begin"/>
    </w:r>
    <w:r w:rsidR="004336F5">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sidR="004336F5">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622209">
    <w:pPr>
      <w:pBdr>
        <w:top w:val="single" w:sz="6" w:space="1" w:color="auto"/>
      </w:pBdr>
      <w:spacing w:before="120"/>
      <w:rPr>
        <w:sz w:val="18"/>
      </w:rPr>
    </w:pPr>
  </w:p>
  <w:p w:rsidR="00537A9F" w:rsidRPr="00A961C4" w:rsidRDefault="00537A9F" w:rsidP="0048364F">
    <w:pPr>
      <w:jc w:val="right"/>
      <w:rPr>
        <w:i/>
        <w:sz w:val="18"/>
      </w:rPr>
    </w:pPr>
    <w:r w:rsidRPr="00A961C4">
      <w:rPr>
        <w:i/>
        <w:sz w:val="18"/>
      </w:rPr>
      <w:fldChar w:fldCharType="begin"/>
    </w:r>
    <w:r w:rsidR="004336F5">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sidR="004336F5">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11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622209">
    <w:pPr>
      <w:pBdr>
        <w:top w:val="single" w:sz="6" w:space="1" w:color="auto"/>
      </w:pBdr>
      <w:spacing w:before="120"/>
      <w:rPr>
        <w:sz w:val="18"/>
      </w:rPr>
    </w:pPr>
  </w:p>
  <w:p w:rsidR="00537A9F" w:rsidRPr="00A961C4" w:rsidRDefault="00537A9F" w:rsidP="0048364F">
    <w:pPr>
      <w:jc w:val="right"/>
      <w:rPr>
        <w:i/>
        <w:sz w:val="18"/>
      </w:rPr>
    </w:pPr>
    <w:r w:rsidRPr="00A961C4">
      <w:rPr>
        <w:i/>
        <w:sz w:val="18"/>
      </w:rPr>
      <w:fldChar w:fldCharType="begin"/>
    </w:r>
    <w:r w:rsidR="004336F5">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sidR="004336F5">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622209">
    <w:pPr>
      <w:pBdr>
        <w:top w:val="single" w:sz="6" w:space="1" w:color="auto"/>
      </w:pBdr>
      <w:spacing w:before="120"/>
      <w:jc w:val="right"/>
      <w:rPr>
        <w:sz w:val="18"/>
      </w:rPr>
    </w:pPr>
  </w:p>
  <w:p w:rsidR="000C721D" w:rsidRPr="00A961C4" w:rsidRDefault="000C721D"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412634">
      <w:rPr>
        <w:i/>
        <w:noProof/>
        <w:sz w:val="18"/>
      </w:rPr>
      <w:t>12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412634">
      <w:rPr>
        <w:i/>
        <w:sz w:val="18"/>
      </w:rPr>
      <w:t>Australia Council (Consequential and Transitional Provisions)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412634">
      <w:rPr>
        <w:i/>
        <w:sz w:val="18"/>
      </w:rPr>
      <w:t>No. 72,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9F" w:rsidRDefault="00537A9F" w:rsidP="0048364F">
      <w:pPr>
        <w:spacing w:line="240" w:lineRule="auto"/>
      </w:pPr>
      <w:r>
        <w:separator/>
      </w:r>
    </w:p>
  </w:footnote>
  <w:footnote w:type="continuationSeparator" w:id="0">
    <w:p w:rsidR="00537A9F" w:rsidRDefault="00537A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5F1388" w:rsidRDefault="00537A9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48364F">
    <w:pPr>
      <w:rPr>
        <w:b/>
        <w:sz w:val="20"/>
      </w:rPr>
    </w:pPr>
  </w:p>
  <w:p w:rsidR="000C721D" w:rsidRPr="00A961C4" w:rsidRDefault="000C721D" w:rsidP="0048364F">
    <w:pPr>
      <w:rPr>
        <w:b/>
        <w:sz w:val="20"/>
      </w:rPr>
    </w:pPr>
  </w:p>
  <w:p w:rsidR="000C721D" w:rsidRPr="00A961C4" w:rsidRDefault="000C721D"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48364F">
    <w:pPr>
      <w:jc w:val="right"/>
      <w:rPr>
        <w:sz w:val="20"/>
      </w:rPr>
    </w:pPr>
  </w:p>
  <w:p w:rsidR="000C721D" w:rsidRPr="00A961C4" w:rsidRDefault="000C721D" w:rsidP="0048364F">
    <w:pPr>
      <w:jc w:val="right"/>
      <w:rPr>
        <w:b/>
        <w:sz w:val="20"/>
      </w:rPr>
    </w:pPr>
  </w:p>
  <w:p w:rsidR="000C721D" w:rsidRPr="00A961C4" w:rsidRDefault="000C721D"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1D" w:rsidRPr="00A961C4" w:rsidRDefault="000C721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5F1388" w:rsidRDefault="00537A9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5F1388" w:rsidRDefault="00537A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ED79B6" w:rsidRDefault="00537A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37A9F" w:rsidRPr="00A961C4" w:rsidRDefault="00537A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37A9F" w:rsidRPr="00A961C4" w:rsidRDefault="00537A9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48364F">
    <w:pPr>
      <w:jc w:val="right"/>
      <w:rPr>
        <w:sz w:val="20"/>
      </w:rPr>
    </w:pPr>
    <w:r w:rsidRPr="00A961C4">
      <w:rPr>
        <w:sz w:val="20"/>
      </w:rPr>
      <w:fldChar w:fldCharType="begin"/>
    </w:r>
    <w:r w:rsidRPr="00A961C4">
      <w:rPr>
        <w:sz w:val="20"/>
      </w:rPr>
      <w:instrText xml:space="preserve"> STYLEREF CharAmSchText </w:instrText>
    </w:r>
    <w:r w:rsidR="00412634">
      <w:rPr>
        <w:sz w:val="20"/>
      </w:rPr>
      <w:fldChar w:fldCharType="separate"/>
    </w:r>
    <w:r w:rsidR="00412634">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12634">
      <w:rPr>
        <w:b/>
        <w:sz w:val="20"/>
      </w:rPr>
      <w:fldChar w:fldCharType="separate"/>
    </w:r>
    <w:r w:rsidR="00412634">
      <w:rPr>
        <w:b/>
        <w:noProof/>
        <w:sz w:val="20"/>
      </w:rPr>
      <w:t>Schedule 2</w:t>
    </w:r>
    <w:r>
      <w:rPr>
        <w:b/>
        <w:sz w:val="20"/>
      </w:rPr>
      <w:fldChar w:fldCharType="end"/>
    </w:r>
  </w:p>
  <w:p w:rsidR="00537A9F" w:rsidRPr="00A961C4" w:rsidRDefault="00537A9F" w:rsidP="0048364F">
    <w:pPr>
      <w:jc w:val="right"/>
      <w:rPr>
        <w:b/>
        <w:sz w:val="20"/>
      </w:rPr>
    </w:pPr>
    <w:r w:rsidRPr="00A961C4">
      <w:rPr>
        <w:sz w:val="20"/>
      </w:rPr>
      <w:fldChar w:fldCharType="begin"/>
    </w:r>
    <w:r w:rsidRPr="00A961C4">
      <w:rPr>
        <w:sz w:val="20"/>
      </w:rPr>
      <w:instrText xml:space="preserve"> STYLEREF CharAmPartText </w:instrText>
    </w:r>
    <w:r w:rsidR="00412634">
      <w:rPr>
        <w:sz w:val="20"/>
      </w:rPr>
      <w:fldChar w:fldCharType="separate"/>
    </w:r>
    <w:r w:rsidR="00412634">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12634">
      <w:rPr>
        <w:b/>
        <w:sz w:val="20"/>
      </w:rPr>
      <w:fldChar w:fldCharType="separate"/>
    </w:r>
    <w:r w:rsidR="00412634">
      <w:rPr>
        <w:b/>
        <w:noProof/>
        <w:sz w:val="20"/>
      </w:rPr>
      <w:t>Part 5</w:t>
    </w:r>
    <w:r w:rsidRPr="00A961C4">
      <w:rPr>
        <w:b/>
        <w:sz w:val="20"/>
      </w:rPr>
      <w:fldChar w:fldCharType="end"/>
    </w:r>
  </w:p>
  <w:p w:rsidR="00537A9F" w:rsidRPr="00A961C4" w:rsidRDefault="00537A9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F" w:rsidRPr="00A961C4" w:rsidRDefault="00537A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E15566"/>
    <w:multiLevelType w:val="hybridMultilevel"/>
    <w:tmpl w:val="064834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663BF7"/>
    <w:multiLevelType w:val="hybridMultilevel"/>
    <w:tmpl w:val="5B4E5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C429F5"/>
    <w:multiLevelType w:val="hybridMultilevel"/>
    <w:tmpl w:val="AF249A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4F22FCA"/>
    <w:multiLevelType w:val="hybridMultilevel"/>
    <w:tmpl w:val="134CB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9C0D82"/>
    <w:multiLevelType w:val="hybridMultilevel"/>
    <w:tmpl w:val="AD948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4C1A19"/>
    <w:multiLevelType w:val="hybridMultilevel"/>
    <w:tmpl w:val="DB8E8C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B1289E"/>
    <w:multiLevelType w:val="hybridMultilevel"/>
    <w:tmpl w:val="01BAB5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04331A"/>
    <w:multiLevelType w:val="hybridMultilevel"/>
    <w:tmpl w:val="7026BD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9738A2"/>
    <w:multiLevelType w:val="hybridMultilevel"/>
    <w:tmpl w:val="81F64FE4"/>
    <w:lvl w:ilvl="0" w:tplc="C0B20F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2"/>
  </w:num>
  <w:num w:numId="15">
    <w:abstractNumId w:val="19"/>
  </w:num>
  <w:num w:numId="16">
    <w:abstractNumId w:val="20"/>
  </w:num>
  <w:num w:numId="17">
    <w:abstractNumId w:val="13"/>
  </w:num>
  <w:num w:numId="18">
    <w:abstractNumId w:val="17"/>
  </w:num>
  <w:num w:numId="19">
    <w:abstractNumId w:val="1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5D"/>
    <w:rsid w:val="000038DF"/>
    <w:rsid w:val="000105BC"/>
    <w:rsid w:val="000113BC"/>
    <w:rsid w:val="000136AF"/>
    <w:rsid w:val="00015CFD"/>
    <w:rsid w:val="000337A0"/>
    <w:rsid w:val="00033C11"/>
    <w:rsid w:val="00047D26"/>
    <w:rsid w:val="000614BF"/>
    <w:rsid w:val="00062F2C"/>
    <w:rsid w:val="00065757"/>
    <w:rsid w:val="00083C19"/>
    <w:rsid w:val="00091177"/>
    <w:rsid w:val="00091EDB"/>
    <w:rsid w:val="00092511"/>
    <w:rsid w:val="0009434A"/>
    <w:rsid w:val="000A0E87"/>
    <w:rsid w:val="000A5050"/>
    <w:rsid w:val="000B5085"/>
    <w:rsid w:val="000C721D"/>
    <w:rsid w:val="000D05EF"/>
    <w:rsid w:val="000E6F1E"/>
    <w:rsid w:val="000F21C1"/>
    <w:rsid w:val="00101971"/>
    <w:rsid w:val="0010536D"/>
    <w:rsid w:val="0010745C"/>
    <w:rsid w:val="00120DE3"/>
    <w:rsid w:val="00123895"/>
    <w:rsid w:val="00135A80"/>
    <w:rsid w:val="00141577"/>
    <w:rsid w:val="0015234C"/>
    <w:rsid w:val="001643C9"/>
    <w:rsid w:val="00165568"/>
    <w:rsid w:val="00166C2F"/>
    <w:rsid w:val="001716C9"/>
    <w:rsid w:val="00171A4A"/>
    <w:rsid w:val="00171ECB"/>
    <w:rsid w:val="00181057"/>
    <w:rsid w:val="00190148"/>
    <w:rsid w:val="001939E1"/>
    <w:rsid w:val="00195382"/>
    <w:rsid w:val="001A1C94"/>
    <w:rsid w:val="001A60D9"/>
    <w:rsid w:val="001B07A1"/>
    <w:rsid w:val="001B0B44"/>
    <w:rsid w:val="001B7A5D"/>
    <w:rsid w:val="001C69C4"/>
    <w:rsid w:val="001E3590"/>
    <w:rsid w:val="001E7407"/>
    <w:rsid w:val="00201D27"/>
    <w:rsid w:val="0020729D"/>
    <w:rsid w:val="0022558C"/>
    <w:rsid w:val="00226194"/>
    <w:rsid w:val="00234BF7"/>
    <w:rsid w:val="00240749"/>
    <w:rsid w:val="00242229"/>
    <w:rsid w:val="00251B55"/>
    <w:rsid w:val="0026165C"/>
    <w:rsid w:val="00290D83"/>
    <w:rsid w:val="00297ECB"/>
    <w:rsid w:val="002A617C"/>
    <w:rsid w:val="002A6D5F"/>
    <w:rsid w:val="002B6C9C"/>
    <w:rsid w:val="002C39FA"/>
    <w:rsid w:val="002D043A"/>
    <w:rsid w:val="002D09F4"/>
    <w:rsid w:val="002E60DD"/>
    <w:rsid w:val="002F30CB"/>
    <w:rsid w:val="002F590F"/>
    <w:rsid w:val="003013A3"/>
    <w:rsid w:val="003019D2"/>
    <w:rsid w:val="0030752B"/>
    <w:rsid w:val="00331AEA"/>
    <w:rsid w:val="00337DBD"/>
    <w:rsid w:val="003415D3"/>
    <w:rsid w:val="00352B0F"/>
    <w:rsid w:val="003562FB"/>
    <w:rsid w:val="0036260F"/>
    <w:rsid w:val="00367DFF"/>
    <w:rsid w:val="00376354"/>
    <w:rsid w:val="0039755D"/>
    <w:rsid w:val="003A4D74"/>
    <w:rsid w:val="003A62D3"/>
    <w:rsid w:val="003B3704"/>
    <w:rsid w:val="003C56E2"/>
    <w:rsid w:val="003C5F2B"/>
    <w:rsid w:val="003D0BFE"/>
    <w:rsid w:val="003D5700"/>
    <w:rsid w:val="003E1287"/>
    <w:rsid w:val="003F4FEA"/>
    <w:rsid w:val="00404DE6"/>
    <w:rsid w:val="004069A3"/>
    <w:rsid w:val="004116CD"/>
    <w:rsid w:val="00412634"/>
    <w:rsid w:val="004126FA"/>
    <w:rsid w:val="00415197"/>
    <w:rsid w:val="00424CA9"/>
    <w:rsid w:val="00425186"/>
    <w:rsid w:val="004336F5"/>
    <w:rsid w:val="0044291A"/>
    <w:rsid w:val="004450A6"/>
    <w:rsid w:val="00456EE7"/>
    <w:rsid w:val="00462B67"/>
    <w:rsid w:val="00463803"/>
    <w:rsid w:val="00470C53"/>
    <w:rsid w:val="004720B6"/>
    <w:rsid w:val="00475F0A"/>
    <w:rsid w:val="004768BD"/>
    <w:rsid w:val="0048364F"/>
    <w:rsid w:val="00496F97"/>
    <w:rsid w:val="004A1A40"/>
    <w:rsid w:val="004C1A4E"/>
    <w:rsid w:val="004C3591"/>
    <w:rsid w:val="004C61AF"/>
    <w:rsid w:val="004D06BE"/>
    <w:rsid w:val="004D154B"/>
    <w:rsid w:val="004D770F"/>
    <w:rsid w:val="004F1FAC"/>
    <w:rsid w:val="004F746D"/>
    <w:rsid w:val="004F7F0F"/>
    <w:rsid w:val="00516B8D"/>
    <w:rsid w:val="00517E44"/>
    <w:rsid w:val="00522A10"/>
    <w:rsid w:val="00532A45"/>
    <w:rsid w:val="005371C0"/>
    <w:rsid w:val="00537A9F"/>
    <w:rsid w:val="00537FBC"/>
    <w:rsid w:val="00543469"/>
    <w:rsid w:val="005478B6"/>
    <w:rsid w:val="00555E03"/>
    <w:rsid w:val="00566FCA"/>
    <w:rsid w:val="00584811"/>
    <w:rsid w:val="00586762"/>
    <w:rsid w:val="00593AA6"/>
    <w:rsid w:val="00593E95"/>
    <w:rsid w:val="00594161"/>
    <w:rsid w:val="00594749"/>
    <w:rsid w:val="005B4067"/>
    <w:rsid w:val="005C2396"/>
    <w:rsid w:val="005C3F41"/>
    <w:rsid w:val="005C714E"/>
    <w:rsid w:val="005E3A2B"/>
    <w:rsid w:val="005F1C87"/>
    <w:rsid w:val="005F7C03"/>
    <w:rsid w:val="00600219"/>
    <w:rsid w:val="0062107F"/>
    <w:rsid w:val="00622209"/>
    <w:rsid w:val="00630656"/>
    <w:rsid w:val="00642E94"/>
    <w:rsid w:val="00643DA3"/>
    <w:rsid w:val="00672ABA"/>
    <w:rsid w:val="00677CC2"/>
    <w:rsid w:val="00685F42"/>
    <w:rsid w:val="0069207B"/>
    <w:rsid w:val="00693926"/>
    <w:rsid w:val="006A38CE"/>
    <w:rsid w:val="006A4648"/>
    <w:rsid w:val="006B4E78"/>
    <w:rsid w:val="006C294E"/>
    <w:rsid w:val="006C7F8C"/>
    <w:rsid w:val="006D29D6"/>
    <w:rsid w:val="006E1AD1"/>
    <w:rsid w:val="00700B2C"/>
    <w:rsid w:val="00703348"/>
    <w:rsid w:val="00713084"/>
    <w:rsid w:val="00731E00"/>
    <w:rsid w:val="00735C2A"/>
    <w:rsid w:val="007440B7"/>
    <w:rsid w:val="00751228"/>
    <w:rsid w:val="007634AD"/>
    <w:rsid w:val="007715C9"/>
    <w:rsid w:val="007719F7"/>
    <w:rsid w:val="00774436"/>
    <w:rsid w:val="00774EDD"/>
    <w:rsid w:val="007757EC"/>
    <w:rsid w:val="0078045D"/>
    <w:rsid w:val="0079231F"/>
    <w:rsid w:val="0079502F"/>
    <w:rsid w:val="007B045E"/>
    <w:rsid w:val="007B3D08"/>
    <w:rsid w:val="007C75E0"/>
    <w:rsid w:val="007D404F"/>
    <w:rsid w:val="007E4BF2"/>
    <w:rsid w:val="007E5874"/>
    <w:rsid w:val="007E6778"/>
    <w:rsid w:val="007E7D4A"/>
    <w:rsid w:val="00802CC8"/>
    <w:rsid w:val="00805DBA"/>
    <w:rsid w:val="00856A31"/>
    <w:rsid w:val="008650DA"/>
    <w:rsid w:val="008754D0"/>
    <w:rsid w:val="00875B02"/>
    <w:rsid w:val="00877753"/>
    <w:rsid w:val="00877D48"/>
    <w:rsid w:val="00892AC3"/>
    <w:rsid w:val="008B144F"/>
    <w:rsid w:val="008D0EE0"/>
    <w:rsid w:val="008F44A8"/>
    <w:rsid w:val="008F4F1C"/>
    <w:rsid w:val="008F655A"/>
    <w:rsid w:val="00900BF4"/>
    <w:rsid w:val="00921162"/>
    <w:rsid w:val="00930577"/>
    <w:rsid w:val="00932367"/>
    <w:rsid w:val="00932377"/>
    <w:rsid w:val="00935279"/>
    <w:rsid w:val="00935B3E"/>
    <w:rsid w:val="00936D93"/>
    <w:rsid w:val="00955B6B"/>
    <w:rsid w:val="00956FCC"/>
    <w:rsid w:val="0096346E"/>
    <w:rsid w:val="00967B74"/>
    <w:rsid w:val="0097797C"/>
    <w:rsid w:val="00982134"/>
    <w:rsid w:val="0098406D"/>
    <w:rsid w:val="00986086"/>
    <w:rsid w:val="0099293C"/>
    <w:rsid w:val="00997E3A"/>
    <w:rsid w:val="009A00A8"/>
    <w:rsid w:val="009A5CF8"/>
    <w:rsid w:val="009A6F60"/>
    <w:rsid w:val="009B5C73"/>
    <w:rsid w:val="009C4DD3"/>
    <w:rsid w:val="009C53EC"/>
    <w:rsid w:val="009E55AB"/>
    <w:rsid w:val="009F1C39"/>
    <w:rsid w:val="009F6E27"/>
    <w:rsid w:val="00A0356A"/>
    <w:rsid w:val="00A141B0"/>
    <w:rsid w:val="00A231E2"/>
    <w:rsid w:val="00A31663"/>
    <w:rsid w:val="00A35CB0"/>
    <w:rsid w:val="00A4655A"/>
    <w:rsid w:val="00A64912"/>
    <w:rsid w:val="00A678F1"/>
    <w:rsid w:val="00A70A74"/>
    <w:rsid w:val="00A720D6"/>
    <w:rsid w:val="00A803E8"/>
    <w:rsid w:val="00A8304A"/>
    <w:rsid w:val="00A85B42"/>
    <w:rsid w:val="00AA51F7"/>
    <w:rsid w:val="00AC7353"/>
    <w:rsid w:val="00AD5641"/>
    <w:rsid w:val="00AE6AA9"/>
    <w:rsid w:val="00AF2A2C"/>
    <w:rsid w:val="00AF42D6"/>
    <w:rsid w:val="00AF7C34"/>
    <w:rsid w:val="00B032D8"/>
    <w:rsid w:val="00B103D9"/>
    <w:rsid w:val="00B17213"/>
    <w:rsid w:val="00B3027D"/>
    <w:rsid w:val="00B33B3C"/>
    <w:rsid w:val="00B56795"/>
    <w:rsid w:val="00B62F5D"/>
    <w:rsid w:val="00B87B71"/>
    <w:rsid w:val="00BA1C00"/>
    <w:rsid w:val="00BA1CAA"/>
    <w:rsid w:val="00BA5026"/>
    <w:rsid w:val="00BA795B"/>
    <w:rsid w:val="00BB408D"/>
    <w:rsid w:val="00BD24D1"/>
    <w:rsid w:val="00BD36C3"/>
    <w:rsid w:val="00BE719A"/>
    <w:rsid w:val="00BE720A"/>
    <w:rsid w:val="00BE73DE"/>
    <w:rsid w:val="00BF3F5C"/>
    <w:rsid w:val="00C005B1"/>
    <w:rsid w:val="00C02752"/>
    <w:rsid w:val="00C067E5"/>
    <w:rsid w:val="00C116C1"/>
    <w:rsid w:val="00C164CA"/>
    <w:rsid w:val="00C16D3C"/>
    <w:rsid w:val="00C22612"/>
    <w:rsid w:val="00C24DC7"/>
    <w:rsid w:val="00C25800"/>
    <w:rsid w:val="00C25F2F"/>
    <w:rsid w:val="00C264E4"/>
    <w:rsid w:val="00C42BF8"/>
    <w:rsid w:val="00C43D77"/>
    <w:rsid w:val="00C43F7A"/>
    <w:rsid w:val="00C460AE"/>
    <w:rsid w:val="00C50043"/>
    <w:rsid w:val="00C559DA"/>
    <w:rsid w:val="00C61A14"/>
    <w:rsid w:val="00C64993"/>
    <w:rsid w:val="00C663B2"/>
    <w:rsid w:val="00C72B17"/>
    <w:rsid w:val="00C7548F"/>
    <w:rsid w:val="00C7573B"/>
    <w:rsid w:val="00C76CF3"/>
    <w:rsid w:val="00C86009"/>
    <w:rsid w:val="00C8614C"/>
    <w:rsid w:val="00C87668"/>
    <w:rsid w:val="00C90DC8"/>
    <w:rsid w:val="00C9185F"/>
    <w:rsid w:val="00CC3E8E"/>
    <w:rsid w:val="00CC6C71"/>
    <w:rsid w:val="00CC7316"/>
    <w:rsid w:val="00CD76F4"/>
    <w:rsid w:val="00CE5292"/>
    <w:rsid w:val="00CF0BB2"/>
    <w:rsid w:val="00D01BA7"/>
    <w:rsid w:val="00D11BDB"/>
    <w:rsid w:val="00D13441"/>
    <w:rsid w:val="00D243A3"/>
    <w:rsid w:val="00D33D09"/>
    <w:rsid w:val="00D4258A"/>
    <w:rsid w:val="00D52EFE"/>
    <w:rsid w:val="00D55A15"/>
    <w:rsid w:val="00D63EF6"/>
    <w:rsid w:val="00D70DFB"/>
    <w:rsid w:val="00D766DF"/>
    <w:rsid w:val="00D81C0E"/>
    <w:rsid w:val="00D83FB8"/>
    <w:rsid w:val="00D90C48"/>
    <w:rsid w:val="00D92255"/>
    <w:rsid w:val="00DD7D90"/>
    <w:rsid w:val="00DE542E"/>
    <w:rsid w:val="00E05467"/>
    <w:rsid w:val="00E05704"/>
    <w:rsid w:val="00E37F18"/>
    <w:rsid w:val="00E54292"/>
    <w:rsid w:val="00E61740"/>
    <w:rsid w:val="00E74DC7"/>
    <w:rsid w:val="00E770FD"/>
    <w:rsid w:val="00E81C87"/>
    <w:rsid w:val="00E87699"/>
    <w:rsid w:val="00E95F50"/>
    <w:rsid w:val="00EB119D"/>
    <w:rsid w:val="00EB606F"/>
    <w:rsid w:val="00EF2E3A"/>
    <w:rsid w:val="00F04608"/>
    <w:rsid w:val="00F047E2"/>
    <w:rsid w:val="00F078DC"/>
    <w:rsid w:val="00F1314E"/>
    <w:rsid w:val="00F13E86"/>
    <w:rsid w:val="00F14567"/>
    <w:rsid w:val="00F152DF"/>
    <w:rsid w:val="00F15DD4"/>
    <w:rsid w:val="00F3438D"/>
    <w:rsid w:val="00F3561B"/>
    <w:rsid w:val="00F436BF"/>
    <w:rsid w:val="00F630D8"/>
    <w:rsid w:val="00F677A9"/>
    <w:rsid w:val="00F84CF5"/>
    <w:rsid w:val="00FA1B85"/>
    <w:rsid w:val="00FA420B"/>
    <w:rsid w:val="00FA5390"/>
    <w:rsid w:val="00FB7840"/>
    <w:rsid w:val="00FC1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2209"/>
    <w:pPr>
      <w:spacing w:line="260" w:lineRule="atLeast"/>
    </w:pPr>
    <w:rPr>
      <w:sz w:val="22"/>
    </w:rPr>
  </w:style>
  <w:style w:type="paragraph" w:styleId="Heading1">
    <w:name w:val="heading 1"/>
    <w:basedOn w:val="Normal"/>
    <w:next w:val="Normal"/>
    <w:link w:val="Heading1Char"/>
    <w:uiPriority w:val="9"/>
    <w:qFormat/>
    <w:rsid w:val="009305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05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05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05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05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05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05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05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05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2209"/>
  </w:style>
  <w:style w:type="paragraph" w:customStyle="1" w:styleId="OPCParaBase">
    <w:name w:val="OPCParaBase"/>
    <w:link w:val="OPCParaBaseChar"/>
    <w:qFormat/>
    <w:rsid w:val="006222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2209"/>
    <w:pPr>
      <w:spacing w:line="240" w:lineRule="auto"/>
    </w:pPr>
    <w:rPr>
      <w:b/>
      <w:sz w:val="40"/>
    </w:rPr>
  </w:style>
  <w:style w:type="paragraph" w:customStyle="1" w:styleId="ActHead1">
    <w:name w:val="ActHead 1"/>
    <w:aliases w:val="c"/>
    <w:basedOn w:val="OPCParaBase"/>
    <w:next w:val="Normal"/>
    <w:qFormat/>
    <w:rsid w:val="006222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2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2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2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2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2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2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2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2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2209"/>
  </w:style>
  <w:style w:type="paragraph" w:customStyle="1" w:styleId="Blocks">
    <w:name w:val="Blocks"/>
    <w:aliases w:val="bb"/>
    <w:basedOn w:val="OPCParaBase"/>
    <w:qFormat/>
    <w:rsid w:val="00622209"/>
    <w:pPr>
      <w:spacing w:line="240" w:lineRule="auto"/>
    </w:pPr>
    <w:rPr>
      <w:sz w:val="24"/>
    </w:rPr>
  </w:style>
  <w:style w:type="paragraph" w:customStyle="1" w:styleId="BoxText">
    <w:name w:val="BoxText"/>
    <w:aliases w:val="bt"/>
    <w:basedOn w:val="OPCParaBase"/>
    <w:qFormat/>
    <w:rsid w:val="006222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209"/>
    <w:rPr>
      <w:b/>
    </w:rPr>
  </w:style>
  <w:style w:type="paragraph" w:customStyle="1" w:styleId="BoxHeadItalic">
    <w:name w:val="BoxHeadItalic"/>
    <w:aliases w:val="bhi"/>
    <w:basedOn w:val="BoxText"/>
    <w:next w:val="BoxStep"/>
    <w:qFormat/>
    <w:rsid w:val="00622209"/>
    <w:rPr>
      <w:i/>
    </w:rPr>
  </w:style>
  <w:style w:type="paragraph" w:customStyle="1" w:styleId="BoxList">
    <w:name w:val="BoxList"/>
    <w:aliases w:val="bl"/>
    <w:basedOn w:val="BoxText"/>
    <w:qFormat/>
    <w:rsid w:val="00622209"/>
    <w:pPr>
      <w:ind w:left="1559" w:hanging="425"/>
    </w:pPr>
  </w:style>
  <w:style w:type="paragraph" w:customStyle="1" w:styleId="BoxNote">
    <w:name w:val="BoxNote"/>
    <w:aliases w:val="bn"/>
    <w:basedOn w:val="BoxText"/>
    <w:qFormat/>
    <w:rsid w:val="00622209"/>
    <w:pPr>
      <w:tabs>
        <w:tab w:val="left" w:pos="1985"/>
      </w:tabs>
      <w:spacing w:before="122" w:line="198" w:lineRule="exact"/>
      <w:ind w:left="2948" w:hanging="1814"/>
    </w:pPr>
    <w:rPr>
      <w:sz w:val="18"/>
    </w:rPr>
  </w:style>
  <w:style w:type="paragraph" w:customStyle="1" w:styleId="BoxPara">
    <w:name w:val="BoxPara"/>
    <w:aliases w:val="bp"/>
    <w:basedOn w:val="BoxText"/>
    <w:qFormat/>
    <w:rsid w:val="00622209"/>
    <w:pPr>
      <w:tabs>
        <w:tab w:val="right" w:pos="2268"/>
      </w:tabs>
      <w:ind w:left="2552" w:hanging="1418"/>
    </w:pPr>
  </w:style>
  <w:style w:type="paragraph" w:customStyle="1" w:styleId="BoxStep">
    <w:name w:val="BoxStep"/>
    <w:aliases w:val="bs"/>
    <w:basedOn w:val="BoxText"/>
    <w:qFormat/>
    <w:rsid w:val="00622209"/>
    <w:pPr>
      <w:ind w:left="1985" w:hanging="851"/>
    </w:pPr>
  </w:style>
  <w:style w:type="character" w:customStyle="1" w:styleId="CharAmPartNo">
    <w:name w:val="CharAmPartNo"/>
    <w:basedOn w:val="OPCCharBase"/>
    <w:qFormat/>
    <w:rsid w:val="00622209"/>
  </w:style>
  <w:style w:type="character" w:customStyle="1" w:styleId="CharAmPartText">
    <w:name w:val="CharAmPartText"/>
    <w:basedOn w:val="OPCCharBase"/>
    <w:qFormat/>
    <w:rsid w:val="00622209"/>
  </w:style>
  <w:style w:type="character" w:customStyle="1" w:styleId="CharAmSchNo">
    <w:name w:val="CharAmSchNo"/>
    <w:basedOn w:val="OPCCharBase"/>
    <w:qFormat/>
    <w:rsid w:val="00622209"/>
  </w:style>
  <w:style w:type="character" w:customStyle="1" w:styleId="CharAmSchText">
    <w:name w:val="CharAmSchText"/>
    <w:basedOn w:val="OPCCharBase"/>
    <w:qFormat/>
    <w:rsid w:val="00622209"/>
  </w:style>
  <w:style w:type="character" w:customStyle="1" w:styleId="CharBoldItalic">
    <w:name w:val="CharBoldItalic"/>
    <w:basedOn w:val="OPCCharBase"/>
    <w:uiPriority w:val="1"/>
    <w:qFormat/>
    <w:rsid w:val="00622209"/>
    <w:rPr>
      <w:b/>
      <w:i/>
    </w:rPr>
  </w:style>
  <w:style w:type="character" w:customStyle="1" w:styleId="CharChapNo">
    <w:name w:val="CharChapNo"/>
    <w:basedOn w:val="OPCCharBase"/>
    <w:uiPriority w:val="1"/>
    <w:qFormat/>
    <w:rsid w:val="00622209"/>
  </w:style>
  <w:style w:type="character" w:customStyle="1" w:styleId="CharChapText">
    <w:name w:val="CharChapText"/>
    <w:basedOn w:val="OPCCharBase"/>
    <w:uiPriority w:val="1"/>
    <w:qFormat/>
    <w:rsid w:val="00622209"/>
  </w:style>
  <w:style w:type="character" w:customStyle="1" w:styleId="CharDivNo">
    <w:name w:val="CharDivNo"/>
    <w:basedOn w:val="OPCCharBase"/>
    <w:uiPriority w:val="1"/>
    <w:qFormat/>
    <w:rsid w:val="00622209"/>
  </w:style>
  <w:style w:type="character" w:customStyle="1" w:styleId="CharDivText">
    <w:name w:val="CharDivText"/>
    <w:basedOn w:val="OPCCharBase"/>
    <w:uiPriority w:val="1"/>
    <w:qFormat/>
    <w:rsid w:val="00622209"/>
  </w:style>
  <w:style w:type="character" w:customStyle="1" w:styleId="CharItalic">
    <w:name w:val="CharItalic"/>
    <w:basedOn w:val="OPCCharBase"/>
    <w:uiPriority w:val="1"/>
    <w:qFormat/>
    <w:rsid w:val="00622209"/>
    <w:rPr>
      <w:i/>
    </w:rPr>
  </w:style>
  <w:style w:type="character" w:customStyle="1" w:styleId="CharPartNo">
    <w:name w:val="CharPartNo"/>
    <w:basedOn w:val="OPCCharBase"/>
    <w:uiPriority w:val="1"/>
    <w:qFormat/>
    <w:rsid w:val="00622209"/>
  </w:style>
  <w:style w:type="character" w:customStyle="1" w:styleId="CharPartText">
    <w:name w:val="CharPartText"/>
    <w:basedOn w:val="OPCCharBase"/>
    <w:uiPriority w:val="1"/>
    <w:qFormat/>
    <w:rsid w:val="00622209"/>
  </w:style>
  <w:style w:type="character" w:customStyle="1" w:styleId="CharSectno">
    <w:name w:val="CharSectno"/>
    <w:basedOn w:val="OPCCharBase"/>
    <w:qFormat/>
    <w:rsid w:val="00622209"/>
  </w:style>
  <w:style w:type="character" w:customStyle="1" w:styleId="CharSubdNo">
    <w:name w:val="CharSubdNo"/>
    <w:basedOn w:val="OPCCharBase"/>
    <w:uiPriority w:val="1"/>
    <w:qFormat/>
    <w:rsid w:val="00622209"/>
  </w:style>
  <w:style w:type="character" w:customStyle="1" w:styleId="CharSubdText">
    <w:name w:val="CharSubdText"/>
    <w:basedOn w:val="OPCCharBase"/>
    <w:uiPriority w:val="1"/>
    <w:qFormat/>
    <w:rsid w:val="00622209"/>
  </w:style>
  <w:style w:type="paragraph" w:customStyle="1" w:styleId="CTA--">
    <w:name w:val="CTA --"/>
    <w:basedOn w:val="OPCParaBase"/>
    <w:next w:val="Normal"/>
    <w:rsid w:val="00622209"/>
    <w:pPr>
      <w:spacing w:before="60" w:line="240" w:lineRule="atLeast"/>
      <w:ind w:left="142" w:hanging="142"/>
    </w:pPr>
    <w:rPr>
      <w:sz w:val="20"/>
    </w:rPr>
  </w:style>
  <w:style w:type="paragraph" w:customStyle="1" w:styleId="CTA-">
    <w:name w:val="CTA -"/>
    <w:basedOn w:val="OPCParaBase"/>
    <w:rsid w:val="00622209"/>
    <w:pPr>
      <w:spacing w:before="60" w:line="240" w:lineRule="atLeast"/>
      <w:ind w:left="85" w:hanging="85"/>
    </w:pPr>
    <w:rPr>
      <w:sz w:val="20"/>
    </w:rPr>
  </w:style>
  <w:style w:type="paragraph" w:customStyle="1" w:styleId="CTA---">
    <w:name w:val="CTA ---"/>
    <w:basedOn w:val="OPCParaBase"/>
    <w:next w:val="Normal"/>
    <w:rsid w:val="00622209"/>
    <w:pPr>
      <w:spacing w:before="60" w:line="240" w:lineRule="atLeast"/>
      <w:ind w:left="198" w:hanging="198"/>
    </w:pPr>
    <w:rPr>
      <w:sz w:val="20"/>
    </w:rPr>
  </w:style>
  <w:style w:type="paragraph" w:customStyle="1" w:styleId="CTA----">
    <w:name w:val="CTA ----"/>
    <w:basedOn w:val="OPCParaBase"/>
    <w:next w:val="Normal"/>
    <w:rsid w:val="00622209"/>
    <w:pPr>
      <w:spacing w:before="60" w:line="240" w:lineRule="atLeast"/>
      <w:ind w:left="255" w:hanging="255"/>
    </w:pPr>
    <w:rPr>
      <w:sz w:val="20"/>
    </w:rPr>
  </w:style>
  <w:style w:type="paragraph" w:customStyle="1" w:styleId="CTA1a">
    <w:name w:val="CTA 1(a)"/>
    <w:basedOn w:val="OPCParaBase"/>
    <w:rsid w:val="00622209"/>
    <w:pPr>
      <w:tabs>
        <w:tab w:val="right" w:pos="414"/>
      </w:tabs>
      <w:spacing w:before="40" w:line="240" w:lineRule="atLeast"/>
      <w:ind w:left="675" w:hanging="675"/>
    </w:pPr>
    <w:rPr>
      <w:sz w:val="20"/>
    </w:rPr>
  </w:style>
  <w:style w:type="paragraph" w:customStyle="1" w:styleId="CTA1ai">
    <w:name w:val="CTA 1(a)(i)"/>
    <w:basedOn w:val="OPCParaBase"/>
    <w:rsid w:val="00622209"/>
    <w:pPr>
      <w:tabs>
        <w:tab w:val="right" w:pos="1004"/>
      </w:tabs>
      <w:spacing w:before="40" w:line="240" w:lineRule="atLeast"/>
      <w:ind w:left="1253" w:hanging="1253"/>
    </w:pPr>
    <w:rPr>
      <w:sz w:val="20"/>
    </w:rPr>
  </w:style>
  <w:style w:type="paragraph" w:customStyle="1" w:styleId="CTA2a">
    <w:name w:val="CTA 2(a)"/>
    <w:basedOn w:val="OPCParaBase"/>
    <w:rsid w:val="00622209"/>
    <w:pPr>
      <w:tabs>
        <w:tab w:val="right" w:pos="482"/>
      </w:tabs>
      <w:spacing w:before="40" w:line="240" w:lineRule="atLeast"/>
      <w:ind w:left="748" w:hanging="748"/>
    </w:pPr>
    <w:rPr>
      <w:sz w:val="20"/>
    </w:rPr>
  </w:style>
  <w:style w:type="paragraph" w:customStyle="1" w:styleId="CTA2ai">
    <w:name w:val="CTA 2(a)(i)"/>
    <w:basedOn w:val="OPCParaBase"/>
    <w:rsid w:val="00622209"/>
    <w:pPr>
      <w:tabs>
        <w:tab w:val="right" w:pos="1089"/>
      </w:tabs>
      <w:spacing w:before="40" w:line="240" w:lineRule="atLeast"/>
      <w:ind w:left="1327" w:hanging="1327"/>
    </w:pPr>
    <w:rPr>
      <w:sz w:val="20"/>
    </w:rPr>
  </w:style>
  <w:style w:type="paragraph" w:customStyle="1" w:styleId="CTA3a">
    <w:name w:val="CTA 3(a)"/>
    <w:basedOn w:val="OPCParaBase"/>
    <w:rsid w:val="00622209"/>
    <w:pPr>
      <w:tabs>
        <w:tab w:val="right" w:pos="556"/>
      </w:tabs>
      <w:spacing w:before="40" w:line="240" w:lineRule="atLeast"/>
      <w:ind w:left="805" w:hanging="805"/>
    </w:pPr>
    <w:rPr>
      <w:sz w:val="20"/>
    </w:rPr>
  </w:style>
  <w:style w:type="paragraph" w:customStyle="1" w:styleId="CTA3ai">
    <w:name w:val="CTA 3(a)(i)"/>
    <w:basedOn w:val="OPCParaBase"/>
    <w:rsid w:val="00622209"/>
    <w:pPr>
      <w:tabs>
        <w:tab w:val="right" w:pos="1140"/>
      </w:tabs>
      <w:spacing w:before="40" w:line="240" w:lineRule="atLeast"/>
      <w:ind w:left="1361" w:hanging="1361"/>
    </w:pPr>
    <w:rPr>
      <w:sz w:val="20"/>
    </w:rPr>
  </w:style>
  <w:style w:type="paragraph" w:customStyle="1" w:styleId="CTA4a">
    <w:name w:val="CTA 4(a)"/>
    <w:basedOn w:val="OPCParaBase"/>
    <w:rsid w:val="00622209"/>
    <w:pPr>
      <w:tabs>
        <w:tab w:val="right" w:pos="624"/>
      </w:tabs>
      <w:spacing w:before="40" w:line="240" w:lineRule="atLeast"/>
      <w:ind w:left="873" w:hanging="873"/>
    </w:pPr>
    <w:rPr>
      <w:sz w:val="20"/>
    </w:rPr>
  </w:style>
  <w:style w:type="paragraph" w:customStyle="1" w:styleId="CTA4ai">
    <w:name w:val="CTA 4(a)(i)"/>
    <w:basedOn w:val="OPCParaBase"/>
    <w:rsid w:val="00622209"/>
    <w:pPr>
      <w:tabs>
        <w:tab w:val="right" w:pos="1213"/>
      </w:tabs>
      <w:spacing w:before="40" w:line="240" w:lineRule="atLeast"/>
      <w:ind w:left="1452" w:hanging="1452"/>
    </w:pPr>
    <w:rPr>
      <w:sz w:val="20"/>
    </w:rPr>
  </w:style>
  <w:style w:type="paragraph" w:customStyle="1" w:styleId="CTACAPS">
    <w:name w:val="CTA CAPS"/>
    <w:basedOn w:val="OPCParaBase"/>
    <w:rsid w:val="00622209"/>
    <w:pPr>
      <w:spacing w:before="60" w:line="240" w:lineRule="atLeast"/>
    </w:pPr>
    <w:rPr>
      <w:sz w:val="20"/>
    </w:rPr>
  </w:style>
  <w:style w:type="paragraph" w:customStyle="1" w:styleId="CTAright">
    <w:name w:val="CTA right"/>
    <w:basedOn w:val="OPCParaBase"/>
    <w:rsid w:val="00622209"/>
    <w:pPr>
      <w:spacing w:before="60" w:line="240" w:lineRule="auto"/>
      <w:jc w:val="right"/>
    </w:pPr>
    <w:rPr>
      <w:sz w:val="20"/>
    </w:rPr>
  </w:style>
  <w:style w:type="paragraph" w:customStyle="1" w:styleId="subsection">
    <w:name w:val="subsection"/>
    <w:aliases w:val="ss"/>
    <w:basedOn w:val="OPCParaBase"/>
    <w:link w:val="subsectionChar"/>
    <w:rsid w:val="00622209"/>
    <w:pPr>
      <w:tabs>
        <w:tab w:val="right" w:pos="1021"/>
      </w:tabs>
      <w:spacing w:before="180" w:line="240" w:lineRule="auto"/>
      <w:ind w:left="1134" w:hanging="1134"/>
    </w:pPr>
  </w:style>
  <w:style w:type="paragraph" w:customStyle="1" w:styleId="Definition">
    <w:name w:val="Definition"/>
    <w:aliases w:val="dd"/>
    <w:basedOn w:val="OPCParaBase"/>
    <w:rsid w:val="00622209"/>
    <w:pPr>
      <w:spacing w:before="180" w:line="240" w:lineRule="auto"/>
      <w:ind w:left="1134"/>
    </w:pPr>
  </w:style>
  <w:style w:type="paragraph" w:customStyle="1" w:styleId="ETAsubitem">
    <w:name w:val="ETA(subitem)"/>
    <w:basedOn w:val="OPCParaBase"/>
    <w:rsid w:val="00622209"/>
    <w:pPr>
      <w:tabs>
        <w:tab w:val="right" w:pos="340"/>
      </w:tabs>
      <w:spacing w:before="60" w:line="240" w:lineRule="auto"/>
      <w:ind w:left="454" w:hanging="454"/>
    </w:pPr>
    <w:rPr>
      <w:sz w:val="20"/>
    </w:rPr>
  </w:style>
  <w:style w:type="paragraph" w:customStyle="1" w:styleId="ETApara">
    <w:name w:val="ETA(para)"/>
    <w:basedOn w:val="OPCParaBase"/>
    <w:rsid w:val="00622209"/>
    <w:pPr>
      <w:tabs>
        <w:tab w:val="right" w:pos="754"/>
      </w:tabs>
      <w:spacing w:before="60" w:line="240" w:lineRule="auto"/>
      <w:ind w:left="828" w:hanging="828"/>
    </w:pPr>
    <w:rPr>
      <w:sz w:val="20"/>
    </w:rPr>
  </w:style>
  <w:style w:type="paragraph" w:customStyle="1" w:styleId="ETAsubpara">
    <w:name w:val="ETA(subpara)"/>
    <w:basedOn w:val="OPCParaBase"/>
    <w:rsid w:val="00622209"/>
    <w:pPr>
      <w:tabs>
        <w:tab w:val="right" w:pos="1083"/>
      </w:tabs>
      <w:spacing w:before="60" w:line="240" w:lineRule="auto"/>
      <w:ind w:left="1191" w:hanging="1191"/>
    </w:pPr>
    <w:rPr>
      <w:sz w:val="20"/>
    </w:rPr>
  </w:style>
  <w:style w:type="paragraph" w:customStyle="1" w:styleId="ETAsub-subpara">
    <w:name w:val="ETA(sub-subpara)"/>
    <w:basedOn w:val="OPCParaBase"/>
    <w:rsid w:val="00622209"/>
    <w:pPr>
      <w:tabs>
        <w:tab w:val="right" w:pos="1412"/>
      </w:tabs>
      <w:spacing w:before="60" w:line="240" w:lineRule="auto"/>
      <w:ind w:left="1525" w:hanging="1525"/>
    </w:pPr>
    <w:rPr>
      <w:sz w:val="20"/>
    </w:rPr>
  </w:style>
  <w:style w:type="paragraph" w:customStyle="1" w:styleId="Formula">
    <w:name w:val="Formula"/>
    <w:basedOn w:val="OPCParaBase"/>
    <w:rsid w:val="00622209"/>
    <w:pPr>
      <w:spacing w:line="240" w:lineRule="auto"/>
      <w:ind w:left="1134"/>
    </w:pPr>
    <w:rPr>
      <w:sz w:val="20"/>
    </w:rPr>
  </w:style>
  <w:style w:type="paragraph" w:styleId="Header">
    <w:name w:val="header"/>
    <w:basedOn w:val="OPCParaBase"/>
    <w:link w:val="HeaderChar"/>
    <w:unhideWhenUsed/>
    <w:rsid w:val="006222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2209"/>
    <w:rPr>
      <w:rFonts w:eastAsia="Times New Roman" w:cs="Times New Roman"/>
      <w:sz w:val="16"/>
      <w:lang w:eastAsia="en-AU"/>
    </w:rPr>
  </w:style>
  <w:style w:type="paragraph" w:customStyle="1" w:styleId="House">
    <w:name w:val="House"/>
    <w:basedOn w:val="OPCParaBase"/>
    <w:rsid w:val="00622209"/>
    <w:pPr>
      <w:spacing w:line="240" w:lineRule="auto"/>
    </w:pPr>
    <w:rPr>
      <w:sz w:val="28"/>
    </w:rPr>
  </w:style>
  <w:style w:type="paragraph" w:customStyle="1" w:styleId="Item">
    <w:name w:val="Item"/>
    <w:aliases w:val="i"/>
    <w:basedOn w:val="OPCParaBase"/>
    <w:next w:val="ItemHead"/>
    <w:rsid w:val="00622209"/>
    <w:pPr>
      <w:keepLines/>
      <w:spacing w:before="80" w:line="240" w:lineRule="auto"/>
      <w:ind w:left="709"/>
    </w:pPr>
  </w:style>
  <w:style w:type="paragraph" w:customStyle="1" w:styleId="ItemHead">
    <w:name w:val="ItemHead"/>
    <w:aliases w:val="ih"/>
    <w:basedOn w:val="OPCParaBase"/>
    <w:next w:val="Item"/>
    <w:rsid w:val="006222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2209"/>
    <w:pPr>
      <w:spacing w:line="240" w:lineRule="auto"/>
    </w:pPr>
    <w:rPr>
      <w:b/>
      <w:sz w:val="32"/>
    </w:rPr>
  </w:style>
  <w:style w:type="paragraph" w:customStyle="1" w:styleId="notedraft">
    <w:name w:val="note(draft)"/>
    <w:aliases w:val="nd"/>
    <w:basedOn w:val="OPCParaBase"/>
    <w:rsid w:val="00622209"/>
    <w:pPr>
      <w:spacing w:before="240" w:line="240" w:lineRule="auto"/>
      <w:ind w:left="284" w:hanging="284"/>
    </w:pPr>
    <w:rPr>
      <w:i/>
      <w:sz w:val="24"/>
    </w:rPr>
  </w:style>
  <w:style w:type="paragraph" w:customStyle="1" w:styleId="notemargin">
    <w:name w:val="note(margin)"/>
    <w:aliases w:val="nm"/>
    <w:basedOn w:val="OPCParaBase"/>
    <w:rsid w:val="00622209"/>
    <w:pPr>
      <w:tabs>
        <w:tab w:val="left" w:pos="709"/>
      </w:tabs>
      <w:spacing w:before="122" w:line="198" w:lineRule="exact"/>
      <w:ind w:left="709" w:hanging="709"/>
    </w:pPr>
    <w:rPr>
      <w:sz w:val="18"/>
    </w:rPr>
  </w:style>
  <w:style w:type="paragraph" w:customStyle="1" w:styleId="noteToPara">
    <w:name w:val="noteToPara"/>
    <w:aliases w:val="ntp"/>
    <w:basedOn w:val="OPCParaBase"/>
    <w:rsid w:val="00622209"/>
    <w:pPr>
      <w:spacing w:before="122" w:line="198" w:lineRule="exact"/>
      <w:ind w:left="2353" w:hanging="709"/>
    </w:pPr>
    <w:rPr>
      <w:sz w:val="18"/>
    </w:rPr>
  </w:style>
  <w:style w:type="paragraph" w:customStyle="1" w:styleId="noteParlAmend">
    <w:name w:val="note(ParlAmend)"/>
    <w:aliases w:val="npp"/>
    <w:basedOn w:val="OPCParaBase"/>
    <w:next w:val="ParlAmend"/>
    <w:rsid w:val="00622209"/>
    <w:pPr>
      <w:spacing w:line="240" w:lineRule="auto"/>
      <w:jc w:val="right"/>
    </w:pPr>
    <w:rPr>
      <w:rFonts w:ascii="Arial" w:hAnsi="Arial"/>
      <w:b/>
      <w:i/>
    </w:rPr>
  </w:style>
  <w:style w:type="paragraph" w:customStyle="1" w:styleId="notetext">
    <w:name w:val="note(text)"/>
    <w:aliases w:val="n"/>
    <w:basedOn w:val="OPCParaBase"/>
    <w:rsid w:val="00622209"/>
    <w:pPr>
      <w:spacing w:before="122" w:line="198" w:lineRule="exact"/>
      <w:ind w:left="1985" w:hanging="851"/>
    </w:pPr>
    <w:rPr>
      <w:sz w:val="18"/>
    </w:rPr>
  </w:style>
  <w:style w:type="paragraph" w:customStyle="1" w:styleId="Page1">
    <w:name w:val="Page1"/>
    <w:basedOn w:val="OPCParaBase"/>
    <w:rsid w:val="00622209"/>
    <w:pPr>
      <w:spacing w:before="400" w:line="240" w:lineRule="auto"/>
    </w:pPr>
    <w:rPr>
      <w:b/>
      <w:sz w:val="32"/>
    </w:rPr>
  </w:style>
  <w:style w:type="paragraph" w:customStyle="1" w:styleId="PageBreak">
    <w:name w:val="PageBreak"/>
    <w:aliases w:val="pb"/>
    <w:basedOn w:val="OPCParaBase"/>
    <w:rsid w:val="00622209"/>
    <w:pPr>
      <w:spacing w:line="240" w:lineRule="auto"/>
    </w:pPr>
    <w:rPr>
      <w:sz w:val="20"/>
    </w:rPr>
  </w:style>
  <w:style w:type="paragraph" w:customStyle="1" w:styleId="paragraphsub">
    <w:name w:val="paragraph(sub)"/>
    <w:aliases w:val="aa"/>
    <w:basedOn w:val="OPCParaBase"/>
    <w:rsid w:val="00622209"/>
    <w:pPr>
      <w:tabs>
        <w:tab w:val="right" w:pos="1985"/>
      </w:tabs>
      <w:spacing w:before="40" w:line="240" w:lineRule="auto"/>
      <w:ind w:left="2098" w:hanging="2098"/>
    </w:pPr>
  </w:style>
  <w:style w:type="paragraph" w:customStyle="1" w:styleId="paragraphsub-sub">
    <w:name w:val="paragraph(sub-sub)"/>
    <w:aliases w:val="aaa"/>
    <w:basedOn w:val="OPCParaBase"/>
    <w:rsid w:val="00622209"/>
    <w:pPr>
      <w:tabs>
        <w:tab w:val="right" w:pos="2722"/>
      </w:tabs>
      <w:spacing w:before="40" w:line="240" w:lineRule="auto"/>
      <w:ind w:left="2835" w:hanging="2835"/>
    </w:pPr>
  </w:style>
  <w:style w:type="paragraph" w:customStyle="1" w:styleId="paragraph">
    <w:name w:val="paragraph"/>
    <w:aliases w:val="a"/>
    <w:basedOn w:val="OPCParaBase"/>
    <w:link w:val="paragraphChar"/>
    <w:rsid w:val="00622209"/>
    <w:pPr>
      <w:tabs>
        <w:tab w:val="right" w:pos="1531"/>
      </w:tabs>
      <w:spacing w:before="40" w:line="240" w:lineRule="auto"/>
      <w:ind w:left="1644" w:hanging="1644"/>
    </w:pPr>
  </w:style>
  <w:style w:type="paragraph" w:customStyle="1" w:styleId="ParlAmend">
    <w:name w:val="ParlAmend"/>
    <w:aliases w:val="pp"/>
    <w:basedOn w:val="OPCParaBase"/>
    <w:rsid w:val="00622209"/>
    <w:pPr>
      <w:spacing w:before="240" w:line="240" w:lineRule="atLeast"/>
      <w:ind w:hanging="567"/>
    </w:pPr>
    <w:rPr>
      <w:sz w:val="24"/>
    </w:rPr>
  </w:style>
  <w:style w:type="paragraph" w:customStyle="1" w:styleId="Penalty">
    <w:name w:val="Penalty"/>
    <w:basedOn w:val="OPCParaBase"/>
    <w:rsid w:val="00622209"/>
    <w:pPr>
      <w:tabs>
        <w:tab w:val="left" w:pos="2977"/>
      </w:tabs>
      <w:spacing w:before="180" w:line="240" w:lineRule="auto"/>
      <w:ind w:left="1985" w:hanging="851"/>
    </w:pPr>
  </w:style>
  <w:style w:type="paragraph" w:customStyle="1" w:styleId="Portfolio">
    <w:name w:val="Portfolio"/>
    <w:basedOn w:val="OPCParaBase"/>
    <w:rsid w:val="00622209"/>
    <w:pPr>
      <w:spacing w:line="240" w:lineRule="auto"/>
    </w:pPr>
    <w:rPr>
      <w:i/>
      <w:sz w:val="20"/>
    </w:rPr>
  </w:style>
  <w:style w:type="paragraph" w:customStyle="1" w:styleId="Preamble">
    <w:name w:val="Preamble"/>
    <w:basedOn w:val="OPCParaBase"/>
    <w:next w:val="Normal"/>
    <w:rsid w:val="006222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209"/>
    <w:pPr>
      <w:spacing w:line="240" w:lineRule="auto"/>
    </w:pPr>
    <w:rPr>
      <w:i/>
      <w:sz w:val="20"/>
    </w:rPr>
  </w:style>
  <w:style w:type="paragraph" w:customStyle="1" w:styleId="Session">
    <w:name w:val="Session"/>
    <w:basedOn w:val="OPCParaBase"/>
    <w:rsid w:val="00622209"/>
    <w:pPr>
      <w:spacing w:line="240" w:lineRule="auto"/>
    </w:pPr>
    <w:rPr>
      <w:sz w:val="28"/>
    </w:rPr>
  </w:style>
  <w:style w:type="paragraph" w:customStyle="1" w:styleId="Sponsor">
    <w:name w:val="Sponsor"/>
    <w:basedOn w:val="OPCParaBase"/>
    <w:rsid w:val="00622209"/>
    <w:pPr>
      <w:spacing w:line="240" w:lineRule="auto"/>
    </w:pPr>
    <w:rPr>
      <w:i/>
    </w:rPr>
  </w:style>
  <w:style w:type="paragraph" w:customStyle="1" w:styleId="Subitem">
    <w:name w:val="Subitem"/>
    <w:aliases w:val="iss"/>
    <w:basedOn w:val="OPCParaBase"/>
    <w:rsid w:val="00622209"/>
    <w:pPr>
      <w:spacing w:before="180" w:line="240" w:lineRule="auto"/>
      <w:ind w:left="709" w:hanging="709"/>
    </w:pPr>
  </w:style>
  <w:style w:type="paragraph" w:customStyle="1" w:styleId="SubitemHead">
    <w:name w:val="SubitemHead"/>
    <w:aliases w:val="issh"/>
    <w:basedOn w:val="OPCParaBase"/>
    <w:rsid w:val="006222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209"/>
    <w:pPr>
      <w:spacing w:before="40" w:line="240" w:lineRule="auto"/>
      <w:ind w:left="1134"/>
    </w:pPr>
  </w:style>
  <w:style w:type="paragraph" w:customStyle="1" w:styleId="SubsectionHead">
    <w:name w:val="SubsectionHead"/>
    <w:aliases w:val="ssh"/>
    <w:basedOn w:val="OPCParaBase"/>
    <w:next w:val="subsection"/>
    <w:rsid w:val="00622209"/>
    <w:pPr>
      <w:keepNext/>
      <w:keepLines/>
      <w:spacing w:before="240" w:line="240" w:lineRule="auto"/>
      <w:ind w:left="1134"/>
    </w:pPr>
    <w:rPr>
      <w:i/>
    </w:rPr>
  </w:style>
  <w:style w:type="paragraph" w:customStyle="1" w:styleId="Tablea">
    <w:name w:val="Table(a)"/>
    <w:aliases w:val="ta"/>
    <w:basedOn w:val="OPCParaBase"/>
    <w:rsid w:val="00622209"/>
    <w:pPr>
      <w:spacing w:before="60" w:line="240" w:lineRule="auto"/>
      <w:ind w:left="284" w:hanging="284"/>
    </w:pPr>
    <w:rPr>
      <w:sz w:val="20"/>
    </w:rPr>
  </w:style>
  <w:style w:type="paragraph" w:customStyle="1" w:styleId="TableAA">
    <w:name w:val="Table(AA)"/>
    <w:aliases w:val="taaa"/>
    <w:basedOn w:val="OPCParaBase"/>
    <w:rsid w:val="006222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22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2209"/>
    <w:pPr>
      <w:spacing w:before="60" w:line="240" w:lineRule="atLeast"/>
    </w:pPr>
    <w:rPr>
      <w:sz w:val="20"/>
    </w:rPr>
  </w:style>
  <w:style w:type="paragraph" w:customStyle="1" w:styleId="TLPBoxTextnote">
    <w:name w:val="TLPBoxText(note"/>
    <w:aliases w:val="right)"/>
    <w:basedOn w:val="OPCParaBase"/>
    <w:rsid w:val="006222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2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2209"/>
    <w:pPr>
      <w:spacing w:before="122" w:line="198" w:lineRule="exact"/>
      <w:ind w:left="1985" w:hanging="851"/>
      <w:jc w:val="right"/>
    </w:pPr>
    <w:rPr>
      <w:sz w:val="18"/>
    </w:rPr>
  </w:style>
  <w:style w:type="paragraph" w:customStyle="1" w:styleId="TLPTableBullet">
    <w:name w:val="TLPTableBullet"/>
    <w:aliases w:val="ttb"/>
    <w:basedOn w:val="OPCParaBase"/>
    <w:rsid w:val="00622209"/>
    <w:pPr>
      <w:spacing w:line="240" w:lineRule="exact"/>
      <w:ind w:left="284" w:hanging="284"/>
    </w:pPr>
    <w:rPr>
      <w:sz w:val="20"/>
    </w:rPr>
  </w:style>
  <w:style w:type="paragraph" w:styleId="TOC1">
    <w:name w:val="toc 1"/>
    <w:basedOn w:val="OPCParaBase"/>
    <w:next w:val="Normal"/>
    <w:uiPriority w:val="39"/>
    <w:semiHidden/>
    <w:unhideWhenUsed/>
    <w:rsid w:val="006222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22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22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22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22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22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22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22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22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2209"/>
    <w:pPr>
      <w:keepLines/>
      <w:spacing w:before="240" w:after="120" w:line="240" w:lineRule="auto"/>
      <w:ind w:left="794"/>
    </w:pPr>
    <w:rPr>
      <w:b/>
      <w:kern w:val="28"/>
      <w:sz w:val="20"/>
    </w:rPr>
  </w:style>
  <w:style w:type="paragraph" w:customStyle="1" w:styleId="TofSectsHeading">
    <w:name w:val="TofSects(Heading)"/>
    <w:basedOn w:val="OPCParaBase"/>
    <w:rsid w:val="00622209"/>
    <w:pPr>
      <w:spacing w:before="240" w:after="120" w:line="240" w:lineRule="auto"/>
    </w:pPr>
    <w:rPr>
      <w:b/>
      <w:sz w:val="24"/>
    </w:rPr>
  </w:style>
  <w:style w:type="paragraph" w:customStyle="1" w:styleId="TofSectsSection">
    <w:name w:val="TofSects(Section)"/>
    <w:basedOn w:val="OPCParaBase"/>
    <w:rsid w:val="00622209"/>
    <w:pPr>
      <w:keepLines/>
      <w:spacing w:before="40" w:line="240" w:lineRule="auto"/>
      <w:ind w:left="1588" w:hanging="794"/>
    </w:pPr>
    <w:rPr>
      <w:kern w:val="28"/>
      <w:sz w:val="18"/>
    </w:rPr>
  </w:style>
  <w:style w:type="paragraph" w:customStyle="1" w:styleId="TofSectsSubdiv">
    <w:name w:val="TofSects(Subdiv)"/>
    <w:basedOn w:val="OPCParaBase"/>
    <w:rsid w:val="00622209"/>
    <w:pPr>
      <w:keepLines/>
      <w:spacing w:before="80" w:line="240" w:lineRule="auto"/>
      <w:ind w:left="1588" w:hanging="794"/>
    </w:pPr>
    <w:rPr>
      <w:kern w:val="28"/>
    </w:rPr>
  </w:style>
  <w:style w:type="paragraph" w:customStyle="1" w:styleId="WRStyle">
    <w:name w:val="WR Style"/>
    <w:aliases w:val="WR"/>
    <w:basedOn w:val="OPCParaBase"/>
    <w:rsid w:val="00622209"/>
    <w:pPr>
      <w:spacing w:before="240" w:line="240" w:lineRule="auto"/>
      <w:ind w:left="284" w:hanging="284"/>
    </w:pPr>
    <w:rPr>
      <w:b/>
      <w:i/>
      <w:kern w:val="28"/>
      <w:sz w:val="24"/>
    </w:rPr>
  </w:style>
  <w:style w:type="paragraph" w:customStyle="1" w:styleId="notepara">
    <w:name w:val="note(para)"/>
    <w:aliases w:val="na"/>
    <w:basedOn w:val="OPCParaBase"/>
    <w:rsid w:val="00622209"/>
    <w:pPr>
      <w:spacing w:before="40" w:line="198" w:lineRule="exact"/>
      <w:ind w:left="2354" w:hanging="369"/>
    </w:pPr>
    <w:rPr>
      <w:sz w:val="18"/>
    </w:rPr>
  </w:style>
  <w:style w:type="paragraph" w:styleId="Footer">
    <w:name w:val="footer"/>
    <w:link w:val="FooterChar"/>
    <w:rsid w:val="006222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2209"/>
    <w:rPr>
      <w:rFonts w:eastAsia="Times New Roman" w:cs="Times New Roman"/>
      <w:sz w:val="22"/>
      <w:szCs w:val="24"/>
      <w:lang w:eastAsia="en-AU"/>
    </w:rPr>
  </w:style>
  <w:style w:type="character" w:styleId="LineNumber">
    <w:name w:val="line number"/>
    <w:basedOn w:val="OPCCharBase"/>
    <w:uiPriority w:val="99"/>
    <w:semiHidden/>
    <w:unhideWhenUsed/>
    <w:rsid w:val="00622209"/>
    <w:rPr>
      <w:sz w:val="16"/>
    </w:rPr>
  </w:style>
  <w:style w:type="table" w:customStyle="1" w:styleId="CFlag">
    <w:name w:val="CFlag"/>
    <w:basedOn w:val="TableNormal"/>
    <w:uiPriority w:val="99"/>
    <w:rsid w:val="0062220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4C61AF"/>
    <w:rPr>
      <w:rFonts w:eastAsia="Times New Roman" w:cs="Times New Roman"/>
      <w:sz w:val="22"/>
      <w:lang w:eastAsia="en-AU"/>
    </w:rPr>
  </w:style>
  <w:style w:type="character" w:customStyle="1" w:styleId="subsectionChar">
    <w:name w:val="subsection Char"/>
    <w:aliases w:val="ss Char"/>
    <w:basedOn w:val="DefaultParagraphFont"/>
    <w:link w:val="subsection"/>
    <w:rsid w:val="00936D93"/>
    <w:rPr>
      <w:rFonts w:eastAsia="Times New Roman" w:cs="Times New Roman"/>
      <w:sz w:val="22"/>
      <w:lang w:eastAsia="en-AU"/>
    </w:rPr>
  </w:style>
  <w:style w:type="paragraph" w:customStyle="1" w:styleId="NotesHeading1">
    <w:name w:val="NotesHeading 1"/>
    <w:basedOn w:val="OPCParaBase"/>
    <w:next w:val="Normal"/>
    <w:rsid w:val="00622209"/>
    <w:rPr>
      <w:b/>
      <w:sz w:val="28"/>
      <w:szCs w:val="28"/>
    </w:rPr>
  </w:style>
  <w:style w:type="paragraph" w:customStyle="1" w:styleId="NotesHeading2">
    <w:name w:val="NotesHeading 2"/>
    <w:basedOn w:val="OPCParaBase"/>
    <w:next w:val="Normal"/>
    <w:rsid w:val="00622209"/>
    <w:rPr>
      <w:b/>
      <w:sz w:val="28"/>
      <w:szCs w:val="28"/>
    </w:rPr>
  </w:style>
  <w:style w:type="paragraph" w:customStyle="1" w:styleId="SignCoverPageEnd">
    <w:name w:val="SignCoverPageEnd"/>
    <w:basedOn w:val="OPCParaBase"/>
    <w:next w:val="Normal"/>
    <w:rsid w:val="006222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2209"/>
    <w:pPr>
      <w:pBdr>
        <w:top w:val="single" w:sz="4" w:space="1" w:color="auto"/>
      </w:pBdr>
      <w:spacing w:before="360"/>
      <w:ind w:right="397"/>
      <w:jc w:val="both"/>
    </w:pPr>
  </w:style>
  <w:style w:type="paragraph" w:customStyle="1" w:styleId="Paragraphsub-sub-sub">
    <w:name w:val="Paragraph(sub-sub-sub)"/>
    <w:aliases w:val="aaaa"/>
    <w:basedOn w:val="OPCParaBase"/>
    <w:rsid w:val="006222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22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22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22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220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622209"/>
    <w:pPr>
      <w:spacing w:before="120"/>
      <w:outlineLvl w:val="0"/>
    </w:pPr>
    <w:rPr>
      <w:b/>
      <w:sz w:val="28"/>
      <w:szCs w:val="28"/>
    </w:rPr>
  </w:style>
  <w:style w:type="paragraph" w:customStyle="1" w:styleId="ENotesHeading2">
    <w:name w:val="ENotesHeading 2"/>
    <w:aliases w:val="Enh2"/>
    <w:basedOn w:val="OPCParaBase"/>
    <w:next w:val="ENotesHeading3"/>
    <w:rsid w:val="00622209"/>
    <w:pPr>
      <w:spacing w:before="120" w:after="120"/>
      <w:outlineLvl w:val="6"/>
    </w:pPr>
    <w:rPr>
      <w:b/>
      <w:sz w:val="24"/>
      <w:szCs w:val="28"/>
    </w:rPr>
  </w:style>
  <w:style w:type="paragraph" w:customStyle="1" w:styleId="ENotesHeading3">
    <w:name w:val="ENotesHeading 3"/>
    <w:aliases w:val="Enh3"/>
    <w:basedOn w:val="OPCParaBase"/>
    <w:next w:val="Normal"/>
    <w:rsid w:val="00622209"/>
    <w:pPr>
      <w:spacing w:before="120" w:line="240" w:lineRule="auto"/>
      <w:outlineLvl w:val="7"/>
    </w:pPr>
    <w:rPr>
      <w:b/>
      <w:szCs w:val="24"/>
    </w:rPr>
  </w:style>
  <w:style w:type="paragraph" w:customStyle="1" w:styleId="ENotesText">
    <w:name w:val="ENotesText"/>
    <w:aliases w:val="Ent"/>
    <w:basedOn w:val="OPCParaBase"/>
    <w:next w:val="Normal"/>
    <w:rsid w:val="00622209"/>
    <w:pPr>
      <w:spacing w:before="120"/>
    </w:pPr>
  </w:style>
  <w:style w:type="paragraph" w:customStyle="1" w:styleId="SubPartCASA">
    <w:name w:val="SubPart(CASA)"/>
    <w:aliases w:val="csp"/>
    <w:basedOn w:val="OPCParaBase"/>
    <w:next w:val="ActHead3"/>
    <w:rsid w:val="00622209"/>
    <w:pPr>
      <w:keepNext/>
      <w:keepLines/>
      <w:spacing w:before="280"/>
      <w:outlineLvl w:val="1"/>
    </w:pPr>
    <w:rPr>
      <w:b/>
      <w:kern w:val="28"/>
      <w:sz w:val="32"/>
    </w:rPr>
  </w:style>
  <w:style w:type="paragraph" w:customStyle="1" w:styleId="TableTextEndNotes">
    <w:name w:val="TableTextEndNotes"/>
    <w:aliases w:val="Tten"/>
    <w:basedOn w:val="Normal"/>
    <w:rsid w:val="00622209"/>
    <w:pPr>
      <w:spacing w:before="60" w:line="240" w:lineRule="auto"/>
    </w:pPr>
    <w:rPr>
      <w:rFonts w:cs="Arial"/>
      <w:sz w:val="20"/>
      <w:szCs w:val="22"/>
    </w:rPr>
  </w:style>
  <w:style w:type="paragraph" w:customStyle="1" w:styleId="TableHeading">
    <w:name w:val="TableHeading"/>
    <w:aliases w:val="th"/>
    <w:basedOn w:val="OPCParaBase"/>
    <w:next w:val="Tabletext"/>
    <w:rsid w:val="00622209"/>
    <w:pPr>
      <w:spacing w:before="60" w:line="240" w:lineRule="atLeast"/>
    </w:pPr>
    <w:rPr>
      <w:b/>
      <w:sz w:val="20"/>
    </w:rPr>
  </w:style>
  <w:style w:type="character" w:customStyle="1" w:styleId="Heading1Char">
    <w:name w:val="Heading 1 Char"/>
    <w:basedOn w:val="DefaultParagraphFont"/>
    <w:link w:val="Heading1"/>
    <w:uiPriority w:val="9"/>
    <w:rsid w:val="00930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05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05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05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05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05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05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05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0577"/>
    <w:rPr>
      <w:rFonts w:asciiTheme="majorHAnsi" w:eastAsiaTheme="majorEastAsia" w:hAnsiTheme="majorHAnsi" w:cstheme="majorBidi"/>
      <w:i/>
      <w:iCs/>
      <w:color w:val="404040" w:themeColor="text1" w:themeTint="BF"/>
    </w:rPr>
  </w:style>
  <w:style w:type="paragraph" w:customStyle="1" w:styleId="NoteToSubpara">
    <w:name w:val="NoteToSubpara"/>
    <w:aliases w:val="nts"/>
    <w:basedOn w:val="OPCParaBase"/>
    <w:rsid w:val="00622209"/>
    <w:pPr>
      <w:spacing w:before="40" w:line="198" w:lineRule="exact"/>
      <w:ind w:left="2835" w:hanging="709"/>
    </w:pPr>
    <w:rPr>
      <w:sz w:val="18"/>
    </w:rPr>
  </w:style>
  <w:style w:type="paragraph" w:customStyle="1" w:styleId="ShortTP1">
    <w:name w:val="ShortTP1"/>
    <w:basedOn w:val="ShortT"/>
    <w:link w:val="ShortTP1Char"/>
    <w:rsid w:val="000C721D"/>
    <w:pPr>
      <w:spacing w:before="800"/>
    </w:pPr>
  </w:style>
  <w:style w:type="character" w:customStyle="1" w:styleId="OPCParaBaseChar">
    <w:name w:val="OPCParaBase Char"/>
    <w:basedOn w:val="DefaultParagraphFont"/>
    <w:link w:val="OPCParaBase"/>
    <w:rsid w:val="000C721D"/>
    <w:rPr>
      <w:rFonts w:eastAsia="Times New Roman" w:cs="Times New Roman"/>
      <w:sz w:val="22"/>
      <w:lang w:eastAsia="en-AU"/>
    </w:rPr>
  </w:style>
  <w:style w:type="character" w:customStyle="1" w:styleId="ShortTChar">
    <w:name w:val="ShortT Char"/>
    <w:basedOn w:val="OPCParaBaseChar"/>
    <w:link w:val="ShortT"/>
    <w:rsid w:val="000C721D"/>
    <w:rPr>
      <w:rFonts w:eastAsia="Times New Roman" w:cs="Times New Roman"/>
      <w:b/>
      <w:sz w:val="40"/>
      <w:lang w:eastAsia="en-AU"/>
    </w:rPr>
  </w:style>
  <w:style w:type="character" w:customStyle="1" w:styleId="ShortTP1Char">
    <w:name w:val="ShortTP1 Char"/>
    <w:basedOn w:val="ShortTChar"/>
    <w:link w:val="ShortTP1"/>
    <w:rsid w:val="000C721D"/>
    <w:rPr>
      <w:rFonts w:eastAsia="Times New Roman" w:cs="Times New Roman"/>
      <w:b/>
      <w:sz w:val="40"/>
      <w:lang w:eastAsia="en-AU"/>
    </w:rPr>
  </w:style>
  <w:style w:type="paragraph" w:customStyle="1" w:styleId="ActNoP1">
    <w:name w:val="ActNoP1"/>
    <w:basedOn w:val="Actno"/>
    <w:link w:val="ActNoP1Char"/>
    <w:rsid w:val="000C721D"/>
    <w:pPr>
      <w:spacing w:before="800"/>
    </w:pPr>
    <w:rPr>
      <w:sz w:val="28"/>
    </w:rPr>
  </w:style>
  <w:style w:type="character" w:customStyle="1" w:styleId="ActnoChar">
    <w:name w:val="Actno Char"/>
    <w:basedOn w:val="ShortTChar"/>
    <w:link w:val="Actno"/>
    <w:rsid w:val="000C721D"/>
    <w:rPr>
      <w:rFonts w:eastAsia="Times New Roman" w:cs="Times New Roman"/>
      <w:b/>
      <w:sz w:val="40"/>
      <w:lang w:eastAsia="en-AU"/>
    </w:rPr>
  </w:style>
  <w:style w:type="character" w:customStyle="1" w:styleId="ActNoP1Char">
    <w:name w:val="ActNoP1 Char"/>
    <w:basedOn w:val="ActnoChar"/>
    <w:link w:val="ActNoP1"/>
    <w:rsid w:val="000C721D"/>
    <w:rPr>
      <w:rFonts w:eastAsia="Times New Roman" w:cs="Times New Roman"/>
      <w:b/>
      <w:sz w:val="28"/>
      <w:lang w:eastAsia="en-AU"/>
    </w:rPr>
  </w:style>
  <w:style w:type="paragraph" w:customStyle="1" w:styleId="p1LinesBef">
    <w:name w:val="p1LinesBef"/>
    <w:basedOn w:val="Normal"/>
    <w:rsid w:val="000C721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C721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C721D"/>
  </w:style>
  <w:style w:type="character" w:customStyle="1" w:styleId="ShortTCPChar">
    <w:name w:val="ShortTCP Char"/>
    <w:basedOn w:val="ShortTChar"/>
    <w:link w:val="ShortTCP"/>
    <w:rsid w:val="000C721D"/>
    <w:rPr>
      <w:rFonts w:eastAsia="Times New Roman" w:cs="Times New Roman"/>
      <w:b/>
      <w:sz w:val="40"/>
      <w:lang w:eastAsia="en-AU"/>
    </w:rPr>
  </w:style>
  <w:style w:type="paragraph" w:customStyle="1" w:styleId="ActNoCP">
    <w:name w:val="ActNoCP"/>
    <w:basedOn w:val="Actno"/>
    <w:link w:val="ActNoCPChar"/>
    <w:rsid w:val="000C721D"/>
    <w:pPr>
      <w:spacing w:before="400"/>
    </w:pPr>
  </w:style>
  <w:style w:type="character" w:customStyle="1" w:styleId="ActNoCPChar">
    <w:name w:val="ActNoCP Char"/>
    <w:basedOn w:val="ActnoChar"/>
    <w:link w:val="ActNoCP"/>
    <w:rsid w:val="000C721D"/>
    <w:rPr>
      <w:rFonts w:eastAsia="Times New Roman" w:cs="Times New Roman"/>
      <w:b/>
      <w:sz w:val="40"/>
      <w:lang w:eastAsia="en-AU"/>
    </w:rPr>
  </w:style>
  <w:style w:type="paragraph" w:customStyle="1" w:styleId="AssentBk">
    <w:name w:val="AssentBk"/>
    <w:basedOn w:val="Normal"/>
    <w:rsid w:val="000C721D"/>
    <w:pPr>
      <w:spacing w:line="240" w:lineRule="auto"/>
    </w:pPr>
    <w:rPr>
      <w:rFonts w:eastAsia="Times New Roman" w:cs="Times New Roman"/>
      <w:sz w:val="20"/>
      <w:lang w:eastAsia="en-AU"/>
    </w:rPr>
  </w:style>
  <w:style w:type="paragraph" w:customStyle="1" w:styleId="AssentDt">
    <w:name w:val="AssentDt"/>
    <w:basedOn w:val="Normal"/>
    <w:rsid w:val="00470C53"/>
    <w:pPr>
      <w:spacing w:line="240" w:lineRule="auto"/>
    </w:pPr>
    <w:rPr>
      <w:rFonts w:eastAsia="Times New Roman" w:cs="Times New Roman"/>
      <w:sz w:val="20"/>
      <w:lang w:eastAsia="en-AU"/>
    </w:rPr>
  </w:style>
  <w:style w:type="paragraph" w:customStyle="1" w:styleId="2ndRd">
    <w:name w:val="2ndRd"/>
    <w:basedOn w:val="Normal"/>
    <w:rsid w:val="00470C53"/>
    <w:pPr>
      <w:spacing w:line="240" w:lineRule="auto"/>
    </w:pPr>
    <w:rPr>
      <w:rFonts w:eastAsia="Times New Roman" w:cs="Times New Roman"/>
      <w:sz w:val="20"/>
      <w:lang w:eastAsia="en-AU"/>
    </w:rPr>
  </w:style>
  <w:style w:type="paragraph" w:customStyle="1" w:styleId="ScalePlusRef">
    <w:name w:val="ScalePlusRef"/>
    <w:basedOn w:val="Normal"/>
    <w:rsid w:val="00470C5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2209"/>
    <w:pPr>
      <w:spacing w:line="260" w:lineRule="atLeast"/>
    </w:pPr>
    <w:rPr>
      <w:sz w:val="22"/>
    </w:rPr>
  </w:style>
  <w:style w:type="paragraph" w:styleId="Heading1">
    <w:name w:val="heading 1"/>
    <w:basedOn w:val="Normal"/>
    <w:next w:val="Normal"/>
    <w:link w:val="Heading1Char"/>
    <w:uiPriority w:val="9"/>
    <w:qFormat/>
    <w:rsid w:val="009305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05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05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05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05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05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05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05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05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2209"/>
  </w:style>
  <w:style w:type="paragraph" w:customStyle="1" w:styleId="OPCParaBase">
    <w:name w:val="OPCParaBase"/>
    <w:link w:val="OPCParaBaseChar"/>
    <w:qFormat/>
    <w:rsid w:val="006222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2209"/>
    <w:pPr>
      <w:spacing w:line="240" w:lineRule="auto"/>
    </w:pPr>
    <w:rPr>
      <w:b/>
      <w:sz w:val="40"/>
    </w:rPr>
  </w:style>
  <w:style w:type="paragraph" w:customStyle="1" w:styleId="ActHead1">
    <w:name w:val="ActHead 1"/>
    <w:aliases w:val="c"/>
    <w:basedOn w:val="OPCParaBase"/>
    <w:next w:val="Normal"/>
    <w:qFormat/>
    <w:rsid w:val="006222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2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2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2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2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2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2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2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2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2209"/>
  </w:style>
  <w:style w:type="paragraph" w:customStyle="1" w:styleId="Blocks">
    <w:name w:val="Blocks"/>
    <w:aliases w:val="bb"/>
    <w:basedOn w:val="OPCParaBase"/>
    <w:qFormat/>
    <w:rsid w:val="00622209"/>
    <w:pPr>
      <w:spacing w:line="240" w:lineRule="auto"/>
    </w:pPr>
    <w:rPr>
      <w:sz w:val="24"/>
    </w:rPr>
  </w:style>
  <w:style w:type="paragraph" w:customStyle="1" w:styleId="BoxText">
    <w:name w:val="BoxText"/>
    <w:aliases w:val="bt"/>
    <w:basedOn w:val="OPCParaBase"/>
    <w:qFormat/>
    <w:rsid w:val="006222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209"/>
    <w:rPr>
      <w:b/>
    </w:rPr>
  </w:style>
  <w:style w:type="paragraph" w:customStyle="1" w:styleId="BoxHeadItalic">
    <w:name w:val="BoxHeadItalic"/>
    <w:aliases w:val="bhi"/>
    <w:basedOn w:val="BoxText"/>
    <w:next w:val="BoxStep"/>
    <w:qFormat/>
    <w:rsid w:val="00622209"/>
    <w:rPr>
      <w:i/>
    </w:rPr>
  </w:style>
  <w:style w:type="paragraph" w:customStyle="1" w:styleId="BoxList">
    <w:name w:val="BoxList"/>
    <w:aliases w:val="bl"/>
    <w:basedOn w:val="BoxText"/>
    <w:qFormat/>
    <w:rsid w:val="00622209"/>
    <w:pPr>
      <w:ind w:left="1559" w:hanging="425"/>
    </w:pPr>
  </w:style>
  <w:style w:type="paragraph" w:customStyle="1" w:styleId="BoxNote">
    <w:name w:val="BoxNote"/>
    <w:aliases w:val="bn"/>
    <w:basedOn w:val="BoxText"/>
    <w:qFormat/>
    <w:rsid w:val="00622209"/>
    <w:pPr>
      <w:tabs>
        <w:tab w:val="left" w:pos="1985"/>
      </w:tabs>
      <w:spacing w:before="122" w:line="198" w:lineRule="exact"/>
      <w:ind w:left="2948" w:hanging="1814"/>
    </w:pPr>
    <w:rPr>
      <w:sz w:val="18"/>
    </w:rPr>
  </w:style>
  <w:style w:type="paragraph" w:customStyle="1" w:styleId="BoxPara">
    <w:name w:val="BoxPara"/>
    <w:aliases w:val="bp"/>
    <w:basedOn w:val="BoxText"/>
    <w:qFormat/>
    <w:rsid w:val="00622209"/>
    <w:pPr>
      <w:tabs>
        <w:tab w:val="right" w:pos="2268"/>
      </w:tabs>
      <w:ind w:left="2552" w:hanging="1418"/>
    </w:pPr>
  </w:style>
  <w:style w:type="paragraph" w:customStyle="1" w:styleId="BoxStep">
    <w:name w:val="BoxStep"/>
    <w:aliases w:val="bs"/>
    <w:basedOn w:val="BoxText"/>
    <w:qFormat/>
    <w:rsid w:val="00622209"/>
    <w:pPr>
      <w:ind w:left="1985" w:hanging="851"/>
    </w:pPr>
  </w:style>
  <w:style w:type="character" w:customStyle="1" w:styleId="CharAmPartNo">
    <w:name w:val="CharAmPartNo"/>
    <w:basedOn w:val="OPCCharBase"/>
    <w:qFormat/>
    <w:rsid w:val="00622209"/>
  </w:style>
  <w:style w:type="character" w:customStyle="1" w:styleId="CharAmPartText">
    <w:name w:val="CharAmPartText"/>
    <w:basedOn w:val="OPCCharBase"/>
    <w:qFormat/>
    <w:rsid w:val="00622209"/>
  </w:style>
  <w:style w:type="character" w:customStyle="1" w:styleId="CharAmSchNo">
    <w:name w:val="CharAmSchNo"/>
    <w:basedOn w:val="OPCCharBase"/>
    <w:qFormat/>
    <w:rsid w:val="00622209"/>
  </w:style>
  <w:style w:type="character" w:customStyle="1" w:styleId="CharAmSchText">
    <w:name w:val="CharAmSchText"/>
    <w:basedOn w:val="OPCCharBase"/>
    <w:qFormat/>
    <w:rsid w:val="00622209"/>
  </w:style>
  <w:style w:type="character" w:customStyle="1" w:styleId="CharBoldItalic">
    <w:name w:val="CharBoldItalic"/>
    <w:basedOn w:val="OPCCharBase"/>
    <w:uiPriority w:val="1"/>
    <w:qFormat/>
    <w:rsid w:val="00622209"/>
    <w:rPr>
      <w:b/>
      <w:i/>
    </w:rPr>
  </w:style>
  <w:style w:type="character" w:customStyle="1" w:styleId="CharChapNo">
    <w:name w:val="CharChapNo"/>
    <w:basedOn w:val="OPCCharBase"/>
    <w:uiPriority w:val="1"/>
    <w:qFormat/>
    <w:rsid w:val="00622209"/>
  </w:style>
  <w:style w:type="character" w:customStyle="1" w:styleId="CharChapText">
    <w:name w:val="CharChapText"/>
    <w:basedOn w:val="OPCCharBase"/>
    <w:uiPriority w:val="1"/>
    <w:qFormat/>
    <w:rsid w:val="00622209"/>
  </w:style>
  <w:style w:type="character" w:customStyle="1" w:styleId="CharDivNo">
    <w:name w:val="CharDivNo"/>
    <w:basedOn w:val="OPCCharBase"/>
    <w:uiPriority w:val="1"/>
    <w:qFormat/>
    <w:rsid w:val="00622209"/>
  </w:style>
  <w:style w:type="character" w:customStyle="1" w:styleId="CharDivText">
    <w:name w:val="CharDivText"/>
    <w:basedOn w:val="OPCCharBase"/>
    <w:uiPriority w:val="1"/>
    <w:qFormat/>
    <w:rsid w:val="00622209"/>
  </w:style>
  <w:style w:type="character" w:customStyle="1" w:styleId="CharItalic">
    <w:name w:val="CharItalic"/>
    <w:basedOn w:val="OPCCharBase"/>
    <w:uiPriority w:val="1"/>
    <w:qFormat/>
    <w:rsid w:val="00622209"/>
    <w:rPr>
      <w:i/>
    </w:rPr>
  </w:style>
  <w:style w:type="character" w:customStyle="1" w:styleId="CharPartNo">
    <w:name w:val="CharPartNo"/>
    <w:basedOn w:val="OPCCharBase"/>
    <w:uiPriority w:val="1"/>
    <w:qFormat/>
    <w:rsid w:val="00622209"/>
  </w:style>
  <w:style w:type="character" w:customStyle="1" w:styleId="CharPartText">
    <w:name w:val="CharPartText"/>
    <w:basedOn w:val="OPCCharBase"/>
    <w:uiPriority w:val="1"/>
    <w:qFormat/>
    <w:rsid w:val="00622209"/>
  </w:style>
  <w:style w:type="character" w:customStyle="1" w:styleId="CharSectno">
    <w:name w:val="CharSectno"/>
    <w:basedOn w:val="OPCCharBase"/>
    <w:qFormat/>
    <w:rsid w:val="00622209"/>
  </w:style>
  <w:style w:type="character" w:customStyle="1" w:styleId="CharSubdNo">
    <w:name w:val="CharSubdNo"/>
    <w:basedOn w:val="OPCCharBase"/>
    <w:uiPriority w:val="1"/>
    <w:qFormat/>
    <w:rsid w:val="00622209"/>
  </w:style>
  <w:style w:type="character" w:customStyle="1" w:styleId="CharSubdText">
    <w:name w:val="CharSubdText"/>
    <w:basedOn w:val="OPCCharBase"/>
    <w:uiPriority w:val="1"/>
    <w:qFormat/>
    <w:rsid w:val="00622209"/>
  </w:style>
  <w:style w:type="paragraph" w:customStyle="1" w:styleId="CTA--">
    <w:name w:val="CTA --"/>
    <w:basedOn w:val="OPCParaBase"/>
    <w:next w:val="Normal"/>
    <w:rsid w:val="00622209"/>
    <w:pPr>
      <w:spacing w:before="60" w:line="240" w:lineRule="atLeast"/>
      <w:ind w:left="142" w:hanging="142"/>
    </w:pPr>
    <w:rPr>
      <w:sz w:val="20"/>
    </w:rPr>
  </w:style>
  <w:style w:type="paragraph" w:customStyle="1" w:styleId="CTA-">
    <w:name w:val="CTA -"/>
    <w:basedOn w:val="OPCParaBase"/>
    <w:rsid w:val="00622209"/>
    <w:pPr>
      <w:spacing w:before="60" w:line="240" w:lineRule="atLeast"/>
      <w:ind w:left="85" w:hanging="85"/>
    </w:pPr>
    <w:rPr>
      <w:sz w:val="20"/>
    </w:rPr>
  </w:style>
  <w:style w:type="paragraph" w:customStyle="1" w:styleId="CTA---">
    <w:name w:val="CTA ---"/>
    <w:basedOn w:val="OPCParaBase"/>
    <w:next w:val="Normal"/>
    <w:rsid w:val="00622209"/>
    <w:pPr>
      <w:spacing w:before="60" w:line="240" w:lineRule="atLeast"/>
      <w:ind w:left="198" w:hanging="198"/>
    </w:pPr>
    <w:rPr>
      <w:sz w:val="20"/>
    </w:rPr>
  </w:style>
  <w:style w:type="paragraph" w:customStyle="1" w:styleId="CTA----">
    <w:name w:val="CTA ----"/>
    <w:basedOn w:val="OPCParaBase"/>
    <w:next w:val="Normal"/>
    <w:rsid w:val="00622209"/>
    <w:pPr>
      <w:spacing w:before="60" w:line="240" w:lineRule="atLeast"/>
      <w:ind w:left="255" w:hanging="255"/>
    </w:pPr>
    <w:rPr>
      <w:sz w:val="20"/>
    </w:rPr>
  </w:style>
  <w:style w:type="paragraph" w:customStyle="1" w:styleId="CTA1a">
    <w:name w:val="CTA 1(a)"/>
    <w:basedOn w:val="OPCParaBase"/>
    <w:rsid w:val="00622209"/>
    <w:pPr>
      <w:tabs>
        <w:tab w:val="right" w:pos="414"/>
      </w:tabs>
      <w:spacing w:before="40" w:line="240" w:lineRule="atLeast"/>
      <w:ind w:left="675" w:hanging="675"/>
    </w:pPr>
    <w:rPr>
      <w:sz w:val="20"/>
    </w:rPr>
  </w:style>
  <w:style w:type="paragraph" w:customStyle="1" w:styleId="CTA1ai">
    <w:name w:val="CTA 1(a)(i)"/>
    <w:basedOn w:val="OPCParaBase"/>
    <w:rsid w:val="00622209"/>
    <w:pPr>
      <w:tabs>
        <w:tab w:val="right" w:pos="1004"/>
      </w:tabs>
      <w:spacing w:before="40" w:line="240" w:lineRule="atLeast"/>
      <w:ind w:left="1253" w:hanging="1253"/>
    </w:pPr>
    <w:rPr>
      <w:sz w:val="20"/>
    </w:rPr>
  </w:style>
  <w:style w:type="paragraph" w:customStyle="1" w:styleId="CTA2a">
    <w:name w:val="CTA 2(a)"/>
    <w:basedOn w:val="OPCParaBase"/>
    <w:rsid w:val="00622209"/>
    <w:pPr>
      <w:tabs>
        <w:tab w:val="right" w:pos="482"/>
      </w:tabs>
      <w:spacing w:before="40" w:line="240" w:lineRule="atLeast"/>
      <w:ind w:left="748" w:hanging="748"/>
    </w:pPr>
    <w:rPr>
      <w:sz w:val="20"/>
    </w:rPr>
  </w:style>
  <w:style w:type="paragraph" w:customStyle="1" w:styleId="CTA2ai">
    <w:name w:val="CTA 2(a)(i)"/>
    <w:basedOn w:val="OPCParaBase"/>
    <w:rsid w:val="00622209"/>
    <w:pPr>
      <w:tabs>
        <w:tab w:val="right" w:pos="1089"/>
      </w:tabs>
      <w:spacing w:before="40" w:line="240" w:lineRule="atLeast"/>
      <w:ind w:left="1327" w:hanging="1327"/>
    </w:pPr>
    <w:rPr>
      <w:sz w:val="20"/>
    </w:rPr>
  </w:style>
  <w:style w:type="paragraph" w:customStyle="1" w:styleId="CTA3a">
    <w:name w:val="CTA 3(a)"/>
    <w:basedOn w:val="OPCParaBase"/>
    <w:rsid w:val="00622209"/>
    <w:pPr>
      <w:tabs>
        <w:tab w:val="right" w:pos="556"/>
      </w:tabs>
      <w:spacing w:before="40" w:line="240" w:lineRule="atLeast"/>
      <w:ind w:left="805" w:hanging="805"/>
    </w:pPr>
    <w:rPr>
      <w:sz w:val="20"/>
    </w:rPr>
  </w:style>
  <w:style w:type="paragraph" w:customStyle="1" w:styleId="CTA3ai">
    <w:name w:val="CTA 3(a)(i)"/>
    <w:basedOn w:val="OPCParaBase"/>
    <w:rsid w:val="00622209"/>
    <w:pPr>
      <w:tabs>
        <w:tab w:val="right" w:pos="1140"/>
      </w:tabs>
      <w:spacing w:before="40" w:line="240" w:lineRule="atLeast"/>
      <w:ind w:left="1361" w:hanging="1361"/>
    </w:pPr>
    <w:rPr>
      <w:sz w:val="20"/>
    </w:rPr>
  </w:style>
  <w:style w:type="paragraph" w:customStyle="1" w:styleId="CTA4a">
    <w:name w:val="CTA 4(a)"/>
    <w:basedOn w:val="OPCParaBase"/>
    <w:rsid w:val="00622209"/>
    <w:pPr>
      <w:tabs>
        <w:tab w:val="right" w:pos="624"/>
      </w:tabs>
      <w:spacing w:before="40" w:line="240" w:lineRule="atLeast"/>
      <w:ind w:left="873" w:hanging="873"/>
    </w:pPr>
    <w:rPr>
      <w:sz w:val="20"/>
    </w:rPr>
  </w:style>
  <w:style w:type="paragraph" w:customStyle="1" w:styleId="CTA4ai">
    <w:name w:val="CTA 4(a)(i)"/>
    <w:basedOn w:val="OPCParaBase"/>
    <w:rsid w:val="00622209"/>
    <w:pPr>
      <w:tabs>
        <w:tab w:val="right" w:pos="1213"/>
      </w:tabs>
      <w:spacing w:before="40" w:line="240" w:lineRule="atLeast"/>
      <w:ind w:left="1452" w:hanging="1452"/>
    </w:pPr>
    <w:rPr>
      <w:sz w:val="20"/>
    </w:rPr>
  </w:style>
  <w:style w:type="paragraph" w:customStyle="1" w:styleId="CTACAPS">
    <w:name w:val="CTA CAPS"/>
    <w:basedOn w:val="OPCParaBase"/>
    <w:rsid w:val="00622209"/>
    <w:pPr>
      <w:spacing w:before="60" w:line="240" w:lineRule="atLeast"/>
    </w:pPr>
    <w:rPr>
      <w:sz w:val="20"/>
    </w:rPr>
  </w:style>
  <w:style w:type="paragraph" w:customStyle="1" w:styleId="CTAright">
    <w:name w:val="CTA right"/>
    <w:basedOn w:val="OPCParaBase"/>
    <w:rsid w:val="00622209"/>
    <w:pPr>
      <w:spacing w:before="60" w:line="240" w:lineRule="auto"/>
      <w:jc w:val="right"/>
    </w:pPr>
    <w:rPr>
      <w:sz w:val="20"/>
    </w:rPr>
  </w:style>
  <w:style w:type="paragraph" w:customStyle="1" w:styleId="subsection">
    <w:name w:val="subsection"/>
    <w:aliases w:val="ss"/>
    <w:basedOn w:val="OPCParaBase"/>
    <w:link w:val="subsectionChar"/>
    <w:rsid w:val="00622209"/>
    <w:pPr>
      <w:tabs>
        <w:tab w:val="right" w:pos="1021"/>
      </w:tabs>
      <w:spacing w:before="180" w:line="240" w:lineRule="auto"/>
      <w:ind w:left="1134" w:hanging="1134"/>
    </w:pPr>
  </w:style>
  <w:style w:type="paragraph" w:customStyle="1" w:styleId="Definition">
    <w:name w:val="Definition"/>
    <w:aliases w:val="dd"/>
    <w:basedOn w:val="OPCParaBase"/>
    <w:rsid w:val="00622209"/>
    <w:pPr>
      <w:spacing w:before="180" w:line="240" w:lineRule="auto"/>
      <w:ind w:left="1134"/>
    </w:pPr>
  </w:style>
  <w:style w:type="paragraph" w:customStyle="1" w:styleId="ETAsubitem">
    <w:name w:val="ETA(subitem)"/>
    <w:basedOn w:val="OPCParaBase"/>
    <w:rsid w:val="00622209"/>
    <w:pPr>
      <w:tabs>
        <w:tab w:val="right" w:pos="340"/>
      </w:tabs>
      <w:spacing w:before="60" w:line="240" w:lineRule="auto"/>
      <w:ind w:left="454" w:hanging="454"/>
    </w:pPr>
    <w:rPr>
      <w:sz w:val="20"/>
    </w:rPr>
  </w:style>
  <w:style w:type="paragraph" w:customStyle="1" w:styleId="ETApara">
    <w:name w:val="ETA(para)"/>
    <w:basedOn w:val="OPCParaBase"/>
    <w:rsid w:val="00622209"/>
    <w:pPr>
      <w:tabs>
        <w:tab w:val="right" w:pos="754"/>
      </w:tabs>
      <w:spacing w:before="60" w:line="240" w:lineRule="auto"/>
      <w:ind w:left="828" w:hanging="828"/>
    </w:pPr>
    <w:rPr>
      <w:sz w:val="20"/>
    </w:rPr>
  </w:style>
  <w:style w:type="paragraph" w:customStyle="1" w:styleId="ETAsubpara">
    <w:name w:val="ETA(subpara)"/>
    <w:basedOn w:val="OPCParaBase"/>
    <w:rsid w:val="00622209"/>
    <w:pPr>
      <w:tabs>
        <w:tab w:val="right" w:pos="1083"/>
      </w:tabs>
      <w:spacing w:before="60" w:line="240" w:lineRule="auto"/>
      <w:ind w:left="1191" w:hanging="1191"/>
    </w:pPr>
    <w:rPr>
      <w:sz w:val="20"/>
    </w:rPr>
  </w:style>
  <w:style w:type="paragraph" w:customStyle="1" w:styleId="ETAsub-subpara">
    <w:name w:val="ETA(sub-subpara)"/>
    <w:basedOn w:val="OPCParaBase"/>
    <w:rsid w:val="00622209"/>
    <w:pPr>
      <w:tabs>
        <w:tab w:val="right" w:pos="1412"/>
      </w:tabs>
      <w:spacing w:before="60" w:line="240" w:lineRule="auto"/>
      <w:ind w:left="1525" w:hanging="1525"/>
    </w:pPr>
    <w:rPr>
      <w:sz w:val="20"/>
    </w:rPr>
  </w:style>
  <w:style w:type="paragraph" w:customStyle="1" w:styleId="Formula">
    <w:name w:val="Formula"/>
    <w:basedOn w:val="OPCParaBase"/>
    <w:rsid w:val="00622209"/>
    <w:pPr>
      <w:spacing w:line="240" w:lineRule="auto"/>
      <w:ind w:left="1134"/>
    </w:pPr>
    <w:rPr>
      <w:sz w:val="20"/>
    </w:rPr>
  </w:style>
  <w:style w:type="paragraph" w:styleId="Header">
    <w:name w:val="header"/>
    <w:basedOn w:val="OPCParaBase"/>
    <w:link w:val="HeaderChar"/>
    <w:unhideWhenUsed/>
    <w:rsid w:val="006222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2209"/>
    <w:rPr>
      <w:rFonts w:eastAsia="Times New Roman" w:cs="Times New Roman"/>
      <w:sz w:val="16"/>
      <w:lang w:eastAsia="en-AU"/>
    </w:rPr>
  </w:style>
  <w:style w:type="paragraph" w:customStyle="1" w:styleId="House">
    <w:name w:val="House"/>
    <w:basedOn w:val="OPCParaBase"/>
    <w:rsid w:val="00622209"/>
    <w:pPr>
      <w:spacing w:line="240" w:lineRule="auto"/>
    </w:pPr>
    <w:rPr>
      <w:sz w:val="28"/>
    </w:rPr>
  </w:style>
  <w:style w:type="paragraph" w:customStyle="1" w:styleId="Item">
    <w:name w:val="Item"/>
    <w:aliases w:val="i"/>
    <w:basedOn w:val="OPCParaBase"/>
    <w:next w:val="ItemHead"/>
    <w:rsid w:val="00622209"/>
    <w:pPr>
      <w:keepLines/>
      <w:spacing w:before="80" w:line="240" w:lineRule="auto"/>
      <w:ind w:left="709"/>
    </w:pPr>
  </w:style>
  <w:style w:type="paragraph" w:customStyle="1" w:styleId="ItemHead">
    <w:name w:val="ItemHead"/>
    <w:aliases w:val="ih"/>
    <w:basedOn w:val="OPCParaBase"/>
    <w:next w:val="Item"/>
    <w:rsid w:val="006222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2209"/>
    <w:pPr>
      <w:spacing w:line="240" w:lineRule="auto"/>
    </w:pPr>
    <w:rPr>
      <w:b/>
      <w:sz w:val="32"/>
    </w:rPr>
  </w:style>
  <w:style w:type="paragraph" w:customStyle="1" w:styleId="notedraft">
    <w:name w:val="note(draft)"/>
    <w:aliases w:val="nd"/>
    <w:basedOn w:val="OPCParaBase"/>
    <w:rsid w:val="00622209"/>
    <w:pPr>
      <w:spacing w:before="240" w:line="240" w:lineRule="auto"/>
      <w:ind w:left="284" w:hanging="284"/>
    </w:pPr>
    <w:rPr>
      <w:i/>
      <w:sz w:val="24"/>
    </w:rPr>
  </w:style>
  <w:style w:type="paragraph" w:customStyle="1" w:styleId="notemargin">
    <w:name w:val="note(margin)"/>
    <w:aliases w:val="nm"/>
    <w:basedOn w:val="OPCParaBase"/>
    <w:rsid w:val="00622209"/>
    <w:pPr>
      <w:tabs>
        <w:tab w:val="left" w:pos="709"/>
      </w:tabs>
      <w:spacing w:before="122" w:line="198" w:lineRule="exact"/>
      <w:ind w:left="709" w:hanging="709"/>
    </w:pPr>
    <w:rPr>
      <w:sz w:val="18"/>
    </w:rPr>
  </w:style>
  <w:style w:type="paragraph" w:customStyle="1" w:styleId="noteToPara">
    <w:name w:val="noteToPara"/>
    <w:aliases w:val="ntp"/>
    <w:basedOn w:val="OPCParaBase"/>
    <w:rsid w:val="00622209"/>
    <w:pPr>
      <w:spacing w:before="122" w:line="198" w:lineRule="exact"/>
      <w:ind w:left="2353" w:hanging="709"/>
    </w:pPr>
    <w:rPr>
      <w:sz w:val="18"/>
    </w:rPr>
  </w:style>
  <w:style w:type="paragraph" w:customStyle="1" w:styleId="noteParlAmend">
    <w:name w:val="note(ParlAmend)"/>
    <w:aliases w:val="npp"/>
    <w:basedOn w:val="OPCParaBase"/>
    <w:next w:val="ParlAmend"/>
    <w:rsid w:val="00622209"/>
    <w:pPr>
      <w:spacing w:line="240" w:lineRule="auto"/>
      <w:jc w:val="right"/>
    </w:pPr>
    <w:rPr>
      <w:rFonts w:ascii="Arial" w:hAnsi="Arial"/>
      <w:b/>
      <w:i/>
    </w:rPr>
  </w:style>
  <w:style w:type="paragraph" w:customStyle="1" w:styleId="notetext">
    <w:name w:val="note(text)"/>
    <w:aliases w:val="n"/>
    <w:basedOn w:val="OPCParaBase"/>
    <w:rsid w:val="00622209"/>
    <w:pPr>
      <w:spacing w:before="122" w:line="198" w:lineRule="exact"/>
      <w:ind w:left="1985" w:hanging="851"/>
    </w:pPr>
    <w:rPr>
      <w:sz w:val="18"/>
    </w:rPr>
  </w:style>
  <w:style w:type="paragraph" w:customStyle="1" w:styleId="Page1">
    <w:name w:val="Page1"/>
    <w:basedOn w:val="OPCParaBase"/>
    <w:rsid w:val="00622209"/>
    <w:pPr>
      <w:spacing w:before="400" w:line="240" w:lineRule="auto"/>
    </w:pPr>
    <w:rPr>
      <w:b/>
      <w:sz w:val="32"/>
    </w:rPr>
  </w:style>
  <w:style w:type="paragraph" w:customStyle="1" w:styleId="PageBreak">
    <w:name w:val="PageBreak"/>
    <w:aliases w:val="pb"/>
    <w:basedOn w:val="OPCParaBase"/>
    <w:rsid w:val="00622209"/>
    <w:pPr>
      <w:spacing w:line="240" w:lineRule="auto"/>
    </w:pPr>
    <w:rPr>
      <w:sz w:val="20"/>
    </w:rPr>
  </w:style>
  <w:style w:type="paragraph" w:customStyle="1" w:styleId="paragraphsub">
    <w:name w:val="paragraph(sub)"/>
    <w:aliases w:val="aa"/>
    <w:basedOn w:val="OPCParaBase"/>
    <w:rsid w:val="00622209"/>
    <w:pPr>
      <w:tabs>
        <w:tab w:val="right" w:pos="1985"/>
      </w:tabs>
      <w:spacing w:before="40" w:line="240" w:lineRule="auto"/>
      <w:ind w:left="2098" w:hanging="2098"/>
    </w:pPr>
  </w:style>
  <w:style w:type="paragraph" w:customStyle="1" w:styleId="paragraphsub-sub">
    <w:name w:val="paragraph(sub-sub)"/>
    <w:aliases w:val="aaa"/>
    <w:basedOn w:val="OPCParaBase"/>
    <w:rsid w:val="00622209"/>
    <w:pPr>
      <w:tabs>
        <w:tab w:val="right" w:pos="2722"/>
      </w:tabs>
      <w:spacing w:before="40" w:line="240" w:lineRule="auto"/>
      <w:ind w:left="2835" w:hanging="2835"/>
    </w:pPr>
  </w:style>
  <w:style w:type="paragraph" w:customStyle="1" w:styleId="paragraph">
    <w:name w:val="paragraph"/>
    <w:aliases w:val="a"/>
    <w:basedOn w:val="OPCParaBase"/>
    <w:link w:val="paragraphChar"/>
    <w:rsid w:val="00622209"/>
    <w:pPr>
      <w:tabs>
        <w:tab w:val="right" w:pos="1531"/>
      </w:tabs>
      <w:spacing w:before="40" w:line="240" w:lineRule="auto"/>
      <w:ind w:left="1644" w:hanging="1644"/>
    </w:pPr>
  </w:style>
  <w:style w:type="paragraph" w:customStyle="1" w:styleId="ParlAmend">
    <w:name w:val="ParlAmend"/>
    <w:aliases w:val="pp"/>
    <w:basedOn w:val="OPCParaBase"/>
    <w:rsid w:val="00622209"/>
    <w:pPr>
      <w:spacing w:before="240" w:line="240" w:lineRule="atLeast"/>
      <w:ind w:hanging="567"/>
    </w:pPr>
    <w:rPr>
      <w:sz w:val="24"/>
    </w:rPr>
  </w:style>
  <w:style w:type="paragraph" w:customStyle="1" w:styleId="Penalty">
    <w:name w:val="Penalty"/>
    <w:basedOn w:val="OPCParaBase"/>
    <w:rsid w:val="00622209"/>
    <w:pPr>
      <w:tabs>
        <w:tab w:val="left" w:pos="2977"/>
      </w:tabs>
      <w:spacing w:before="180" w:line="240" w:lineRule="auto"/>
      <w:ind w:left="1985" w:hanging="851"/>
    </w:pPr>
  </w:style>
  <w:style w:type="paragraph" w:customStyle="1" w:styleId="Portfolio">
    <w:name w:val="Portfolio"/>
    <w:basedOn w:val="OPCParaBase"/>
    <w:rsid w:val="00622209"/>
    <w:pPr>
      <w:spacing w:line="240" w:lineRule="auto"/>
    </w:pPr>
    <w:rPr>
      <w:i/>
      <w:sz w:val="20"/>
    </w:rPr>
  </w:style>
  <w:style w:type="paragraph" w:customStyle="1" w:styleId="Preamble">
    <w:name w:val="Preamble"/>
    <w:basedOn w:val="OPCParaBase"/>
    <w:next w:val="Normal"/>
    <w:rsid w:val="006222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209"/>
    <w:pPr>
      <w:spacing w:line="240" w:lineRule="auto"/>
    </w:pPr>
    <w:rPr>
      <w:i/>
      <w:sz w:val="20"/>
    </w:rPr>
  </w:style>
  <w:style w:type="paragraph" w:customStyle="1" w:styleId="Session">
    <w:name w:val="Session"/>
    <w:basedOn w:val="OPCParaBase"/>
    <w:rsid w:val="00622209"/>
    <w:pPr>
      <w:spacing w:line="240" w:lineRule="auto"/>
    </w:pPr>
    <w:rPr>
      <w:sz w:val="28"/>
    </w:rPr>
  </w:style>
  <w:style w:type="paragraph" w:customStyle="1" w:styleId="Sponsor">
    <w:name w:val="Sponsor"/>
    <w:basedOn w:val="OPCParaBase"/>
    <w:rsid w:val="00622209"/>
    <w:pPr>
      <w:spacing w:line="240" w:lineRule="auto"/>
    </w:pPr>
    <w:rPr>
      <w:i/>
    </w:rPr>
  </w:style>
  <w:style w:type="paragraph" w:customStyle="1" w:styleId="Subitem">
    <w:name w:val="Subitem"/>
    <w:aliases w:val="iss"/>
    <w:basedOn w:val="OPCParaBase"/>
    <w:rsid w:val="00622209"/>
    <w:pPr>
      <w:spacing w:before="180" w:line="240" w:lineRule="auto"/>
      <w:ind w:left="709" w:hanging="709"/>
    </w:pPr>
  </w:style>
  <w:style w:type="paragraph" w:customStyle="1" w:styleId="SubitemHead">
    <w:name w:val="SubitemHead"/>
    <w:aliases w:val="issh"/>
    <w:basedOn w:val="OPCParaBase"/>
    <w:rsid w:val="006222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209"/>
    <w:pPr>
      <w:spacing w:before="40" w:line="240" w:lineRule="auto"/>
      <w:ind w:left="1134"/>
    </w:pPr>
  </w:style>
  <w:style w:type="paragraph" w:customStyle="1" w:styleId="SubsectionHead">
    <w:name w:val="SubsectionHead"/>
    <w:aliases w:val="ssh"/>
    <w:basedOn w:val="OPCParaBase"/>
    <w:next w:val="subsection"/>
    <w:rsid w:val="00622209"/>
    <w:pPr>
      <w:keepNext/>
      <w:keepLines/>
      <w:spacing w:before="240" w:line="240" w:lineRule="auto"/>
      <w:ind w:left="1134"/>
    </w:pPr>
    <w:rPr>
      <w:i/>
    </w:rPr>
  </w:style>
  <w:style w:type="paragraph" w:customStyle="1" w:styleId="Tablea">
    <w:name w:val="Table(a)"/>
    <w:aliases w:val="ta"/>
    <w:basedOn w:val="OPCParaBase"/>
    <w:rsid w:val="00622209"/>
    <w:pPr>
      <w:spacing w:before="60" w:line="240" w:lineRule="auto"/>
      <w:ind w:left="284" w:hanging="284"/>
    </w:pPr>
    <w:rPr>
      <w:sz w:val="20"/>
    </w:rPr>
  </w:style>
  <w:style w:type="paragraph" w:customStyle="1" w:styleId="TableAA">
    <w:name w:val="Table(AA)"/>
    <w:aliases w:val="taaa"/>
    <w:basedOn w:val="OPCParaBase"/>
    <w:rsid w:val="006222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22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2209"/>
    <w:pPr>
      <w:spacing w:before="60" w:line="240" w:lineRule="atLeast"/>
    </w:pPr>
    <w:rPr>
      <w:sz w:val="20"/>
    </w:rPr>
  </w:style>
  <w:style w:type="paragraph" w:customStyle="1" w:styleId="TLPBoxTextnote">
    <w:name w:val="TLPBoxText(note"/>
    <w:aliases w:val="right)"/>
    <w:basedOn w:val="OPCParaBase"/>
    <w:rsid w:val="006222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2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2209"/>
    <w:pPr>
      <w:spacing w:before="122" w:line="198" w:lineRule="exact"/>
      <w:ind w:left="1985" w:hanging="851"/>
      <w:jc w:val="right"/>
    </w:pPr>
    <w:rPr>
      <w:sz w:val="18"/>
    </w:rPr>
  </w:style>
  <w:style w:type="paragraph" w:customStyle="1" w:styleId="TLPTableBullet">
    <w:name w:val="TLPTableBullet"/>
    <w:aliases w:val="ttb"/>
    <w:basedOn w:val="OPCParaBase"/>
    <w:rsid w:val="00622209"/>
    <w:pPr>
      <w:spacing w:line="240" w:lineRule="exact"/>
      <w:ind w:left="284" w:hanging="284"/>
    </w:pPr>
    <w:rPr>
      <w:sz w:val="20"/>
    </w:rPr>
  </w:style>
  <w:style w:type="paragraph" w:styleId="TOC1">
    <w:name w:val="toc 1"/>
    <w:basedOn w:val="OPCParaBase"/>
    <w:next w:val="Normal"/>
    <w:uiPriority w:val="39"/>
    <w:semiHidden/>
    <w:unhideWhenUsed/>
    <w:rsid w:val="006222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22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22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22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22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22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22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22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22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2209"/>
    <w:pPr>
      <w:keepLines/>
      <w:spacing w:before="240" w:after="120" w:line="240" w:lineRule="auto"/>
      <w:ind w:left="794"/>
    </w:pPr>
    <w:rPr>
      <w:b/>
      <w:kern w:val="28"/>
      <w:sz w:val="20"/>
    </w:rPr>
  </w:style>
  <w:style w:type="paragraph" w:customStyle="1" w:styleId="TofSectsHeading">
    <w:name w:val="TofSects(Heading)"/>
    <w:basedOn w:val="OPCParaBase"/>
    <w:rsid w:val="00622209"/>
    <w:pPr>
      <w:spacing w:before="240" w:after="120" w:line="240" w:lineRule="auto"/>
    </w:pPr>
    <w:rPr>
      <w:b/>
      <w:sz w:val="24"/>
    </w:rPr>
  </w:style>
  <w:style w:type="paragraph" w:customStyle="1" w:styleId="TofSectsSection">
    <w:name w:val="TofSects(Section)"/>
    <w:basedOn w:val="OPCParaBase"/>
    <w:rsid w:val="00622209"/>
    <w:pPr>
      <w:keepLines/>
      <w:spacing w:before="40" w:line="240" w:lineRule="auto"/>
      <w:ind w:left="1588" w:hanging="794"/>
    </w:pPr>
    <w:rPr>
      <w:kern w:val="28"/>
      <w:sz w:val="18"/>
    </w:rPr>
  </w:style>
  <w:style w:type="paragraph" w:customStyle="1" w:styleId="TofSectsSubdiv">
    <w:name w:val="TofSects(Subdiv)"/>
    <w:basedOn w:val="OPCParaBase"/>
    <w:rsid w:val="00622209"/>
    <w:pPr>
      <w:keepLines/>
      <w:spacing w:before="80" w:line="240" w:lineRule="auto"/>
      <w:ind w:left="1588" w:hanging="794"/>
    </w:pPr>
    <w:rPr>
      <w:kern w:val="28"/>
    </w:rPr>
  </w:style>
  <w:style w:type="paragraph" w:customStyle="1" w:styleId="WRStyle">
    <w:name w:val="WR Style"/>
    <w:aliases w:val="WR"/>
    <w:basedOn w:val="OPCParaBase"/>
    <w:rsid w:val="00622209"/>
    <w:pPr>
      <w:spacing w:before="240" w:line="240" w:lineRule="auto"/>
      <w:ind w:left="284" w:hanging="284"/>
    </w:pPr>
    <w:rPr>
      <w:b/>
      <w:i/>
      <w:kern w:val="28"/>
      <w:sz w:val="24"/>
    </w:rPr>
  </w:style>
  <w:style w:type="paragraph" w:customStyle="1" w:styleId="notepara">
    <w:name w:val="note(para)"/>
    <w:aliases w:val="na"/>
    <w:basedOn w:val="OPCParaBase"/>
    <w:rsid w:val="00622209"/>
    <w:pPr>
      <w:spacing w:before="40" w:line="198" w:lineRule="exact"/>
      <w:ind w:left="2354" w:hanging="369"/>
    </w:pPr>
    <w:rPr>
      <w:sz w:val="18"/>
    </w:rPr>
  </w:style>
  <w:style w:type="paragraph" w:styleId="Footer">
    <w:name w:val="footer"/>
    <w:link w:val="FooterChar"/>
    <w:rsid w:val="006222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2209"/>
    <w:rPr>
      <w:rFonts w:eastAsia="Times New Roman" w:cs="Times New Roman"/>
      <w:sz w:val="22"/>
      <w:szCs w:val="24"/>
      <w:lang w:eastAsia="en-AU"/>
    </w:rPr>
  </w:style>
  <w:style w:type="character" w:styleId="LineNumber">
    <w:name w:val="line number"/>
    <w:basedOn w:val="OPCCharBase"/>
    <w:uiPriority w:val="99"/>
    <w:semiHidden/>
    <w:unhideWhenUsed/>
    <w:rsid w:val="00622209"/>
    <w:rPr>
      <w:sz w:val="16"/>
    </w:rPr>
  </w:style>
  <w:style w:type="table" w:customStyle="1" w:styleId="CFlag">
    <w:name w:val="CFlag"/>
    <w:basedOn w:val="TableNormal"/>
    <w:uiPriority w:val="99"/>
    <w:rsid w:val="0062220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4C61AF"/>
    <w:rPr>
      <w:rFonts w:eastAsia="Times New Roman" w:cs="Times New Roman"/>
      <w:sz w:val="22"/>
      <w:lang w:eastAsia="en-AU"/>
    </w:rPr>
  </w:style>
  <w:style w:type="character" w:customStyle="1" w:styleId="subsectionChar">
    <w:name w:val="subsection Char"/>
    <w:aliases w:val="ss Char"/>
    <w:basedOn w:val="DefaultParagraphFont"/>
    <w:link w:val="subsection"/>
    <w:rsid w:val="00936D93"/>
    <w:rPr>
      <w:rFonts w:eastAsia="Times New Roman" w:cs="Times New Roman"/>
      <w:sz w:val="22"/>
      <w:lang w:eastAsia="en-AU"/>
    </w:rPr>
  </w:style>
  <w:style w:type="paragraph" w:customStyle="1" w:styleId="NotesHeading1">
    <w:name w:val="NotesHeading 1"/>
    <w:basedOn w:val="OPCParaBase"/>
    <w:next w:val="Normal"/>
    <w:rsid w:val="00622209"/>
    <w:rPr>
      <w:b/>
      <w:sz w:val="28"/>
      <w:szCs w:val="28"/>
    </w:rPr>
  </w:style>
  <w:style w:type="paragraph" w:customStyle="1" w:styleId="NotesHeading2">
    <w:name w:val="NotesHeading 2"/>
    <w:basedOn w:val="OPCParaBase"/>
    <w:next w:val="Normal"/>
    <w:rsid w:val="00622209"/>
    <w:rPr>
      <w:b/>
      <w:sz w:val="28"/>
      <w:szCs w:val="28"/>
    </w:rPr>
  </w:style>
  <w:style w:type="paragraph" w:customStyle="1" w:styleId="SignCoverPageEnd">
    <w:name w:val="SignCoverPageEnd"/>
    <w:basedOn w:val="OPCParaBase"/>
    <w:next w:val="Normal"/>
    <w:rsid w:val="006222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2209"/>
    <w:pPr>
      <w:pBdr>
        <w:top w:val="single" w:sz="4" w:space="1" w:color="auto"/>
      </w:pBdr>
      <w:spacing w:before="360"/>
      <w:ind w:right="397"/>
      <w:jc w:val="both"/>
    </w:pPr>
  </w:style>
  <w:style w:type="paragraph" w:customStyle="1" w:styleId="Paragraphsub-sub-sub">
    <w:name w:val="Paragraph(sub-sub-sub)"/>
    <w:aliases w:val="aaaa"/>
    <w:basedOn w:val="OPCParaBase"/>
    <w:rsid w:val="006222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22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22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22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220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622209"/>
    <w:pPr>
      <w:spacing w:before="120"/>
      <w:outlineLvl w:val="0"/>
    </w:pPr>
    <w:rPr>
      <w:b/>
      <w:sz w:val="28"/>
      <w:szCs w:val="28"/>
    </w:rPr>
  </w:style>
  <w:style w:type="paragraph" w:customStyle="1" w:styleId="ENotesHeading2">
    <w:name w:val="ENotesHeading 2"/>
    <w:aliases w:val="Enh2"/>
    <w:basedOn w:val="OPCParaBase"/>
    <w:next w:val="ENotesHeading3"/>
    <w:rsid w:val="00622209"/>
    <w:pPr>
      <w:spacing w:before="120" w:after="120"/>
      <w:outlineLvl w:val="6"/>
    </w:pPr>
    <w:rPr>
      <w:b/>
      <w:sz w:val="24"/>
      <w:szCs w:val="28"/>
    </w:rPr>
  </w:style>
  <w:style w:type="paragraph" w:customStyle="1" w:styleId="ENotesHeading3">
    <w:name w:val="ENotesHeading 3"/>
    <w:aliases w:val="Enh3"/>
    <w:basedOn w:val="OPCParaBase"/>
    <w:next w:val="Normal"/>
    <w:rsid w:val="00622209"/>
    <w:pPr>
      <w:spacing w:before="120" w:line="240" w:lineRule="auto"/>
      <w:outlineLvl w:val="7"/>
    </w:pPr>
    <w:rPr>
      <w:b/>
      <w:szCs w:val="24"/>
    </w:rPr>
  </w:style>
  <w:style w:type="paragraph" w:customStyle="1" w:styleId="ENotesText">
    <w:name w:val="ENotesText"/>
    <w:aliases w:val="Ent"/>
    <w:basedOn w:val="OPCParaBase"/>
    <w:next w:val="Normal"/>
    <w:rsid w:val="00622209"/>
    <w:pPr>
      <w:spacing w:before="120"/>
    </w:pPr>
  </w:style>
  <w:style w:type="paragraph" w:customStyle="1" w:styleId="SubPartCASA">
    <w:name w:val="SubPart(CASA)"/>
    <w:aliases w:val="csp"/>
    <w:basedOn w:val="OPCParaBase"/>
    <w:next w:val="ActHead3"/>
    <w:rsid w:val="00622209"/>
    <w:pPr>
      <w:keepNext/>
      <w:keepLines/>
      <w:spacing w:before="280"/>
      <w:outlineLvl w:val="1"/>
    </w:pPr>
    <w:rPr>
      <w:b/>
      <w:kern w:val="28"/>
      <w:sz w:val="32"/>
    </w:rPr>
  </w:style>
  <w:style w:type="paragraph" w:customStyle="1" w:styleId="TableTextEndNotes">
    <w:name w:val="TableTextEndNotes"/>
    <w:aliases w:val="Tten"/>
    <w:basedOn w:val="Normal"/>
    <w:rsid w:val="00622209"/>
    <w:pPr>
      <w:spacing w:before="60" w:line="240" w:lineRule="auto"/>
    </w:pPr>
    <w:rPr>
      <w:rFonts w:cs="Arial"/>
      <w:sz w:val="20"/>
      <w:szCs w:val="22"/>
    </w:rPr>
  </w:style>
  <w:style w:type="paragraph" w:customStyle="1" w:styleId="TableHeading">
    <w:name w:val="TableHeading"/>
    <w:aliases w:val="th"/>
    <w:basedOn w:val="OPCParaBase"/>
    <w:next w:val="Tabletext"/>
    <w:rsid w:val="00622209"/>
    <w:pPr>
      <w:spacing w:before="60" w:line="240" w:lineRule="atLeast"/>
    </w:pPr>
    <w:rPr>
      <w:b/>
      <w:sz w:val="20"/>
    </w:rPr>
  </w:style>
  <w:style w:type="character" w:customStyle="1" w:styleId="Heading1Char">
    <w:name w:val="Heading 1 Char"/>
    <w:basedOn w:val="DefaultParagraphFont"/>
    <w:link w:val="Heading1"/>
    <w:uiPriority w:val="9"/>
    <w:rsid w:val="00930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05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05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05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05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05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05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05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0577"/>
    <w:rPr>
      <w:rFonts w:asciiTheme="majorHAnsi" w:eastAsiaTheme="majorEastAsia" w:hAnsiTheme="majorHAnsi" w:cstheme="majorBidi"/>
      <w:i/>
      <w:iCs/>
      <w:color w:val="404040" w:themeColor="text1" w:themeTint="BF"/>
    </w:rPr>
  </w:style>
  <w:style w:type="paragraph" w:customStyle="1" w:styleId="NoteToSubpara">
    <w:name w:val="NoteToSubpara"/>
    <w:aliases w:val="nts"/>
    <w:basedOn w:val="OPCParaBase"/>
    <w:rsid w:val="00622209"/>
    <w:pPr>
      <w:spacing w:before="40" w:line="198" w:lineRule="exact"/>
      <w:ind w:left="2835" w:hanging="709"/>
    </w:pPr>
    <w:rPr>
      <w:sz w:val="18"/>
    </w:rPr>
  </w:style>
  <w:style w:type="paragraph" w:customStyle="1" w:styleId="ShortTP1">
    <w:name w:val="ShortTP1"/>
    <w:basedOn w:val="ShortT"/>
    <w:link w:val="ShortTP1Char"/>
    <w:rsid w:val="000C721D"/>
    <w:pPr>
      <w:spacing w:before="800"/>
    </w:pPr>
  </w:style>
  <w:style w:type="character" w:customStyle="1" w:styleId="OPCParaBaseChar">
    <w:name w:val="OPCParaBase Char"/>
    <w:basedOn w:val="DefaultParagraphFont"/>
    <w:link w:val="OPCParaBase"/>
    <w:rsid w:val="000C721D"/>
    <w:rPr>
      <w:rFonts w:eastAsia="Times New Roman" w:cs="Times New Roman"/>
      <w:sz w:val="22"/>
      <w:lang w:eastAsia="en-AU"/>
    </w:rPr>
  </w:style>
  <w:style w:type="character" w:customStyle="1" w:styleId="ShortTChar">
    <w:name w:val="ShortT Char"/>
    <w:basedOn w:val="OPCParaBaseChar"/>
    <w:link w:val="ShortT"/>
    <w:rsid w:val="000C721D"/>
    <w:rPr>
      <w:rFonts w:eastAsia="Times New Roman" w:cs="Times New Roman"/>
      <w:b/>
      <w:sz w:val="40"/>
      <w:lang w:eastAsia="en-AU"/>
    </w:rPr>
  </w:style>
  <w:style w:type="character" w:customStyle="1" w:styleId="ShortTP1Char">
    <w:name w:val="ShortTP1 Char"/>
    <w:basedOn w:val="ShortTChar"/>
    <w:link w:val="ShortTP1"/>
    <w:rsid w:val="000C721D"/>
    <w:rPr>
      <w:rFonts w:eastAsia="Times New Roman" w:cs="Times New Roman"/>
      <w:b/>
      <w:sz w:val="40"/>
      <w:lang w:eastAsia="en-AU"/>
    </w:rPr>
  </w:style>
  <w:style w:type="paragraph" w:customStyle="1" w:styleId="ActNoP1">
    <w:name w:val="ActNoP1"/>
    <w:basedOn w:val="Actno"/>
    <w:link w:val="ActNoP1Char"/>
    <w:rsid w:val="000C721D"/>
    <w:pPr>
      <w:spacing w:before="800"/>
    </w:pPr>
    <w:rPr>
      <w:sz w:val="28"/>
    </w:rPr>
  </w:style>
  <w:style w:type="character" w:customStyle="1" w:styleId="ActnoChar">
    <w:name w:val="Actno Char"/>
    <w:basedOn w:val="ShortTChar"/>
    <w:link w:val="Actno"/>
    <w:rsid w:val="000C721D"/>
    <w:rPr>
      <w:rFonts w:eastAsia="Times New Roman" w:cs="Times New Roman"/>
      <w:b/>
      <w:sz w:val="40"/>
      <w:lang w:eastAsia="en-AU"/>
    </w:rPr>
  </w:style>
  <w:style w:type="character" w:customStyle="1" w:styleId="ActNoP1Char">
    <w:name w:val="ActNoP1 Char"/>
    <w:basedOn w:val="ActnoChar"/>
    <w:link w:val="ActNoP1"/>
    <w:rsid w:val="000C721D"/>
    <w:rPr>
      <w:rFonts w:eastAsia="Times New Roman" w:cs="Times New Roman"/>
      <w:b/>
      <w:sz w:val="28"/>
      <w:lang w:eastAsia="en-AU"/>
    </w:rPr>
  </w:style>
  <w:style w:type="paragraph" w:customStyle="1" w:styleId="p1LinesBef">
    <w:name w:val="p1LinesBef"/>
    <w:basedOn w:val="Normal"/>
    <w:rsid w:val="000C721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C721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C721D"/>
  </w:style>
  <w:style w:type="character" w:customStyle="1" w:styleId="ShortTCPChar">
    <w:name w:val="ShortTCP Char"/>
    <w:basedOn w:val="ShortTChar"/>
    <w:link w:val="ShortTCP"/>
    <w:rsid w:val="000C721D"/>
    <w:rPr>
      <w:rFonts w:eastAsia="Times New Roman" w:cs="Times New Roman"/>
      <w:b/>
      <w:sz w:val="40"/>
      <w:lang w:eastAsia="en-AU"/>
    </w:rPr>
  </w:style>
  <w:style w:type="paragraph" w:customStyle="1" w:styleId="ActNoCP">
    <w:name w:val="ActNoCP"/>
    <w:basedOn w:val="Actno"/>
    <w:link w:val="ActNoCPChar"/>
    <w:rsid w:val="000C721D"/>
    <w:pPr>
      <w:spacing w:before="400"/>
    </w:pPr>
  </w:style>
  <w:style w:type="character" w:customStyle="1" w:styleId="ActNoCPChar">
    <w:name w:val="ActNoCP Char"/>
    <w:basedOn w:val="ActnoChar"/>
    <w:link w:val="ActNoCP"/>
    <w:rsid w:val="000C721D"/>
    <w:rPr>
      <w:rFonts w:eastAsia="Times New Roman" w:cs="Times New Roman"/>
      <w:b/>
      <w:sz w:val="40"/>
      <w:lang w:eastAsia="en-AU"/>
    </w:rPr>
  </w:style>
  <w:style w:type="paragraph" w:customStyle="1" w:styleId="AssentBk">
    <w:name w:val="AssentBk"/>
    <w:basedOn w:val="Normal"/>
    <w:rsid w:val="000C721D"/>
    <w:pPr>
      <w:spacing w:line="240" w:lineRule="auto"/>
    </w:pPr>
    <w:rPr>
      <w:rFonts w:eastAsia="Times New Roman" w:cs="Times New Roman"/>
      <w:sz w:val="20"/>
      <w:lang w:eastAsia="en-AU"/>
    </w:rPr>
  </w:style>
  <w:style w:type="paragraph" w:customStyle="1" w:styleId="AssentDt">
    <w:name w:val="AssentDt"/>
    <w:basedOn w:val="Normal"/>
    <w:rsid w:val="00470C53"/>
    <w:pPr>
      <w:spacing w:line="240" w:lineRule="auto"/>
    </w:pPr>
    <w:rPr>
      <w:rFonts w:eastAsia="Times New Roman" w:cs="Times New Roman"/>
      <w:sz w:val="20"/>
      <w:lang w:eastAsia="en-AU"/>
    </w:rPr>
  </w:style>
  <w:style w:type="paragraph" w:customStyle="1" w:styleId="2ndRd">
    <w:name w:val="2ndRd"/>
    <w:basedOn w:val="Normal"/>
    <w:rsid w:val="00470C53"/>
    <w:pPr>
      <w:spacing w:line="240" w:lineRule="auto"/>
    </w:pPr>
    <w:rPr>
      <w:rFonts w:eastAsia="Times New Roman" w:cs="Times New Roman"/>
      <w:sz w:val="20"/>
      <w:lang w:eastAsia="en-AU"/>
    </w:rPr>
  </w:style>
  <w:style w:type="paragraph" w:customStyle="1" w:styleId="ScalePlusRef">
    <w:name w:val="ScalePlusRef"/>
    <w:basedOn w:val="Normal"/>
    <w:rsid w:val="00470C5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2442</Words>
  <Characters>12432</Characters>
  <Application>Microsoft Office Word</Application>
  <DocSecurity>0</DocSecurity>
  <PresentationFormat/>
  <Lines>345</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2013-03-12T23:46:00Z</cp:lastPrinted>
  <dcterms:created xsi:type="dcterms:W3CDTF">2013-07-09T00:13:00Z</dcterms:created>
  <dcterms:modified xsi:type="dcterms:W3CDTF">2013-07-09T02:56:00Z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ID">
    <vt:lpwstr>OPC4890</vt:lpwstr>
  </property>
  <property fmtid="{D5CDD505-2E9C-101B-9397-08002B2CF9AE}" pid="6" name="ShortT">
    <vt:lpwstr>Australia Council (Consequential and Transitional Provisions) Act 2013</vt:lpwstr>
  </property>
  <property fmtid="{D5CDD505-2E9C-101B-9397-08002B2CF9AE}" pid="7" name="Actno">
    <vt:lpwstr>No. 72, 2013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