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237C" w:rsidRDefault="003E237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o:ole="" fillcolor="window">
            <v:imagedata r:id="rId9" o:title=""/>
          </v:shape>
          <o:OLEObject Type="Embed" ProgID="Word.Picture.8" ShapeID="_x0000_i1025" DrawAspect="Content" ObjectID="_1453638728" r:id="rId10"/>
        </w:object>
      </w:r>
    </w:p>
    <w:p w:rsidR="003E237C" w:rsidRDefault="003E237C"/>
    <w:p w:rsidR="003E237C" w:rsidRDefault="003E237C" w:rsidP="003E237C">
      <w:pPr>
        <w:spacing w:line="240" w:lineRule="auto"/>
      </w:pPr>
    </w:p>
    <w:p w:rsidR="003E237C" w:rsidRDefault="003E237C" w:rsidP="003E237C"/>
    <w:p w:rsidR="003E237C" w:rsidRDefault="003E237C" w:rsidP="003E237C"/>
    <w:p w:rsidR="003E237C" w:rsidRDefault="003E237C" w:rsidP="003E237C"/>
    <w:p w:rsidR="003E237C" w:rsidRDefault="003E237C" w:rsidP="003E237C"/>
    <w:p w:rsidR="000D24C5" w:rsidRPr="00CE6D95" w:rsidRDefault="000D24C5" w:rsidP="000D24C5">
      <w:pPr>
        <w:pStyle w:val="ShortT"/>
      </w:pPr>
      <w:r w:rsidRPr="00CE6D95">
        <w:t>Charities (Consequential Amendments</w:t>
      </w:r>
      <w:r w:rsidR="00586781" w:rsidRPr="00CE6D95">
        <w:t xml:space="preserve"> and Transitional Provisions</w:t>
      </w:r>
      <w:r w:rsidRPr="00CE6D95">
        <w:t xml:space="preserve">) </w:t>
      </w:r>
      <w:r w:rsidR="003E237C">
        <w:t>Act</w:t>
      </w:r>
      <w:r w:rsidRPr="00CE6D95">
        <w:t xml:space="preserve"> 20</w:t>
      </w:r>
      <w:r w:rsidR="00AD18D7" w:rsidRPr="00CE6D95">
        <w:t>1</w:t>
      </w:r>
      <w:r w:rsidR="00C70655" w:rsidRPr="00CE6D95">
        <w:t>3</w:t>
      </w:r>
    </w:p>
    <w:p w:rsidR="000D24C5" w:rsidRPr="00CE6D95" w:rsidRDefault="000D24C5" w:rsidP="000D24C5"/>
    <w:p w:rsidR="000D24C5" w:rsidRPr="00CE6D95" w:rsidRDefault="000D24C5" w:rsidP="003E237C">
      <w:pPr>
        <w:pStyle w:val="Actno"/>
        <w:spacing w:before="400"/>
      </w:pPr>
      <w:r w:rsidRPr="00CE6D95">
        <w:t>No.</w:t>
      </w:r>
      <w:r w:rsidR="005411E8">
        <w:t xml:space="preserve"> 96</w:t>
      </w:r>
      <w:r w:rsidRPr="00CE6D95">
        <w:t>, 20</w:t>
      </w:r>
      <w:r w:rsidR="00FC761F" w:rsidRPr="00CE6D95">
        <w:t>1</w:t>
      </w:r>
      <w:r w:rsidR="00C70655" w:rsidRPr="00CE6D95">
        <w:t>3</w:t>
      </w:r>
    </w:p>
    <w:p w:rsidR="000D24C5" w:rsidRPr="00CE6D95" w:rsidRDefault="000D24C5" w:rsidP="000D24C5"/>
    <w:p w:rsidR="003E237C" w:rsidRDefault="003E237C" w:rsidP="003E237C"/>
    <w:p w:rsidR="003E237C" w:rsidRDefault="003E237C" w:rsidP="003E237C"/>
    <w:p w:rsidR="003E237C" w:rsidRDefault="003E237C" w:rsidP="003E237C"/>
    <w:p w:rsidR="003E237C" w:rsidRDefault="003E237C" w:rsidP="003E237C"/>
    <w:p w:rsidR="000D24C5" w:rsidRPr="00CE6D95" w:rsidRDefault="003E237C" w:rsidP="000D24C5">
      <w:pPr>
        <w:pStyle w:val="LongT"/>
      </w:pPr>
      <w:r>
        <w:t>An Act</w:t>
      </w:r>
      <w:r w:rsidR="000D24C5" w:rsidRPr="00CE6D95">
        <w:t xml:space="preserve"> to deal with consequential </w:t>
      </w:r>
      <w:r w:rsidR="00586781" w:rsidRPr="00CE6D95">
        <w:t xml:space="preserve">and transitional </w:t>
      </w:r>
      <w:r w:rsidR="000D24C5" w:rsidRPr="00CE6D95">
        <w:t xml:space="preserve">matters arising from the enactment of the </w:t>
      </w:r>
      <w:r w:rsidR="000D24C5" w:rsidRPr="00CE6D95">
        <w:rPr>
          <w:i/>
        </w:rPr>
        <w:t>Charities Act 20</w:t>
      </w:r>
      <w:r w:rsidR="00FC761F" w:rsidRPr="00CE6D95">
        <w:rPr>
          <w:i/>
        </w:rPr>
        <w:t>1</w:t>
      </w:r>
      <w:r w:rsidR="00C70655" w:rsidRPr="00CE6D95">
        <w:rPr>
          <w:i/>
        </w:rPr>
        <w:t>3</w:t>
      </w:r>
      <w:r w:rsidR="000D24C5" w:rsidRPr="00CE6D95">
        <w:t xml:space="preserve">, and for </w:t>
      </w:r>
      <w:r w:rsidR="00D70EBE" w:rsidRPr="00CE6D95">
        <w:t>other</w:t>
      </w:r>
      <w:r w:rsidR="000D24C5" w:rsidRPr="00CE6D95">
        <w:t xml:space="preserve"> purposes</w:t>
      </w:r>
    </w:p>
    <w:p w:rsidR="000D24C5" w:rsidRPr="00CE6D95" w:rsidRDefault="000D24C5" w:rsidP="000D24C5">
      <w:pPr>
        <w:pStyle w:val="Header"/>
      </w:pPr>
      <w:r w:rsidRPr="00CE6D95">
        <w:rPr>
          <w:rStyle w:val="CharAmSchNo"/>
        </w:rPr>
        <w:t xml:space="preserve"> </w:t>
      </w:r>
      <w:r w:rsidRPr="00CE6D95">
        <w:rPr>
          <w:rStyle w:val="CharAmSchText"/>
        </w:rPr>
        <w:t xml:space="preserve"> </w:t>
      </w:r>
    </w:p>
    <w:p w:rsidR="000D24C5" w:rsidRPr="00CE6D95" w:rsidRDefault="000D24C5" w:rsidP="000D24C5">
      <w:pPr>
        <w:pStyle w:val="Header"/>
      </w:pPr>
      <w:r w:rsidRPr="00CE6D95">
        <w:rPr>
          <w:rStyle w:val="CharAmPartNo"/>
        </w:rPr>
        <w:t xml:space="preserve"> </w:t>
      </w:r>
      <w:r w:rsidRPr="00CE6D95">
        <w:rPr>
          <w:rStyle w:val="CharAmPartText"/>
        </w:rPr>
        <w:t xml:space="preserve"> </w:t>
      </w:r>
    </w:p>
    <w:p w:rsidR="000D24C5" w:rsidRPr="00CE6D95" w:rsidRDefault="000D24C5" w:rsidP="000D24C5">
      <w:pPr>
        <w:sectPr w:rsidR="000D24C5" w:rsidRPr="00CE6D95" w:rsidSect="003E237C">
          <w:footerReference w:type="even" r:id="rId11"/>
          <w:footerReference w:type="default" r:id="rId12"/>
          <w:footerReference w:type="first" r:id="rId13"/>
          <w:pgSz w:w="11907" w:h="16839" w:code="9"/>
          <w:pgMar w:top="1418" w:right="2409" w:bottom="4252" w:left="2409" w:header="720" w:footer="3402" w:gutter="0"/>
          <w:cols w:space="720"/>
          <w:docGrid w:linePitch="299"/>
        </w:sectPr>
      </w:pPr>
    </w:p>
    <w:p w:rsidR="000D24C5" w:rsidRPr="00CE6D95" w:rsidRDefault="000D24C5" w:rsidP="000D24C5">
      <w:pPr>
        <w:rPr>
          <w:sz w:val="36"/>
        </w:rPr>
      </w:pPr>
      <w:r w:rsidRPr="00CE6D95">
        <w:rPr>
          <w:sz w:val="36"/>
        </w:rPr>
        <w:lastRenderedPageBreak/>
        <w:t>Contents</w:t>
      </w:r>
    </w:p>
    <w:bookmarkStart w:id="1" w:name="BKCheck15B_1"/>
    <w:bookmarkEnd w:id="1"/>
    <w:p w:rsidR="005411E8" w:rsidRDefault="005411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411E8">
        <w:rPr>
          <w:noProof/>
        </w:rPr>
        <w:tab/>
      </w:r>
      <w:r w:rsidRPr="005411E8">
        <w:rPr>
          <w:noProof/>
        </w:rPr>
        <w:fldChar w:fldCharType="begin"/>
      </w:r>
      <w:r w:rsidRPr="005411E8">
        <w:rPr>
          <w:noProof/>
        </w:rPr>
        <w:instrText xml:space="preserve"> PAGEREF _Toc361151555 \h </w:instrText>
      </w:r>
      <w:r w:rsidRPr="005411E8">
        <w:rPr>
          <w:noProof/>
        </w:rPr>
      </w:r>
      <w:r w:rsidRPr="005411E8">
        <w:rPr>
          <w:noProof/>
        </w:rPr>
        <w:fldChar w:fldCharType="separate"/>
      </w:r>
      <w:r w:rsidR="008962D8">
        <w:rPr>
          <w:noProof/>
        </w:rPr>
        <w:t>1</w:t>
      </w:r>
      <w:r w:rsidRPr="005411E8">
        <w:rPr>
          <w:noProof/>
        </w:rPr>
        <w:fldChar w:fldCharType="end"/>
      </w:r>
    </w:p>
    <w:p w:rsidR="005411E8" w:rsidRDefault="005411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411E8">
        <w:rPr>
          <w:noProof/>
        </w:rPr>
        <w:tab/>
      </w:r>
      <w:r w:rsidRPr="005411E8">
        <w:rPr>
          <w:noProof/>
        </w:rPr>
        <w:fldChar w:fldCharType="begin"/>
      </w:r>
      <w:r w:rsidRPr="005411E8">
        <w:rPr>
          <w:noProof/>
        </w:rPr>
        <w:instrText xml:space="preserve"> PAGEREF _Toc361151556 \h </w:instrText>
      </w:r>
      <w:r w:rsidRPr="005411E8">
        <w:rPr>
          <w:noProof/>
        </w:rPr>
      </w:r>
      <w:r w:rsidRPr="005411E8">
        <w:rPr>
          <w:noProof/>
        </w:rPr>
        <w:fldChar w:fldCharType="separate"/>
      </w:r>
      <w:r w:rsidR="008962D8">
        <w:rPr>
          <w:noProof/>
        </w:rPr>
        <w:t>2</w:t>
      </w:r>
      <w:r w:rsidRPr="005411E8">
        <w:rPr>
          <w:noProof/>
        </w:rPr>
        <w:fldChar w:fldCharType="end"/>
      </w:r>
    </w:p>
    <w:p w:rsidR="005411E8" w:rsidRDefault="005411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5411E8">
        <w:rPr>
          <w:noProof/>
        </w:rPr>
        <w:tab/>
      </w:r>
      <w:r w:rsidRPr="005411E8">
        <w:rPr>
          <w:noProof/>
        </w:rPr>
        <w:fldChar w:fldCharType="begin"/>
      </w:r>
      <w:r w:rsidRPr="005411E8">
        <w:rPr>
          <w:noProof/>
        </w:rPr>
        <w:instrText xml:space="preserve"> PAGEREF _Toc361151557 \h </w:instrText>
      </w:r>
      <w:r w:rsidRPr="005411E8">
        <w:rPr>
          <w:noProof/>
        </w:rPr>
      </w:r>
      <w:r w:rsidRPr="005411E8">
        <w:rPr>
          <w:noProof/>
        </w:rPr>
        <w:fldChar w:fldCharType="separate"/>
      </w:r>
      <w:r w:rsidR="008962D8">
        <w:rPr>
          <w:noProof/>
        </w:rPr>
        <w:t>3</w:t>
      </w:r>
      <w:r w:rsidRPr="005411E8">
        <w:rPr>
          <w:noProof/>
        </w:rPr>
        <w:fldChar w:fldCharType="end"/>
      </w:r>
    </w:p>
    <w:p w:rsidR="005411E8" w:rsidRDefault="005411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5411E8">
        <w:rPr>
          <w:b w:val="0"/>
          <w:noProof/>
          <w:sz w:val="18"/>
        </w:rPr>
        <w:tab/>
      </w:r>
      <w:r w:rsidRPr="005411E8">
        <w:rPr>
          <w:b w:val="0"/>
          <w:noProof/>
          <w:sz w:val="18"/>
        </w:rPr>
        <w:fldChar w:fldCharType="begin"/>
      </w:r>
      <w:r w:rsidRPr="005411E8">
        <w:rPr>
          <w:b w:val="0"/>
          <w:noProof/>
          <w:sz w:val="18"/>
        </w:rPr>
        <w:instrText xml:space="preserve"> PAGEREF _Toc361151558 \h </w:instrText>
      </w:r>
      <w:r w:rsidRPr="005411E8">
        <w:rPr>
          <w:b w:val="0"/>
          <w:noProof/>
          <w:sz w:val="18"/>
        </w:rPr>
      </w:r>
      <w:r w:rsidRPr="005411E8">
        <w:rPr>
          <w:b w:val="0"/>
          <w:noProof/>
          <w:sz w:val="18"/>
        </w:rPr>
        <w:fldChar w:fldCharType="separate"/>
      </w:r>
      <w:r w:rsidR="008962D8">
        <w:rPr>
          <w:b w:val="0"/>
          <w:noProof/>
          <w:sz w:val="18"/>
        </w:rPr>
        <w:t>4</w:t>
      </w:r>
      <w:r w:rsidRPr="005411E8">
        <w:rPr>
          <w:b w:val="0"/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_Toc361151559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4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Acts Interpretation Act 1901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_Toc361151560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4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_Toc361151561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4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(Goods and Services Tax) Act 1999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_Toc361151563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5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Act 2012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_Toc361151564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5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_Toc361151565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7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Discrimination Act 1992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_Toc361151566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8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Fringe Benefits Tax Assessment Act 1986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_Toc361151568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8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_Toc361151569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9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_Toc361151570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9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Racial Discrimination Act 1975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_Toc361151571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11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Sex Discrimination Act 1984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_Toc361151572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11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5411E8">
        <w:rPr>
          <w:i w:val="0"/>
          <w:noProof/>
          <w:sz w:val="18"/>
        </w:rPr>
        <w:tab/>
      </w:r>
      <w:r w:rsidRPr="005411E8">
        <w:rPr>
          <w:i w:val="0"/>
          <w:noProof/>
          <w:sz w:val="18"/>
        </w:rPr>
        <w:fldChar w:fldCharType="begin"/>
      </w:r>
      <w:r w:rsidRPr="005411E8">
        <w:rPr>
          <w:i w:val="0"/>
          <w:noProof/>
          <w:sz w:val="18"/>
        </w:rPr>
        <w:instrText xml:space="preserve"> PAGEREF _Toc361151574 \h </w:instrText>
      </w:r>
      <w:r w:rsidRPr="005411E8">
        <w:rPr>
          <w:i w:val="0"/>
          <w:noProof/>
          <w:sz w:val="18"/>
        </w:rPr>
      </w:r>
      <w:r w:rsidRPr="005411E8">
        <w:rPr>
          <w:i w:val="0"/>
          <w:noProof/>
          <w:sz w:val="18"/>
        </w:rPr>
        <w:fldChar w:fldCharType="separate"/>
      </w:r>
      <w:r w:rsidR="008962D8">
        <w:rPr>
          <w:i w:val="0"/>
          <w:noProof/>
          <w:sz w:val="18"/>
        </w:rPr>
        <w:t>12</w:t>
      </w:r>
      <w:r w:rsidRPr="005411E8">
        <w:rPr>
          <w:i w:val="0"/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2—Extension of Charitable Purpose Act 2004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_Toc361151575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13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3—Charities Act 2013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_Toc361151576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14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4—Tax Laws Amendment (Special Conditions for Not</w:t>
      </w:r>
      <w:r>
        <w:rPr>
          <w:noProof/>
        </w:rPr>
        <w:noBreakHyphen/>
        <w:t>for</w:t>
      </w:r>
      <w:r>
        <w:rPr>
          <w:noProof/>
        </w:rPr>
        <w:noBreakHyphen/>
        <w:t>profit Concessions) Act 2013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_Toc361151577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15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provisions</w:t>
      </w:r>
      <w:r w:rsidRPr="005411E8">
        <w:rPr>
          <w:b w:val="0"/>
          <w:noProof/>
          <w:sz w:val="18"/>
        </w:rPr>
        <w:tab/>
      </w:r>
      <w:r w:rsidRPr="005411E8">
        <w:rPr>
          <w:b w:val="0"/>
          <w:noProof/>
          <w:sz w:val="18"/>
        </w:rPr>
        <w:fldChar w:fldCharType="begin"/>
      </w:r>
      <w:r w:rsidRPr="005411E8">
        <w:rPr>
          <w:b w:val="0"/>
          <w:noProof/>
          <w:sz w:val="18"/>
        </w:rPr>
        <w:instrText xml:space="preserve"> PAGEREF _Toc361151578 \h </w:instrText>
      </w:r>
      <w:r w:rsidRPr="005411E8">
        <w:rPr>
          <w:b w:val="0"/>
          <w:noProof/>
          <w:sz w:val="18"/>
        </w:rPr>
      </w:r>
      <w:r w:rsidRPr="005411E8">
        <w:rPr>
          <w:b w:val="0"/>
          <w:noProof/>
          <w:sz w:val="18"/>
        </w:rPr>
        <w:fldChar w:fldCharType="separate"/>
      </w:r>
      <w:r w:rsidR="008962D8">
        <w:rPr>
          <w:b w:val="0"/>
          <w:noProof/>
          <w:sz w:val="18"/>
        </w:rPr>
        <w:t>16</w:t>
      </w:r>
      <w:r w:rsidRPr="005411E8">
        <w:rPr>
          <w:b w:val="0"/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1—Dictionary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_Toc361151579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16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2—Registration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_Toc361151580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17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1—Registered entities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_Toc361151581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17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2—Funds contributing to other funds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_Toc361151582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20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3—Purposes of registered charitable trusts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_Toc361151583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22</w:t>
      </w:r>
      <w:r w:rsidRPr="005411E8">
        <w:rPr>
          <w:noProof/>
          <w:sz w:val="18"/>
        </w:rPr>
        <w:fldChar w:fldCharType="end"/>
      </w:r>
    </w:p>
    <w:p w:rsidR="005411E8" w:rsidRDefault="005411E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4—Charitable purposes</w:t>
      </w:r>
      <w:r w:rsidRPr="005411E8">
        <w:rPr>
          <w:noProof/>
          <w:sz w:val="18"/>
        </w:rPr>
        <w:tab/>
      </w:r>
      <w:r w:rsidRPr="005411E8">
        <w:rPr>
          <w:noProof/>
          <w:sz w:val="18"/>
        </w:rPr>
        <w:fldChar w:fldCharType="begin"/>
      </w:r>
      <w:r w:rsidRPr="005411E8">
        <w:rPr>
          <w:noProof/>
          <w:sz w:val="18"/>
        </w:rPr>
        <w:instrText xml:space="preserve"> PAGEREF _Toc361151584 \h </w:instrText>
      </w:r>
      <w:r w:rsidRPr="005411E8">
        <w:rPr>
          <w:noProof/>
          <w:sz w:val="18"/>
        </w:rPr>
      </w:r>
      <w:r w:rsidRPr="005411E8">
        <w:rPr>
          <w:noProof/>
          <w:sz w:val="18"/>
        </w:rPr>
        <w:fldChar w:fldCharType="separate"/>
      </w:r>
      <w:r w:rsidR="008962D8">
        <w:rPr>
          <w:noProof/>
          <w:sz w:val="18"/>
        </w:rPr>
        <w:t>23</w:t>
      </w:r>
      <w:r w:rsidRPr="005411E8">
        <w:rPr>
          <w:noProof/>
          <w:sz w:val="18"/>
        </w:rPr>
        <w:fldChar w:fldCharType="end"/>
      </w:r>
    </w:p>
    <w:p w:rsidR="000D24C5" w:rsidRPr="00CE6D95" w:rsidRDefault="005411E8" w:rsidP="000D24C5">
      <w:pPr>
        <w:sectPr w:rsidR="000D24C5" w:rsidRPr="00CE6D95" w:rsidSect="003E23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 w:code="9"/>
          <w:pgMar w:top="2381" w:right="2409" w:bottom="4252" w:left="2409" w:header="720" w:footer="3402" w:gutter="0"/>
          <w:pgNumType w:fmt="lowerRoman" w:start="1"/>
          <w:cols w:space="720"/>
          <w:docGrid w:linePitch="299"/>
        </w:sectPr>
      </w:pPr>
      <w:r>
        <w:fldChar w:fldCharType="end"/>
      </w:r>
    </w:p>
    <w:p w:rsidR="003E237C" w:rsidRDefault="003E237C">
      <w:r>
        <w:object w:dxaOrig="2146" w:dyaOrig="1561">
          <v:shape id="_x0000_i1026" type="#_x0000_t75" style="width:107.25pt;height:78pt" o:ole="" fillcolor="window">
            <v:imagedata r:id="rId9" o:title=""/>
          </v:shape>
          <o:OLEObject Type="Embed" ProgID="Word.Picture.8" ShapeID="_x0000_i1026" DrawAspect="Content" ObjectID="_1453638729" r:id="rId19"/>
        </w:object>
      </w:r>
    </w:p>
    <w:p w:rsidR="003E237C" w:rsidRDefault="003E237C"/>
    <w:p w:rsidR="003E237C" w:rsidRDefault="003E237C" w:rsidP="003E237C">
      <w:pPr>
        <w:spacing w:line="240" w:lineRule="auto"/>
      </w:pPr>
    </w:p>
    <w:p w:rsidR="003E237C" w:rsidRDefault="008962D8" w:rsidP="003E237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Charities (Consequential Amendments and Transitional Provisions) Act 2013</w:t>
      </w:r>
      <w:r>
        <w:rPr>
          <w:noProof/>
        </w:rPr>
        <w:fldChar w:fldCharType="end"/>
      </w:r>
    </w:p>
    <w:p w:rsidR="003E237C" w:rsidRDefault="008962D8" w:rsidP="003E237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96, 2013</w:t>
      </w:r>
      <w:r>
        <w:rPr>
          <w:noProof/>
        </w:rPr>
        <w:fldChar w:fldCharType="end"/>
      </w:r>
    </w:p>
    <w:p w:rsidR="003E237C" w:rsidRDefault="003E237C">
      <w:pPr>
        <w:pStyle w:val="p1LinesBef"/>
      </w:pPr>
    </w:p>
    <w:p w:rsidR="003E237C" w:rsidRDefault="003E237C">
      <w:pPr>
        <w:spacing w:line="40" w:lineRule="exact"/>
        <w:rPr>
          <w:b/>
          <w:sz w:val="28"/>
        </w:rPr>
      </w:pPr>
    </w:p>
    <w:p w:rsidR="003E237C" w:rsidRDefault="003E237C">
      <w:pPr>
        <w:pStyle w:val="p1LinesAfter"/>
      </w:pPr>
    </w:p>
    <w:p w:rsidR="000D24C5" w:rsidRPr="00CE6D95" w:rsidRDefault="003E237C" w:rsidP="00CE6D95">
      <w:pPr>
        <w:pStyle w:val="Page1"/>
      </w:pPr>
      <w:r>
        <w:t>An Act</w:t>
      </w:r>
      <w:r w:rsidR="000D24C5" w:rsidRPr="00CE6D95">
        <w:t xml:space="preserve"> to deal with consequential </w:t>
      </w:r>
      <w:r w:rsidR="00586781" w:rsidRPr="00CE6D95">
        <w:t xml:space="preserve">and transitional </w:t>
      </w:r>
      <w:r w:rsidR="000D24C5" w:rsidRPr="00CE6D95">
        <w:t xml:space="preserve">matters arising from the enactment of the </w:t>
      </w:r>
      <w:r w:rsidR="000D24C5" w:rsidRPr="00CE6D95">
        <w:rPr>
          <w:i/>
        </w:rPr>
        <w:t>Charities Act 20</w:t>
      </w:r>
      <w:r w:rsidR="00FC761F" w:rsidRPr="00CE6D95">
        <w:rPr>
          <w:i/>
        </w:rPr>
        <w:t>1</w:t>
      </w:r>
      <w:r w:rsidR="00C70655" w:rsidRPr="00CE6D95">
        <w:rPr>
          <w:i/>
        </w:rPr>
        <w:t>3</w:t>
      </w:r>
      <w:r w:rsidR="000D24C5" w:rsidRPr="00CE6D95">
        <w:t xml:space="preserve">, and for </w:t>
      </w:r>
      <w:r w:rsidR="00D70EBE" w:rsidRPr="00CE6D95">
        <w:t>other</w:t>
      </w:r>
      <w:r w:rsidR="000D24C5" w:rsidRPr="00CE6D95">
        <w:t xml:space="preserve"> purposes</w:t>
      </w:r>
    </w:p>
    <w:p w:rsidR="005411E8" w:rsidRDefault="005411E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2013</w:t>
      </w:r>
      <w:r>
        <w:rPr>
          <w:sz w:val="24"/>
        </w:rPr>
        <w:t>]</w:t>
      </w:r>
    </w:p>
    <w:p w:rsidR="005411E8" w:rsidRDefault="005411E8"/>
    <w:p w:rsidR="000D24C5" w:rsidRPr="00CE6D95" w:rsidRDefault="000D24C5" w:rsidP="00CE6D95">
      <w:pPr>
        <w:spacing w:before="240" w:line="240" w:lineRule="auto"/>
        <w:rPr>
          <w:sz w:val="32"/>
        </w:rPr>
      </w:pPr>
      <w:r w:rsidRPr="00CE6D95">
        <w:rPr>
          <w:sz w:val="32"/>
        </w:rPr>
        <w:t>The Parliament of Australia enacts:</w:t>
      </w:r>
    </w:p>
    <w:p w:rsidR="000D24C5" w:rsidRPr="00CE6D95" w:rsidRDefault="000D24C5" w:rsidP="00CE6D95">
      <w:pPr>
        <w:pStyle w:val="ActHead5"/>
      </w:pPr>
      <w:bookmarkStart w:id="2" w:name="_Toc361151555"/>
      <w:r w:rsidRPr="00CE6D95">
        <w:rPr>
          <w:rStyle w:val="CharSectno"/>
        </w:rPr>
        <w:t>1</w:t>
      </w:r>
      <w:r w:rsidRPr="00CE6D95">
        <w:t xml:space="preserve">  Short title</w:t>
      </w:r>
      <w:bookmarkEnd w:id="2"/>
    </w:p>
    <w:p w:rsidR="000D24C5" w:rsidRPr="00CE6D95" w:rsidRDefault="000D24C5" w:rsidP="00CE6D95">
      <w:pPr>
        <w:pStyle w:val="subsection"/>
      </w:pPr>
      <w:r w:rsidRPr="00CE6D95">
        <w:tab/>
      </w:r>
      <w:r w:rsidRPr="00CE6D95">
        <w:tab/>
        <w:t xml:space="preserve">This Act may be cited as the </w:t>
      </w:r>
      <w:r w:rsidRPr="00CE6D95">
        <w:rPr>
          <w:i/>
        </w:rPr>
        <w:t>Charities (Consequential Amendments</w:t>
      </w:r>
      <w:r w:rsidR="00586781" w:rsidRPr="00CE6D95">
        <w:rPr>
          <w:i/>
        </w:rPr>
        <w:t xml:space="preserve"> and Transitional Provisions</w:t>
      </w:r>
      <w:r w:rsidRPr="00CE6D95">
        <w:rPr>
          <w:i/>
        </w:rPr>
        <w:t>) Act 20</w:t>
      </w:r>
      <w:r w:rsidR="00FC761F" w:rsidRPr="00CE6D95">
        <w:rPr>
          <w:i/>
        </w:rPr>
        <w:t>1</w:t>
      </w:r>
      <w:r w:rsidR="00C70655" w:rsidRPr="00CE6D95">
        <w:rPr>
          <w:i/>
        </w:rPr>
        <w:t>3</w:t>
      </w:r>
      <w:r w:rsidRPr="00CE6D95">
        <w:t>.</w:t>
      </w:r>
    </w:p>
    <w:p w:rsidR="000D24C5" w:rsidRPr="00CE6D95" w:rsidRDefault="000D24C5" w:rsidP="00CE6D95">
      <w:pPr>
        <w:pStyle w:val="ActHead5"/>
      </w:pPr>
      <w:bookmarkStart w:id="3" w:name="_Toc361151556"/>
      <w:r w:rsidRPr="00CE6D95">
        <w:rPr>
          <w:rStyle w:val="CharSectno"/>
        </w:rPr>
        <w:t>2</w:t>
      </w:r>
      <w:r w:rsidRPr="00CE6D95">
        <w:t xml:space="preserve">  Commencement</w:t>
      </w:r>
      <w:bookmarkEnd w:id="3"/>
    </w:p>
    <w:p w:rsidR="007A4E07" w:rsidRPr="00CE6D95" w:rsidRDefault="007A4E07" w:rsidP="00CE6D95">
      <w:pPr>
        <w:pStyle w:val="subsection"/>
      </w:pPr>
      <w:r w:rsidRPr="00CE6D95">
        <w:tab/>
        <w:t>(1)</w:t>
      </w:r>
      <w:r w:rsidRPr="00CE6D9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A4E07" w:rsidRPr="00CE6D95" w:rsidRDefault="007A4E07" w:rsidP="00CE6D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A4E07" w:rsidRPr="00CE6D95" w:rsidTr="00926B0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Commencement information</w:t>
            </w:r>
          </w:p>
        </w:tc>
      </w:tr>
      <w:tr w:rsidR="007A4E07" w:rsidRPr="00CE6D95" w:rsidTr="00926B0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3</w:t>
            </w:r>
          </w:p>
        </w:tc>
      </w:tr>
      <w:tr w:rsidR="007A4E07" w:rsidRPr="00CE6D95" w:rsidTr="00926B0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Date/Details</w:t>
            </w:r>
          </w:p>
        </w:tc>
      </w:tr>
      <w:tr w:rsidR="007A4E07" w:rsidRPr="00CE6D95" w:rsidTr="00926B0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</w:pPr>
            <w:r w:rsidRPr="00CE6D95">
              <w:t>1.  Sections</w:t>
            </w:r>
            <w:r w:rsidR="00CE6D95" w:rsidRPr="00CE6D95">
              <w:t> </w:t>
            </w:r>
            <w:r w:rsidRPr="00CE6D9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</w:pPr>
            <w:r w:rsidRPr="00CE6D9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7A4E07" w:rsidRPr="00CE6D95" w:rsidRDefault="00430364" w:rsidP="00CE6D95">
            <w:pPr>
              <w:pStyle w:val="Tabletext"/>
            </w:pPr>
            <w:r>
              <w:t>28 June 2013</w:t>
            </w:r>
          </w:p>
        </w:tc>
      </w:tr>
      <w:tr w:rsidR="007A4E07" w:rsidRPr="00CE6D95" w:rsidTr="00926B0C">
        <w:tc>
          <w:tcPr>
            <w:tcW w:w="1701" w:type="dxa"/>
            <w:shd w:val="clear" w:color="auto" w:fill="auto"/>
            <w:hideMark/>
          </w:tcPr>
          <w:p w:rsidR="007A4E07" w:rsidRPr="00CE6D95" w:rsidRDefault="007A4E07" w:rsidP="00CE6D95">
            <w:pPr>
              <w:pStyle w:val="Tabletext"/>
            </w:pPr>
            <w:r w:rsidRPr="00CE6D95">
              <w:t>2.  Schedule</w:t>
            </w:r>
            <w:r w:rsidR="00CE6D95" w:rsidRPr="00CE6D95">
              <w:t> </w:t>
            </w:r>
            <w:r w:rsidR="00CA0605" w:rsidRPr="00CE6D95">
              <w:t>1, Part</w:t>
            </w:r>
            <w:r w:rsidR="002C30A9" w:rsidRPr="00CE6D95">
              <w:t>s</w:t>
            </w:r>
            <w:r w:rsidR="00CE6D95" w:rsidRPr="00CE6D95">
              <w:t> </w:t>
            </w:r>
            <w:r w:rsidR="00CA0605" w:rsidRPr="00CE6D95">
              <w:t>1</w:t>
            </w:r>
            <w:r w:rsidR="002C30A9" w:rsidRPr="00CE6D95">
              <w:t xml:space="preserve"> and </w:t>
            </w:r>
            <w:r w:rsidR="00B43AFE" w:rsidRPr="00CE6D95">
              <w:t>2</w:t>
            </w:r>
          </w:p>
        </w:tc>
        <w:tc>
          <w:tcPr>
            <w:tcW w:w="3828" w:type="dxa"/>
            <w:shd w:val="clear" w:color="auto" w:fill="auto"/>
          </w:tcPr>
          <w:p w:rsidR="007A4E07" w:rsidRPr="00CE6D95" w:rsidRDefault="007A4E07" w:rsidP="00CE6D95">
            <w:pPr>
              <w:pStyle w:val="Tabletext"/>
            </w:pPr>
            <w:r w:rsidRPr="00CE6D95">
              <w:t xml:space="preserve">At the same time as the </w:t>
            </w:r>
            <w:r w:rsidRPr="00CE6D95">
              <w:rPr>
                <w:i/>
              </w:rPr>
              <w:t>Charities Act 201</w:t>
            </w:r>
            <w:r w:rsidR="00C70655" w:rsidRPr="00CE6D95">
              <w:rPr>
                <w:i/>
              </w:rPr>
              <w:t>3</w:t>
            </w:r>
            <w:r w:rsidRPr="00CE6D95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7A4E07" w:rsidRPr="00CE6D95" w:rsidRDefault="00430364" w:rsidP="00CE6D95">
            <w:pPr>
              <w:pStyle w:val="Tabletext"/>
            </w:pPr>
            <w:r>
              <w:t>1 January 2014</w:t>
            </w:r>
          </w:p>
        </w:tc>
      </w:tr>
      <w:tr w:rsidR="00D850E5" w:rsidRPr="00CE6D95" w:rsidTr="00926B0C">
        <w:tc>
          <w:tcPr>
            <w:tcW w:w="1701" w:type="dxa"/>
            <w:shd w:val="clear" w:color="auto" w:fill="auto"/>
          </w:tcPr>
          <w:p w:rsidR="00D850E5" w:rsidRPr="00CE6D95" w:rsidRDefault="00261ED3" w:rsidP="00CE6D95">
            <w:pPr>
              <w:pStyle w:val="Tabletext"/>
            </w:pPr>
            <w:r w:rsidRPr="00CE6D95">
              <w:t>3</w:t>
            </w:r>
            <w:r w:rsidR="00D850E5" w:rsidRPr="00CE6D95">
              <w:t>.  Schedule</w:t>
            </w:r>
            <w:r w:rsidR="00CE6D95" w:rsidRPr="00CE6D95">
              <w:t> </w:t>
            </w:r>
            <w:r w:rsidR="00D850E5" w:rsidRPr="00CE6D95">
              <w:t>1, Part</w:t>
            </w:r>
            <w:r w:rsidR="00CE6D95" w:rsidRPr="00CE6D95">
              <w:t> </w:t>
            </w:r>
            <w:r w:rsidR="00B43AFE" w:rsidRPr="00CE6D95">
              <w:t>3</w:t>
            </w:r>
          </w:p>
        </w:tc>
        <w:tc>
          <w:tcPr>
            <w:tcW w:w="3828" w:type="dxa"/>
            <w:shd w:val="clear" w:color="auto" w:fill="auto"/>
          </w:tcPr>
          <w:p w:rsidR="00D850E5" w:rsidRPr="00CE6D95" w:rsidRDefault="00D850E5" w:rsidP="00CE6D95">
            <w:pPr>
              <w:pStyle w:val="Tabletext"/>
            </w:pPr>
            <w:r w:rsidRPr="00CE6D95">
              <w:t>The later of:</w:t>
            </w:r>
          </w:p>
          <w:p w:rsidR="00D850E5" w:rsidRPr="00CE6D95" w:rsidRDefault="00D850E5" w:rsidP="00CE6D95">
            <w:pPr>
              <w:pStyle w:val="Tablea"/>
            </w:pPr>
            <w:r w:rsidRPr="00CE6D95">
              <w:t xml:space="preserve">(a) immediately after the commencement of the </w:t>
            </w:r>
            <w:r w:rsidRPr="00CE6D95">
              <w:rPr>
                <w:i/>
              </w:rPr>
              <w:t xml:space="preserve">Charities </w:t>
            </w:r>
            <w:r w:rsidR="007F22A1" w:rsidRPr="00CE6D95">
              <w:rPr>
                <w:i/>
              </w:rPr>
              <w:t xml:space="preserve">Act </w:t>
            </w:r>
            <w:r w:rsidRPr="00CE6D95">
              <w:rPr>
                <w:i/>
              </w:rPr>
              <w:t>201</w:t>
            </w:r>
            <w:r w:rsidR="00C70655" w:rsidRPr="00CE6D95">
              <w:rPr>
                <w:i/>
              </w:rPr>
              <w:t>3</w:t>
            </w:r>
            <w:r w:rsidRPr="00CE6D95">
              <w:t>; and</w:t>
            </w:r>
          </w:p>
          <w:p w:rsidR="00D850E5" w:rsidRPr="00CE6D95" w:rsidRDefault="00D850E5" w:rsidP="00CE6D95">
            <w:pPr>
              <w:pStyle w:val="Tablea"/>
            </w:pPr>
            <w:r w:rsidRPr="00CE6D95">
              <w:t>(b) the time item</w:t>
            </w:r>
            <w:r w:rsidR="00CE6D95" w:rsidRPr="00CE6D95">
              <w:t> </w:t>
            </w:r>
            <w:r w:rsidR="00C70655" w:rsidRPr="00CE6D95">
              <w:t>44 of Schedule</w:t>
            </w:r>
            <w:r w:rsidR="00CE6D95" w:rsidRPr="00CE6D95">
              <w:t> </w:t>
            </w:r>
            <w:r w:rsidR="00C70655" w:rsidRPr="00CE6D95">
              <w:t xml:space="preserve">1 to the </w:t>
            </w:r>
            <w:r w:rsidR="00C70655" w:rsidRPr="00CE6D95">
              <w:rPr>
                <w:i/>
              </w:rPr>
              <w:t>Tax Laws Amendment (Special Conditions for Not</w:t>
            </w:r>
            <w:r w:rsidR="007A2068">
              <w:rPr>
                <w:i/>
              </w:rPr>
              <w:noBreakHyphen/>
            </w:r>
            <w:r w:rsidR="00C70655" w:rsidRPr="00CE6D95">
              <w:rPr>
                <w:i/>
              </w:rPr>
              <w:t>for</w:t>
            </w:r>
            <w:r w:rsidR="007A2068">
              <w:rPr>
                <w:i/>
              </w:rPr>
              <w:noBreakHyphen/>
            </w:r>
            <w:r w:rsidR="00C70655" w:rsidRPr="00CE6D95">
              <w:rPr>
                <w:i/>
              </w:rPr>
              <w:t>profit Concessions) Act 201</w:t>
            </w:r>
            <w:r w:rsidR="000907F9" w:rsidRPr="00CE6D95">
              <w:rPr>
                <w:i/>
              </w:rPr>
              <w:t>3</w:t>
            </w:r>
            <w:r w:rsidR="00C70655" w:rsidRPr="00CE6D95">
              <w:t xml:space="preserve"> commences</w:t>
            </w:r>
            <w:r w:rsidRPr="00CE6D95">
              <w:t>.</w:t>
            </w:r>
          </w:p>
          <w:p w:rsidR="00D850E5" w:rsidRPr="00CE6D95" w:rsidRDefault="00C70655" w:rsidP="00CE6D95">
            <w:pPr>
              <w:pStyle w:val="Tabletext"/>
            </w:pPr>
            <w:r w:rsidRPr="00CE6D95">
              <w:t xml:space="preserve">However, the provision(s) do not commence at all unless both of the events mentioned in </w:t>
            </w:r>
            <w:r w:rsidR="00CE6D95" w:rsidRPr="00CE6D95">
              <w:t>paragraphs (</w:t>
            </w:r>
            <w:r w:rsidRPr="00CE6D95">
              <w:t>a) and (b) occur.</w:t>
            </w:r>
          </w:p>
        </w:tc>
        <w:tc>
          <w:tcPr>
            <w:tcW w:w="1582" w:type="dxa"/>
            <w:shd w:val="clear" w:color="auto" w:fill="auto"/>
          </w:tcPr>
          <w:p w:rsidR="00D850E5" w:rsidRPr="00CE6D95" w:rsidRDefault="000C586B" w:rsidP="00CE6D95">
            <w:pPr>
              <w:pStyle w:val="Tabletext"/>
            </w:pPr>
            <w:r>
              <w:t>Does not commence</w:t>
            </w:r>
          </w:p>
        </w:tc>
      </w:tr>
      <w:tr w:rsidR="00CA0605" w:rsidRPr="00CE6D95" w:rsidTr="00926B0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A0605" w:rsidRPr="00CE6D95" w:rsidRDefault="00261ED3" w:rsidP="00CE6D95">
            <w:pPr>
              <w:pStyle w:val="Tabletext"/>
            </w:pPr>
            <w:r w:rsidRPr="00CE6D95">
              <w:t>4</w:t>
            </w:r>
            <w:r w:rsidR="00CA0605" w:rsidRPr="00CE6D95">
              <w:t>.  Schedule</w:t>
            </w:r>
            <w:r w:rsidR="00CE6D95" w:rsidRPr="00CE6D95">
              <w:t> </w:t>
            </w:r>
            <w:r w:rsidR="00CA0605" w:rsidRPr="00CE6D95">
              <w:t>1, Part</w:t>
            </w:r>
            <w:r w:rsidR="00CE6D95" w:rsidRPr="00CE6D95">
              <w:t> </w:t>
            </w:r>
            <w:r w:rsidR="00B43AFE" w:rsidRPr="00CE6D95"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A0605" w:rsidRPr="00CE6D95" w:rsidRDefault="00CA0605" w:rsidP="00CE6D95">
            <w:pPr>
              <w:pStyle w:val="Tabletext"/>
            </w:pPr>
            <w:r w:rsidRPr="00CE6D95">
              <w:t xml:space="preserve">Immediately after the time specified in the </w:t>
            </w:r>
            <w:r w:rsidRPr="00CE6D95">
              <w:rPr>
                <w:i/>
              </w:rPr>
              <w:t>Tax Laws Amendment (Special Conditions for Not</w:t>
            </w:r>
            <w:r w:rsidR="007A2068">
              <w:rPr>
                <w:i/>
              </w:rPr>
              <w:noBreakHyphen/>
            </w:r>
            <w:r w:rsidRPr="00CE6D95">
              <w:rPr>
                <w:i/>
              </w:rPr>
              <w:t>for</w:t>
            </w:r>
            <w:r w:rsidR="007A2068">
              <w:rPr>
                <w:i/>
              </w:rPr>
              <w:noBreakHyphen/>
            </w:r>
            <w:r w:rsidRPr="00CE6D95">
              <w:rPr>
                <w:i/>
              </w:rPr>
              <w:t>profit Concessions) Act 201</w:t>
            </w:r>
            <w:r w:rsidR="000907F9" w:rsidRPr="00CE6D95">
              <w:rPr>
                <w:i/>
              </w:rPr>
              <w:t>3</w:t>
            </w:r>
            <w:r w:rsidRPr="00CE6D95">
              <w:t xml:space="preserve"> for the commencement of item</w:t>
            </w:r>
            <w:r w:rsidR="00CE6D95" w:rsidRPr="00CE6D95">
              <w:t> </w:t>
            </w:r>
            <w:r w:rsidRPr="00CE6D95">
              <w:t>33 of Schedule</w:t>
            </w:r>
            <w:r w:rsidR="00CE6D95" w:rsidRPr="00CE6D95">
              <w:t> </w:t>
            </w:r>
            <w:r w:rsidRPr="00CE6D95">
              <w:t>1 to that Act.</w:t>
            </w:r>
          </w:p>
          <w:p w:rsidR="00D01F47" w:rsidRPr="00CE6D95" w:rsidRDefault="00D01F47" w:rsidP="00CE6D95">
            <w:pPr>
              <w:pStyle w:val="Tabletext"/>
            </w:pPr>
            <w:r w:rsidRPr="00CE6D95">
              <w:t xml:space="preserve">However, the provision(s) do not commence at all if that item commences before the </w:t>
            </w:r>
            <w:r w:rsidR="00795B1E" w:rsidRPr="00CE6D95">
              <w:t xml:space="preserve">time the </w:t>
            </w:r>
            <w:r w:rsidRPr="00CE6D95">
              <w:rPr>
                <w:i/>
              </w:rPr>
              <w:t>Charities Act 201</w:t>
            </w:r>
            <w:r w:rsidR="00C70655" w:rsidRPr="00CE6D95">
              <w:rPr>
                <w:i/>
              </w:rPr>
              <w:t>3</w:t>
            </w:r>
            <w:r w:rsidRPr="00CE6D95">
              <w:t xml:space="preserve"> commences</w:t>
            </w:r>
            <w:r w:rsidR="00AE513C" w:rsidRPr="00CE6D95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CA0605" w:rsidRPr="00CE6D95" w:rsidRDefault="000C586B" w:rsidP="00CE6D95">
            <w:pPr>
              <w:pStyle w:val="Tabletext"/>
            </w:pPr>
            <w:r>
              <w:t>Does not commence</w:t>
            </w:r>
          </w:p>
        </w:tc>
      </w:tr>
      <w:tr w:rsidR="00CA0605" w:rsidRPr="00CE6D95" w:rsidTr="00926B0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A0605" w:rsidRPr="00CE6D95" w:rsidRDefault="00261ED3" w:rsidP="00CE6D95">
            <w:pPr>
              <w:pStyle w:val="Tabletext"/>
            </w:pPr>
            <w:r w:rsidRPr="00CE6D95">
              <w:t>5</w:t>
            </w:r>
            <w:r w:rsidR="00CA0605" w:rsidRPr="00CE6D95">
              <w:t>.  Schedule</w:t>
            </w:r>
            <w:r w:rsidR="00CE6D95" w:rsidRPr="00CE6D95">
              <w:t> </w:t>
            </w:r>
            <w:r w:rsidR="00CA0605" w:rsidRPr="00CE6D95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CA0605" w:rsidRPr="00CE6D95" w:rsidRDefault="00CA0605" w:rsidP="00CE6D95">
            <w:pPr>
              <w:pStyle w:val="Tabletext"/>
            </w:pPr>
            <w:r w:rsidRPr="00CE6D95">
              <w:t xml:space="preserve">At the same time as the </w:t>
            </w:r>
            <w:r w:rsidRPr="00CE6D95">
              <w:rPr>
                <w:i/>
              </w:rPr>
              <w:t>Charities Act 201</w:t>
            </w:r>
            <w:r w:rsidR="00C70655" w:rsidRPr="00CE6D95">
              <w:rPr>
                <w:i/>
              </w:rPr>
              <w:t>3</w:t>
            </w:r>
            <w:r w:rsidRPr="00CE6D95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CA0605" w:rsidRPr="00CE6D95" w:rsidRDefault="00430364" w:rsidP="00CE6D95">
            <w:pPr>
              <w:pStyle w:val="Tabletext"/>
            </w:pPr>
            <w:r>
              <w:t>1 January 2014</w:t>
            </w:r>
          </w:p>
        </w:tc>
      </w:tr>
    </w:tbl>
    <w:p w:rsidR="007A4E07" w:rsidRPr="00CE6D95" w:rsidRDefault="007A4E07" w:rsidP="00CE6D95">
      <w:pPr>
        <w:pStyle w:val="notetext"/>
      </w:pPr>
      <w:r w:rsidRPr="00CE6D95">
        <w:rPr>
          <w:snapToGrid w:val="0"/>
          <w:lang w:eastAsia="en-US"/>
        </w:rPr>
        <w:t xml:space="preserve">Note: </w:t>
      </w:r>
      <w:r w:rsidRPr="00CE6D9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7A4E07" w:rsidRPr="00CE6D95" w:rsidRDefault="007A4E07" w:rsidP="00CE6D95">
      <w:pPr>
        <w:pStyle w:val="subsection"/>
      </w:pPr>
      <w:r w:rsidRPr="00CE6D95">
        <w:tab/>
        <w:t>(2)</w:t>
      </w:r>
      <w:r w:rsidRPr="00CE6D95">
        <w:tab/>
        <w:t>Any information in column 3 of the table is not part of this Act. Information may be inserted in this column, or information in it may be edited, in any published version of this Act.</w:t>
      </w:r>
    </w:p>
    <w:p w:rsidR="000D24C5" w:rsidRPr="00CE6D95" w:rsidRDefault="000D24C5" w:rsidP="00CE6D95">
      <w:pPr>
        <w:pStyle w:val="ActHead5"/>
      </w:pPr>
      <w:bookmarkStart w:id="4" w:name="_Toc361151557"/>
      <w:r w:rsidRPr="00CE6D95">
        <w:rPr>
          <w:rStyle w:val="CharSectno"/>
        </w:rPr>
        <w:t>3</w:t>
      </w:r>
      <w:r w:rsidRPr="00CE6D95">
        <w:t xml:space="preserve">  Schedule(s)</w:t>
      </w:r>
      <w:bookmarkEnd w:id="4"/>
    </w:p>
    <w:p w:rsidR="000D24C5" w:rsidRPr="00CE6D95" w:rsidRDefault="000D24C5" w:rsidP="00CE6D95">
      <w:pPr>
        <w:pStyle w:val="subsection"/>
      </w:pPr>
      <w:r w:rsidRPr="00CE6D95">
        <w:tab/>
      </w:r>
      <w:r w:rsidRPr="00CE6D9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0D24C5" w:rsidRPr="00CE6D95" w:rsidRDefault="000D24C5" w:rsidP="00CE6D95">
      <w:pPr>
        <w:pStyle w:val="ActHead6"/>
        <w:pageBreakBefore/>
      </w:pPr>
      <w:bookmarkStart w:id="5" w:name="_Toc361151558"/>
      <w:bookmarkStart w:id="6" w:name="opcAmSched"/>
      <w:r w:rsidRPr="00CE6D95">
        <w:rPr>
          <w:rStyle w:val="CharAmSchNo"/>
        </w:rPr>
        <w:t>Schedule</w:t>
      </w:r>
      <w:r w:rsidR="00CE6D95" w:rsidRPr="00CE6D95">
        <w:rPr>
          <w:rStyle w:val="CharAmSchNo"/>
        </w:rPr>
        <w:t> </w:t>
      </w:r>
      <w:r w:rsidRPr="00CE6D95">
        <w:rPr>
          <w:rStyle w:val="CharAmSchNo"/>
        </w:rPr>
        <w:t>1</w:t>
      </w:r>
      <w:r w:rsidRPr="00CE6D95">
        <w:t>—</w:t>
      </w:r>
      <w:r w:rsidR="003173C4" w:rsidRPr="00CE6D95">
        <w:rPr>
          <w:rStyle w:val="CharAmSchText"/>
        </w:rPr>
        <w:t>Consequential a</w:t>
      </w:r>
      <w:r w:rsidRPr="00CE6D95">
        <w:rPr>
          <w:rStyle w:val="CharAmSchText"/>
        </w:rPr>
        <w:t>mendment</w:t>
      </w:r>
      <w:r w:rsidR="00CA5881" w:rsidRPr="00CE6D95">
        <w:rPr>
          <w:rStyle w:val="CharAmSchText"/>
        </w:rPr>
        <w:t>s</w:t>
      </w:r>
      <w:bookmarkEnd w:id="5"/>
    </w:p>
    <w:p w:rsidR="000D24C5" w:rsidRPr="00CE6D95" w:rsidRDefault="00CA0605" w:rsidP="00CE6D95">
      <w:pPr>
        <w:pStyle w:val="ActHead7"/>
      </w:pPr>
      <w:bookmarkStart w:id="7" w:name="_Toc361151559"/>
      <w:bookmarkEnd w:id="6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Pr="00CE6D95">
        <w:rPr>
          <w:rStyle w:val="CharAmPartNo"/>
        </w:rPr>
        <w:t>1</w:t>
      </w:r>
      <w:r w:rsidRPr="00CE6D95">
        <w:t>—</w:t>
      </w:r>
      <w:r w:rsidRPr="00CE6D95">
        <w:rPr>
          <w:rStyle w:val="CharAmPartText"/>
        </w:rPr>
        <w:t>Main amendments</w:t>
      </w:r>
      <w:bookmarkEnd w:id="7"/>
    </w:p>
    <w:p w:rsidR="009402C9" w:rsidRPr="00CE6D95" w:rsidRDefault="009402C9" w:rsidP="00CE6D95">
      <w:pPr>
        <w:pStyle w:val="ActHead9"/>
        <w:rPr>
          <w:i w:val="0"/>
        </w:rPr>
      </w:pPr>
      <w:bookmarkStart w:id="8" w:name="_Toc361151560"/>
      <w:r w:rsidRPr="00CE6D95">
        <w:t>Acts Interpretation Act 1901</w:t>
      </w:r>
      <w:bookmarkEnd w:id="8"/>
    </w:p>
    <w:p w:rsidR="009402C9" w:rsidRPr="00CE6D95" w:rsidRDefault="009A52E9" w:rsidP="00CE6D95">
      <w:pPr>
        <w:pStyle w:val="ItemHead"/>
      </w:pPr>
      <w:r w:rsidRPr="00CE6D95">
        <w:t>1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>2B</w:t>
      </w:r>
    </w:p>
    <w:p w:rsidR="009402C9" w:rsidRPr="00CE6D95" w:rsidRDefault="009402C9" w:rsidP="00CE6D95">
      <w:pPr>
        <w:pStyle w:val="Item"/>
      </w:pPr>
      <w:r w:rsidRPr="00CE6D95">
        <w:t>Insert:</w:t>
      </w:r>
    </w:p>
    <w:p w:rsidR="009402C9" w:rsidRPr="00CE6D95" w:rsidRDefault="009402C9" w:rsidP="00CE6D95">
      <w:pPr>
        <w:pStyle w:val="Definition"/>
      </w:pPr>
      <w:r w:rsidRPr="00CE6D95">
        <w:rPr>
          <w:b/>
          <w:i/>
        </w:rPr>
        <w:t>charitable</w:t>
      </w:r>
      <w:r w:rsidRPr="00CE6D95">
        <w:t xml:space="preserve"> has the meaning given by Part</w:t>
      </w:r>
      <w:r w:rsidR="00CE6D95" w:rsidRPr="00CE6D95">
        <w:t> </w:t>
      </w:r>
      <w:r w:rsidRPr="00CE6D95">
        <w:t xml:space="preserve">2 of the </w:t>
      </w:r>
      <w:r w:rsidRPr="00CE6D95">
        <w:rPr>
          <w:i/>
        </w:rPr>
        <w:t>Charities Act 2013</w:t>
      </w:r>
      <w:r w:rsidRPr="00CE6D95">
        <w:t>.</w:t>
      </w:r>
    </w:p>
    <w:p w:rsidR="009402C9" w:rsidRPr="00CE6D95" w:rsidRDefault="009A52E9" w:rsidP="00CE6D95">
      <w:pPr>
        <w:pStyle w:val="ItemHead"/>
      </w:pPr>
      <w:r w:rsidRPr="00CE6D95">
        <w:t>2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>2B</w:t>
      </w:r>
    </w:p>
    <w:p w:rsidR="009402C9" w:rsidRPr="00CE6D95" w:rsidRDefault="009402C9" w:rsidP="00CE6D95">
      <w:pPr>
        <w:pStyle w:val="Item"/>
      </w:pPr>
      <w:r w:rsidRPr="00CE6D95">
        <w:t>Insert:</w:t>
      </w:r>
    </w:p>
    <w:p w:rsidR="009402C9" w:rsidRPr="00CE6D95" w:rsidRDefault="009402C9" w:rsidP="00CE6D95">
      <w:pPr>
        <w:pStyle w:val="Definition"/>
      </w:pPr>
      <w:r w:rsidRPr="00CE6D95">
        <w:rPr>
          <w:b/>
          <w:i/>
        </w:rPr>
        <w:t>charitable purpose</w:t>
      </w:r>
      <w:r w:rsidRPr="00CE6D95">
        <w:t xml:space="preserve"> has the meaning given by Part</w:t>
      </w:r>
      <w:r w:rsidR="00CE6D95" w:rsidRPr="00CE6D95">
        <w:t> </w:t>
      </w:r>
      <w:r w:rsidRPr="00CE6D95">
        <w:t xml:space="preserve">3 of the </w:t>
      </w:r>
      <w:r w:rsidRPr="00CE6D95">
        <w:rPr>
          <w:i/>
        </w:rPr>
        <w:t>Charities Act 2013</w:t>
      </w:r>
      <w:r w:rsidRPr="00CE6D95">
        <w:t>.</w:t>
      </w:r>
    </w:p>
    <w:p w:rsidR="009402C9" w:rsidRPr="00CE6D95" w:rsidRDefault="009A52E9" w:rsidP="00CE6D95">
      <w:pPr>
        <w:pStyle w:val="ItemHead"/>
      </w:pPr>
      <w:r w:rsidRPr="00CE6D95">
        <w:t>3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>2B</w:t>
      </w:r>
    </w:p>
    <w:p w:rsidR="009402C9" w:rsidRPr="00CE6D95" w:rsidRDefault="009402C9" w:rsidP="00CE6D95">
      <w:pPr>
        <w:pStyle w:val="Item"/>
      </w:pPr>
      <w:r w:rsidRPr="00CE6D95">
        <w:t>Insert:</w:t>
      </w:r>
    </w:p>
    <w:p w:rsidR="009402C9" w:rsidRPr="00CE6D95" w:rsidRDefault="009402C9" w:rsidP="00CE6D95">
      <w:pPr>
        <w:pStyle w:val="Definition"/>
      </w:pPr>
      <w:r w:rsidRPr="00CE6D95">
        <w:rPr>
          <w:b/>
          <w:i/>
        </w:rPr>
        <w:t>charity</w:t>
      </w:r>
      <w:r w:rsidRPr="00CE6D95">
        <w:t xml:space="preserve"> has the meaning given by Part</w:t>
      </w:r>
      <w:r w:rsidR="00CE6D95" w:rsidRPr="00CE6D95">
        <w:t> </w:t>
      </w:r>
      <w:r w:rsidRPr="00CE6D95">
        <w:t xml:space="preserve">2 of the </w:t>
      </w:r>
      <w:r w:rsidRPr="00CE6D95">
        <w:rPr>
          <w:i/>
        </w:rPr>
        <w:t>Charities Act 2013</w:t>
      </w:r>
      <w:r w:rsidRPr="00CE6D95">
        <w:t>.</w:t>
      </w:r>
    </w:p>
    <w:p w:rsidR="009402C9" w:rsidRPr="00CE6D95" w:rsidRDefault="009402C9" w:rsidP="00CE6D95">
      <w:pPr>
        <w:pStyle w:val="ActHead9"/>
        <w:rPr>
          <w:i w:val="0"/>
        </w:rPr>
      </w:pPr>
      <w:bookmarkStart w:id="9" w:name="_Toc361151561"/>
      <w:r w:rsidRPr="00CE6D95">
        <w:t>Age Discrimination Act 2004</w:t>
      </w:r>
      <w:bookmarkEnd w:id="9"/>
    </w:p>
    <w:p w:rsidR="009402C9" w:rsidRPr="00CE6D95" w:rsidRDefault="009A52E9" w:rsidP="00CE6D95">
      <w:pPr>
        <w:pStyle w:val="ItemHead"/>
      </w:pPr>
      <w:r w:rsidRPr="00CE6D95">
        <w:t>4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>34</w:t>
      </w:r>
    </w:p>
    <w:p w:rsidR="009402C9" w:rsidRPr="00CE6D95" w:rsidRDefault="009402C9" w:rsidP="00CE6D95">
      <w:pPr>
        <w:pStyle w:val="Item"/>
      </w:pPr>
      <w:r w:rsidRPr="00CE6D95">
        <w:t>Repeal the section, substitute:</w:t>
      </w:r>
    </w:p>
    <w:p w:rsidR="009402C9" w:rsidRPr="00CE6D95" w:rsidRDefault="009402C9" w:rsidP="00CE6D95">
      <w:pPr>
        <w:pStyle w:val="ActHead5"/>
      </w:pPr>
      <w:bookmarkStart w:id="10" w:name="_Toc361151562"/>
      <w:r w:rsidRPr="00CE6D95">
        <w:rPr>
          <w:rStyle w:val="CharSectno"/>
        </w:rPr>
        <w:t>34</w:t>
      </w:r>
      <w:r w:rsidRPr="00CE6D95">
        <w:t xml:space="preserve">  Charities</w:t>
      </w:r>
      <w:bookmarkEnd w:id="10"/>
    </w:p>
    <w:p w:rsidR="009402C9" w:rsidRPr="00CE6D95" w:rsidRDefault="009402C9" w:rsidP="00CE6D95">
      <w:pPr>
        <w:pStyle w:val="subsection"/>
      </w:pPr>
      <w:r w:rsidRPr="00CE6D95">
        <w:tab/>
      </w:r>
      <w:r w:rsidRPr="00CE6D95">
        <w:tab/>
        <w:t>This Part does not:</w:t>
      </w:r>
    </w:p>
    <w:p w:rsidR="009402C9" w:rsidRPr="00CE6D95" w:rsidRDefault="009402C9" w:rsidP="00CE6D95">
      <w:pPr>
        <w:pStyle w:val="paragraph"/>
      </w:pPr>
      <w:r w:rsidRPr="00CE6D95">
        <w:tab/>
        <w:t>(a)</w:t>
      </w:r>
      <w:r w:rsidRPr="00CE6D95">
        <w:tab/>
        <w:t xml:space="preserve">affect a provision (whether made before or after the commencement of this Part) of the governing rules (within the meaning of the </w:t>
      </w:r>
      <w:r w:rsidRPr="00CE6D95">
        <w:rPr>
          <w:i/>
        </w:rPr>
        <w:t>Australian Charities and Not</w:t>
      </w:r>
      <w:r w:rsidR="007A2068">
        <w:rPr>
          <w:i/>
        </w:rPr>
        <w:noBreakHyphen/>
      </w:r>
      <w:r w:rsidRPr="00CE6D95">
        <w:rPr>
          <w:i/>
        </w:rPr>
        <w:t>for</w:t>
      </w:r>
      <w:r w:rsidR="007A2068">
        <w:rPr>
          <w:i/>
        </w:rPr>
        <w:noBreakHyphen/>
      </w:r>
      <w:r w:rsidRPr="00CE6D95">
        <w:rPr>
          <w:i/>
        </w:rPr>
        <w:t>profits Commission Act 2012</w:t>
      </w:r>
      <w:r w:rsidRPr="00CE6D95">
        <w:t>) of a registered charity, if the provision:</w:t>
      </w:r>
    </w:p>
    <w:p w:rsidR="009402C9" w:rsidRPr="00CE6D95" w:rsidRDefault="009402C9" w:rsidP="00CE6D95">
      <w:pPr>
        <w:pStyle w:val="paragraphsub"/>
      </w:pPr>
      <w:r w:rsidRPr="00CE6D95">
        <w:tab/>
        <w:t>(</w:t>
      </w:r>
      <w:proofErr w:type="spellStart"/>
      <w:r w:rsidRPr="00CE6D95">
        <w:t>i</w:t>
      </w:r>
      <w:proofErr w:type="spellEnd"/>
      <w:r w:rsidRPr="00CE6D95">
        <w:t>)</w:t>
      </w:r>
      <w:r w:rsidRPr="00CE6D95">
        <w:tab/>
        <w:t>confers benefits for charitable purposes; or</w:t>
      </w:r>
    </w:p>
    <w:p w:rsidR="009402C9" w:rsidRPr="00CE6D95" w:rsidRDefault="009402C9" w:rsidP="00CE6D95">
      <w:pPr>
        <w:pStyle w:val="paragraphsub"/>
      </w:pPr>
      <w:r w:rsidRPr="00CE6D95">
        <w:tab/>
        <w:t>(ii)</w:t>
      </w:r>
      <w:r w:rsidRPr="00CE6D95">
        <w:tab/>
        <w:t>enables such benefits to be conferred;</w:t>
      </w:r>
    </w:p>
    <w:p w:rsidR="009402C9" w:rsidRPr="00CE6D95" w:rsidRDefault="009402C9" w:rsidP="00CE6D95">
      <w:pPr>
        <w:pStyle w:val="paragraph"/>
      </w:pPr>
      <w:r w:rsidRPr="00CE6D95">
        <w:tab/>
      </w:r>
      <w:r w:rsidRPr="00CE6D95">
        <w:tab/>
        <w:t>wholly or in part on persons of a particular age; or</w:t>
      </w:r>
    </w:p>
    <w:p w:rsidR="009402C9" w:rsidRPr="00CE6D95" w:rsidRDefault="009402C9" w:rsidP="00CE6D95">
      <w:pPr>
        <w:pStyle w:val="paragraph"/>
      </w:pPr>
      <w:r w:rsidRPr="00CE6D95">
        <w:tab/>
        <w:t>(b)</w:t>
      </w:r>
      <w:r w:rsidRPr="00CE6D95">
        <w:tab/>
        <w:t>make unlawful any act done to give effect to such a provision.</w:t>
      </w:r>
    </w:p>
    <w:p w:rsidR="004E62BC" w:rsidRPr="00CE6D95" w:rsidRDefault="004E62BC" w:rsidP="00CE6D95">
      <w:pPr>
        <w:pStyle w:val="ActHead9"/>
        <w:rPr>
          <w:i w:val="0"/>
        </w:rPr>
      </w:pPr>
      <w:bookmarkStart w:id="11" w:name="_Toc361151563"/>
      <w:r w:rsidRPr="00CE6D95">
        <w:t>A New Tax System (Goods and Services Tax) Act 1999</w:t>
      </w:r>
      <w:bookmarkEnd w:id="11"/>
    </w:p>
    <w:p w:rsidR="004E62BC" w:rsidRPr="00CE6D95" w:rsidRDefault="009A52E9" w:rsidP="00CE6D95">
      <w:pPr>
        <w:pStyle w:val="ItemHead"/>
      </w:pPr>
      <w:r w:rsidRPr="00CE6D95">
        <w:t>5</w:t>
      </w:r>
      <w:r w:rsidR="004E62BC" w:rsidRPr="00CE6D95">
        <w:t xml:space="preserve">  Section</w:t>
      </w:r>
      <w:r w:rsidR="00CE6D95" w:rsidRPr="00CE6D95">
        <w:t> </w:t>
      </w:r>
      <w:r w:rsidR="004E62BC" w:rsidRPr="00CE6D95">
        <w:t>195</w:t>
      </w:r>
      <w:r w:rsidR="007A2068">
        <w:noBreakHyphen/>
      </w:r>
      <w:r w:rsidR="004E62BC" w:rsidRPr="00CE6D95">
        <w:t>1 (</w:t>
      </w:r>
      <w:r w:rsidR="00CE6D95" w:rsidRPr="00CE6D95">
        <w:t>paragraph (</w:t>
      </w:r>
      <w:r w:rsidR="004E62BC" w:rsidRPr="00CE6D95">
        <w:t xml:space="preserve">b) of the definition of </w:t>
      </w:r>
      <w:r w:rsidR="004E62BC" w:rsidRPr="00CE6D95">
        <w:rPr>
          <w:i/>
        </w:rPr>
        <w:t>ACNC</w:t>
      </w:r>
      <w:r w:rsidR="007A2068">
        <w:rPr>
          <w:i/>
        </w:rPr>
        <w:noBreakHyphen/>
      </w:r>
      <w:r w:rsidR="004E62BC" w:rsidRPr="00CE6D95">
        <w:rPr>
          <w:i/>
        </w:rPr>
        <w:t>registered religious institution</w:t>
      </w:r>
      <w:r w:rsidR="004E62BC" w:rsidRPr="00CE6D95">
        <w:t>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3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4</w:t>
      </w:r>
      <w:r w:rsidR="00FC50C2" w:rsidRPr="00CE6D95">
        <w:t>”</w:t>
      </w:r>
      <w:r w:rsidRPr="00CE6D95">
        <w:t>.</w:t>
      </w:r>
    </w:p>
    <w:p w:rsidR="001661DE" w:rsidRPr="00CE6D95" w:rsidRDefault="001661DE" w:rsidP="00CE6D95">
      <w:pPr>
        <w:pStyle w:val="ActHead9"/>
        <w:rPr>
          <w:i w:val="0"/>
        </w:rPr>
      </w:pPr>
      <w:bookmarkStart w:id="12" w:name="_Toc361151564"/>
      <w:r w:rsidRPr="00CE6D95">
        <w:t>Australian Charities and Not</w:t>
      </w:r>
      <w:r w:rsidR="007A2068">
        <w:noBreakHyphen/>
      </w:r>
      <w:r w:rsidRPr="00CE6D95">
        <w:t>for</w:t>
      </w:r>
      <w:r w:rsidR="007A2068">
        <w:noBreakHyphen/>
      </w:r>
      <w:r w:rsidRPr="00CE6D95">
        <w:t xml:space="preserve">profits Commission </w:t>
      </w:r>
      <w:r w:rsidR="00242650" w:rsidRPr="00CE6D95">
        <w:t>Act</w:t>
      </w:r>
      <w:r w:rsidRPr="00CE6D95">
        <w:t xml:space="preserve"> 2012</w:t>
      </w:r>
      <w:bookmarkEnd w:id="12"/>
    </w:p>
    <w:p w:rsidR="00817774" w:rsidRPr="00CE6D95" w:rsidRDefault="009A52E9" w:rsidP="00CE6D95">
      <w:pPr>
        <w:pStyle w:val="ItemHead"/>
      </w:pPr>
      <w:r w:rsidRPr="00CE6D95">
        <w:t>6</w:t>
      </w:r>
      <w:r w:rsidR="00817774" w:rsidRPr="00CE6D95">
        <w:t xml:space="preserve">  Subsection</w:t>
      </w:r>
      <w:r w:rsidR="00CE6D95" w:rsidRPr="00CE6D95">
        <w:t> </w:t>
      </w:r>
      <w:r w:rsidR="00817774" w:rsidRPr="00CE6D95">
        <w:t>25</w:t>
      </w:r>
      <w:r w:rsidR="007A2068">
        <w:noBreakHyphen/>
      </w:r>
      <w:r w:rsidR="00817774" w:rsidRPr="00CE6D95">
        <w:t>5(4) (note)</w:t>
      </w:r>
    </w:p>
    <w:p w:rsidR="00817774" w:rsidRPr="00CE6D95" w:rsidRDefault="00817774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="00491BBA" w:rsidRPr="00CE6D95">
        <w:t xml:space="preserve">that is the </w:t>
      </w:r>
      <w:r w:rsidRPr="00CE6D95">
        <w:t>relief of poverty, sickness or the needs of the aged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="00491BBA" w:rsidRPr="00CE6D95">
        <w:t xml:space="preserve">of </w:t>
      </w:r>
      <w:r w:rsidRPr="00CE6D95">
        <w:t>advanc</w:t>
      </w:r>
      <w:r w:rsidR="00B2103C" w:rsidRPr="00CE6D95">
        <w:t>ing</w:t>
      </w:r>
      <w:r w:rsidRPr="00CE6D95">
        <w:t xml:space="preserve"> social or </w:t>
      </w:r>
      <w:r w:rsidR="00586781" w:rsidRPr="00CE6D95">
        <w:t>public</w:t>
      </w:r>
      <w:r w:rsidRPr="00CE6D95">
        <w:t xml:space="preserve"> welfare</w:t>
      </w:r>
      <w:r w:rsidR="00FC50C2" w:rsidRPr="00CE6D95">
        <w:t>”</w:t>
      </w:r>
      <w:r w:rsidRPr="00CE6D95">
        <w:t>.</w:t>
      </w:r>
    </w:p>
    <w:p w:rsidR="000810F6" w:rsidRPr="00CE6D95" w:rsidRDefault="009A52E9" w:rsidP="00CE6D95">
      <w:pPr>
        <w:pStyle w:val="ItemHead"/>
      </w:pPr>
      <w:r w:rsidRPr="00CE6D95">
        <w:t>7</w:t>
      </w:r>
      <w:r w:rsidR="00BB72E3" w:rsidRPr="00CE6D95">
        <w:t xml:space="preserve">  Subsection</w:t>
      </w:r>
      <w:r w:rsidR="00BA2175" w:rsidRPr="00CE6D95">
        <w:t>s</w:t>
      </w:r>
      <w:r w:rsidR="00CE6D95" w:rsidRPr="00CE6D95">
        <w:t> </w:t>
      </w:r>
      <w:r w:rsidR="00BB72E3" w:rsidRPr="00CE6D95">
        <w:t>25</w:t>
      </w:r>
      <w:r w:rsidR="007A2068">
        <w:noBreakHyphen/>
      </w:r>
      <w:r w:rsidR="00BB72E3" w:rsidRPr="00CE6D95">
        <w:t xml:space="preserve">5(5) </w:t>
      </w:r>
      <w:r w:rsidR="00BA2175" w:rsidRPr="00CE6D95">
        <w:t>and (6)</w:t>
      </w:r>
    </w:p>
    <w:p w:rsidR="00BA2175" w:rsidRPr="00CE6D95" w:rsidRDefault="00BA2175" w:rsidP="00CE6D95">
      <w:pPr>
        <w:pStyle w:val="Item"/>
      </w:pPr>
      <w:r w:rsidRPr="00CE6D95">
        <w:t>Repeal the subsections, substitute:</w:t>
      </w:r>
    </w:p>
    <w:p w:rsidR="00BA2175" w:rsidRPr="00CE6D95" w:rsidRDefault="00BA2175" w:rsidP="00CE6D95">
      <w:pPr>
        <w:pStyle w:val="subsection"/>
      </w:pPr>
      <w:r w:rsidRPr="00CE6D95">
        <w:tab/>
        <w:t>(5)</w:t>
      </w:r>
      <w:r w:rsidRPr="00CE6D95">
        <w:tab/>
        <w:t>The table is as follows:</w:t>
      </w:r>
    </w:p>
    <w:p w:rsidR="00BA2175" w:rsidRPr="00CE6D95" w:rsidRDefault="00BA2175" w:rsidP="00CE6D9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4678"/>
      </w:tblGrid>
      <w:tr w:rsidR="00BA2175" w:rsidRPr="00CE6D95" w:rsidTr="002065B5">
        <w:trPr>
          <w:tblHeader/>
        </w:trPr>
        <w:tc>
          <w:tcPr>
            <w:tcW w:w="694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Entitlement to registration</w:t>
            </w:r>
          </w:p>
        </w:tc>
      </w:tr>
      <w:tr w:rsidR="00BA2175" w:rsidRPr="00CE6D95" w:rsidTr="002065B5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Item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1</w:t>
            </w:r>
          </w:p>
          <w:p w:rsidR="00BA2175" w:rsidRPr="00CE6D95" w:rsidRDefault="00BA2175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Type of entity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2</w:t>
            </w:r>
          </w:p>
          <w:p w:rsidR="00BA2175" w:rsidRPr="00CE6D95" w:rsidRDefault="00BA2175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Corresponding subtype of entity</w:t>
            </w:r>
          </w:p>
        </w:tc>
      </w:tr>
      <w:tr w:rsidR="00BA2175" w:rsidRPr="00CE6D95" w:rsidTr="002065B5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>Charity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Pr="00CE6D95">
              <w:t xml:space="preserve">a) of the </w:t>
            </w:r>
            <w:r w:rsidR="00713C5D" w:rsidRPr="00CE6D95">
              <w:t xml:space="preserve">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 xml:space="preserve">(1) of the </w:t>
            </w:r>
            <w:r w:rsidRPr="00CE6D95">
              <w:rPr>
                <w:i/>
              </w:rPr>
              <w:t>Charities Act 201</w:t>
            </w:r>
            <w:r w:rsidR="00C70655" w:rsidRPr="00CE6D95">
              <w:rPr>
                <w:i/>
              </w:rPr>
              <w:t>3</w:t>
            </w:r>
            <w:r w:rsidRPr="00CE6D95">
              <w:t xml:space="preserve"> applies (advancing health)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2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713C5D" w:rsidRPr="00CE6D95">
              <w:t xml:space="preserve">b)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(advancing education)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3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to which </w:t>
            </w:r>
            <w:r w:rsidR="00CE6D95" w:rsidRPr="00CE6D95">
              <w:t>paragraph (</w:t>
            </w:r>
            <w:r w:rsidR="00713C5D" w:rsidRPr="00CE6D95">
              <w:t xml:space="preserve">c)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(advancing social or </w:t>
            </w:r>
            <w:r w:rsidR="00586781" w:rsidRPr="00CE6D95">
              <w:t>public</w:t>
            </w:r>
            <w:r w:rsidRPr="00CE6D95">
              <w:t xml:space="preserve"> welfare)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4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713C5D" w:rsidRPr="00CE6D95">
              <w:t xml:space="preserve">d)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(advancing religion)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5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to which </w:t>
            </w:r>
            <w:r w:rsidR="00CE6D95" w:rsidRPr="00CE6D95">
              <w:t>paragraph (</w:t>
            </w:r>
            <w:r w:rsidR="00713C5D" w:rsidRPr="00CE6D95">
              <w:t xml:space="preserve">e)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(advancing culture)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6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6047C2" w:rsidRPr="00CE6D95">
              <w:t>f</w:t>
            </w:r>
            <w:r w:rsidR="00713C5D" w:rsidRPr="00CE6D95">
              <w:t xml:space="preserve">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(promoting reconciliation, mutual respect and tolerance between groups of </w:t>
            </w:r>
            <w:r w:rsidR="00E83D53" w:rsidRPr="00CE6D95">
              <w:t>individual</w:t>
            </w:r>
            <w:r w:rsidRPr="00CE6D95">
              <w:t>s that are in Australia)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7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6047C2" w:rsidRPr="00CE6D95">
              <w:t>g</w:t>
            </w:r>
            <w:r w:rsidR="00713C5D" w:rsidRPr="00CE6D95">
              <w:t xml:space="preserve">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(promoting or protecting human rights)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8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6047C2" w:rsidRPr="00CE6D95">
              <w:t>h</w:t>
            </w:r>
            <w:r w:rsidR="00713C5D" w:rsidRPr="00CE6D95">
              <w:t xml:space="preserve">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</w:t>
            </w:r>
            <w:r w:rsidR="00B24B2B" w:rsidRPr="00CE6D95">
              <w:t xml:space="preserve">advancing the security or safety of Australia or </w:t>
            </w:r>
            <w:r w:rsidR="00490F51" w:rsidRPr="00CE6D95">
              <w:t xml:space="preserve">the </w:t>
            </w:r>
            <w:r w:rsidR="00F07E8C" w:rsidRPr="00CE6D95">
              <w:t>Australian</w:t>
            </w:r>
            <w:r w:rsidR="00490F51" w:rsidRPr="00CE6D95">
              <w:t xml:space="preserve"> </w:t>
            </w:r>
            <w:r w:rsidRPr="00CE6D95">
              <w:t>public)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9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proofErr w:type="spellStart"/>
            <w:r w:rsidR="006047C2" w:rsidRPr="00CE6D95">
              <w:t>i</w:t>
            </w:r>
            <w:proofErr w:type="spellEnd"/>
            <w:r w:rsidR="00713C5D" w:rsidRPr="00CE6D95">
              <w:t xml:space="preserve">)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(preventing or relieving the suffering of animals)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10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6047C2" w:rsidRPr="00CE6D95">
              <w:t>j</w:t>
            </w:r>
            <w:r w:rsidRPr="00CE6D95">
              <w:t>)</w:t>
            </w:r>
            <w:r w:rsidR="00713C5D" w:rsidRPr="00CE6D95">
              <w:t xml:space="preserve">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(advancing the natural environment)</w:t>
            </w:r>
          </w:p>
        </w:tc>
      </w:tr>
      <w:tr w:rsidR="00BA2175" w:rsidRPr="00CE6D95" w:rsidTr="002065B5">
        <w:tc>
          <w:tcPr>
            <w:tcW w:w="704" w:type="dxa"/>
            <w:shd w:val="clear" w:color="auto" w:fill="auto"/>
          </w:tcPr>
          <w:p w:rsidR="00BA2175" w:rsidRPr="00CE6D95" w:rsidRDefault="002065B5" w:rsidP="00CE6D95">
            <w:pPr>
              <w:pStyle w:val="Tabletext"/>
            </w:pPr>
            <w:r w:rsidRPr="00CE6D95">
              <w:t>11</w:t>
            </w:r>
          </w:p>
        </w:tc>
        <w:tc>
          <w:tcPr>
            <w:tcW w:w="1559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 xml:space="preserve">Entity with a purpose </w:t>
            </w:r>
            <w:r w:rsidR="005F209D" w:rsidRPr="00CE6D95">
              <w:t xml:space="preserve">to which </w:t>
            </w:r>
            <w:r w:rsidR="00CE6D95" w:rsidRPr="00CE6D95">
              <w:t>paragraph (</w:t>
            </w:r>
            <w:r w:rsidR="006047C2" w:rsidRPr="00CE6D95">
              <w:t>k</w:t>
            </w:r>
            <w:r w:rsidRPr="00CE6D95">
              <w:t>)</w:t>
            </w:r>
            <w:r w:rsidR="00713C5D" w:rsidRPr="00CE6D95">
              <w:t xml:space="preserve"> of the definition of </w:t>
            </w:r>
            <w:r w:rsidR="00713C5D" w:rsidRPr="00CE6D95">
              <w:rPr>
                <w:b/>
                <w:i/>
              </w:rPr>
              <w:t>charitable purpose</w:t>
            </w:r>
            <w:r w:rsidR="00713C5D"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="00713C5D" w:rsidRPr="00CE6D95">
              <w:t>(1)</w:t>
            </w:r>
            <w:r w:rsidRPr="00CE6D95">
              <w:t xml:space="preserve"> of the </w:t>
            </w:r>
            <w:r w:rsidRPr="00CE6D95">
              <w:rPr>
                <w:i/>
              </w:rPr>
              <w:t xml:space="preserve">Charities Act </w:t>
            </w:r>
            <w:r w:rsidR="00C70655" w:rsidRPr="00CE6D95">
              <w:rPr>
                <w:i/>
              </w:rPr>
              <w:t>2013</w:t>
            </w:r>
            <w:r w:rsidRPr="00CE6D95">
              <w:t xml:space="preserve"> applies (</w:t>
            </w:r>
            <w:r w:rsidR="002065B5" w:rsidRPr="00CE6D95">
              <w:t xml:space="preserve">purposes </w:t>
            </w:r>
            <w:r w:rsidR="0016304C" w:rsidRPr="00CE6D95">
              <w:t xml:space="preserve">beneficial to the general public and </w:t>
            </w:r>
            <w:r w:rsidR="002065B5" w:rsidRPr="00CE6D95">
              <w:t>analogous to the other charitable purposes</w:t>
            </w:r>
            <w:r w:rsidRPr="00CE6D95">
              <w:t>)</w:t>
            </w:r>
          </w:p>
        </w:tc>
      </w:tr>
      <w:tr w:rsidR="00F735E9" w:rsidRPr="00CE6D95" w:rsidTr="008F1E88">
        <w:tc>
          <w:tcPr>
            <w:tcW w:w="704" w:type="dxa"/>
            <w:shd w:val="clear" w:color="auto" w:fill="auto"/>
          </w:tcPr>
          <w:p w:rsidR="00F735E9" w:rsidRPr="00CE6D95" w:rsidRDefault="00F735E9" w:rsidP="00CE6D95">
            <w:pPr>
              <w:pStyle w:val="Tabletext"/>
            </w:pPr>
            <w:r w:rsidRPr="00CE6D95">
              <w:t>1</w:t>
            </w:r>
            <w:r w:rsidR="00297870" w:rsidRPr="00CE6D95">
              <w:t>2</w:t>
            </w:r>
          </w:p>
        </w:tc>
        <w:tc>
          <w:tcPr>
            <w:tcW w:w="1559" w:type="dxa"/>
            <w:shd w:val="clear" w:color="auto" w:fill="auto"/>
          </w:tcPr>
          <w:p w:rsidR="00F735E9" w:rsidRPr="00CE6D95" w:rsidRDefault="00F735E9" w:rsidP="00CE6D95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:rsidR="00F735E9" w:rsidRPr="00CE6D95" w:rsidRDefault="00874669" w:rsidP="00CE6D95">
            <w:pPr>
              <w:pStyle w:val="Tabletext"/>
            </w:pPr>
            <w:r w:rsidRPr="00CE6D95">
              <w:t xml:space="preserve">Entity with a purpose to which </w:t>
            </w:r>
            <w:r w:rsidR="00CE6D95" w:rsidRPr="00CE6D95">
              <w:t>paragraph (</w:t>
            </w:r>
            <w:r w:rsidRPr="00CE6D95">
              <w:t xml:space="preserve">l) of the definition of </w:t>
            </w:r>
            <w:r w:rsidRPr="00CE6D95">
              <w:rPr>
                <w:b/>
                <w:i/>
              </w:rPr>
              <w:t>charitable purpose</w:t>
            </w:r>
            <w:r w:rsidRPr="00CE6D95">
              <w:t xml:space="preserve"> in subsection</w:t>
            </w:r>
            <w:r w:rsidR="00CE6D95" w:rsidRPr="00CE6D95">
              <w:t> </w:t>
            </w:r>
            <w:r w:rsidR="00DB7D6A" w:rsidRPr="00CE6D95">
              <w:t>12</w:t>
            </w:r>
            <w:r w:rsidRPr="00CE6D95">
              <w:t xml:space="preserve">(1) of the </w:t>
            </w:r>
            <w:r w:rsidRPr="00CE6D95">
              <w:rPr>
                <w:i/>
              </w:rPr>
              <w:t>Charities Act 2013</w:t>
            </w:r>
            <w:r w:rsidRPr="00CE6D95">
              <w:t xml:space="preserve"> applies</w:t>
            </w:r>
            <w:r w:rsidR="00F735E9" w:rsidRPr="00CE6D95">
              <w:t xml:space="preserve"> (</w:t>
            </w:r>
            <w:r w:rsidR="009559DA" w:rsidRPr="00CE6D95">
              <w:t>advancing public debate</w:t>
            </w:r>
            <w:r w:rsidR="00F735E9" w:rsidRPr="00CE6D95">
              <w:t>)</w:t>
            </w:r>
          </w:p>
        </w:tc>
      </w:tr>
      <w:tr w:rsidR="00BA2175" w:rsidRPr="00CE6D95" w:rsidTr="002065B5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BA2175" w:rsidRPr="00CE6D95" w:rsidRDefault="00297870" w:rsidP="00CE6D95">
            <w:pPr>
              <w:pStyle w:val="Tabletext"/>
            </w:pPr>
            <w:r w:rsidRPr="00CE6D95"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>Institution whose principal activity is to promote the prevention or the control of diseases in human beings</w:t>
            </w:r>
          </w:p>
        </w:tc>
      </w:tr>
      <w:tr w:rsidR="00BA2175" w:rsidRPr="00CE6D95" w:rsidTr="002065B5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BA2175" w:rsidRPr="00CE6D95" w:rsidRDefault="00297870" w:rsidP="00CE6D95">
            <w:pPr>
              <w:pStyle w:val="Tabletext"/>
            </w:pPr>
            <w:r w:rsidRPr="00CE6D95">
              <w:t>14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</w:tcPr>
          <w:p w:rsidR="00BA2175" w:rsidRPr="00CE6D95" w:rsidRDefault="00BA2175" w:rsidP="00CE6D95">
            <w:pPr>
              <w:pStyle w:val="Tabletext"/>
            </w:pPr>
            <w:r w:rsidRPr="00CE6D95">
              <w:t>Public benevolent institution</w:t>
            </w:r>
          </w:p>
        </w:tc>
      </w:tr>
    </w:tbl>
    <w:p w:rsidR="002065B5" w:rsidRPr="00CE6D95" w:rsidRDefault="002065B5" w:rsidP="00CE6D95">
      <w:pPr>
        <w:pStyle w:val="notetext"/>
      </w:pPr>
      <w:r w:rsidRPr="00CE6D95">
        <w:t>Note 1:</w:t>
      </w:r>
      <w:r w:rsidRPr="00CE6D95">
        <w:tab/>
        <w:t xml:space="preserve">For the definition of </w:t>
      </w:r>
      <w:r w:rsidRPr="00CE6D95">
        <w:rPr>
          <w:b/>
          <w:i/>
        </w:rPr>
        <w:t>charity</w:t>
      </w:r>
      <w:r w:rsidRPr="00CE6D95">
        <w:t xml:space="preserve">, see the </w:t>
      </w:r>
      <w:r w:rsidRPr="00CE6D95">
        <w:rPr>
          <w:i/>
        </w:rPr>
        <w:t xml:space="preserve">Charities Act </w:t>
      </w:r>
      <w:r w:rsidR="00C70655" w:rsidRPr="00CE6D95">
        <w:rPr>
          <w:i/>
        </w:rPr>
        <w:t>2013</w:t>
      </w:r>
      <w:r w:rsidRPr="00CE6D95">
        <w:t>.</w:t>
      </w:r>
    </w:p>
    <w:p w:rsidR="00BA2175" w:rsidRPr="00CE6D95" w:rsidRDefault="00BA2175" w:rsidP="00CE6D95">
      <w:pPr>
        <w:pStyle w:val="notetext"/>
      </w:pPr>
      <w:r w:rsidRPr="00CE6D95">
        <w:t>Note</w:t>
      </w:r>
      <w:r w:rsidR="002065B5" w:rsidRPr="00CE6D95">
        <w:t xml:space="preserve"> 2</w:t>
      </w:r>
      <w:r w:rsidRPr="00CE6D95">
        <w:t>:</w:t>
      </w:r>
      <w:r w:rsidRPr="00CE6D95">
        <w:tab/>
        <w:t>An entity commonly known as a health promotion charity could be an entity described in column 2 of item</w:t>
      </w:r>
      <w:r w:rsidR="00CE6D95" w:rsidRPr="00CE6D95">
        <w:t> </w:t>
      </w:r>
      <w:r w:rsidR="002065B5" w:rsidRPr="00CE6D95">
        <w:t>1</w:t>
      </w:r>
      <w:r w:rsidR="00297870" w:rsidRPr="00CE6D95">
        <w:t>3</w:t>
      </w:r>
      <w:r w:rsidRPr="00CE6D95">
        <w:t xml:space="preserve"> of the table (</w:t>
      </w:r>
      <w:r w:rsidR="00904436" w:rsidRPr="00CE6D95">
        <w:t>i</w:t>
      </w:r>
      <w:r w:rsidRPr="00CE6D95">
        <w:t>nstitution whose principal activity is to promote the prevention or the control of diseases in human beings).</w:t>
      </w:r>
    </w:p>
    <w:p w:rsidR="004821CC" w:rsidRPr="00CE6D95" w:rsidRDefault="004821CC" w:rsidP="00CE6D95">
      <w:pPr>
        <w:pStyle w:val="SubsectionHead"/>
      </w:pPr>
      <w:r w:rsidRPr="00CE6D95">
        <w:t>Trusts</w:t>
      </w:r>
    </w:p>
    <w:p w:rsidR="00776670" w:rsidRPr="00CE6D95" w:rsidRDefault="00024793" w:rsidP="00CE6D95">
      <w:pPr>
        <w:pStyle w:val="subsection"/>
      </w:pPr>
      <w:r w:rsidRPr="00CE6D95">
        <w:tab/>
        <w:t>(</w:t>
      </w:r>
      <w:r w:rsidR="00874669" w:rsidRPr="00CE6D95">
        <w:t>6</w:t>
      </w:r>
      <w:r w:rsidR="004821CC" w:rsidRPr="00CE6D95">
        <w:t>)</w:t>
      </w:r>
      <w:r w:rsidR="004821CC" w:rsidRPr="00CE6D95">
        <w:tab/>
        <w:t>Section</w:t>
      </w:r>
      <w:r w:rsidR="00CE6D95" w:rsidRPr="00CE6D95">
        <w:t> </w:t>
      </w:r>
      <w:r w:rsidR="00DB7D6A" w:rsidRPr="00CE6D95">
        <w:t>18</w:t>
      </w:r>
      <w:r w:rsidR="004821CC" w:rsidRPr="00CE6D95">
        <w:t xml:space="preserve"> of the </w:t>
      </w:r>
      <w:r w:rsidR="004821CC" w:rsidRPr="00CE6D95">
        <w:rPr>
          <w:i/>
        </w:rPr>
        <w:t xml:space="preserve">Charities Act </w:t>
      </w:r>
      <w:r w:rsidR="00C70655" w:rsidRPr="00CE6D95">
        <w:rPr>
          <w:i/>
        </w:rPr>
        <w:t>2013</w:t>
      </w:r>
      <w:r w:rsidR="004821CC" w:rsidRPr="00CE6D95">
        <w:t xml:space="preserve"> (Cy</w:t>
      </w:r>
      <w:r w:rsidR="00D00915" w:rsidRPr="00CE6D95">
        <w:t xml:space="preserve"> </w:t>
      </w:r>
      <w:proofErr w:type="spellStart"/>
      <w:r w:rsidR="004821CC" w:rsidRPr="00CE6D95">
        <w:t>pr</w:t>
      </w:r>
      <w:r w:rsidR="00D00915" w:rsidRPr="00CE6D95">
        <w:t>e</w:t>
      </w:r>
      <w:r w:rsidR="004821CC" w:rsidRPr="00CE6D95">
        <w:t>s</w:t>
      </w:r>
      <w:proofErr w:type="spellEnd"/>
      <w:r w:rsidR="004821CC" w:rsidRPr="00CE6D95">
        <w:t xml:space="preserve"> </w:t>
      </w:r>
      <w:r w:rsidR="000F578E" w:rsidRPr="00CE6D95">
        <w:t xml:space="preserve">and similar </w:t>
      </w:r>
      <w:r w:rsidR="004821CC" w:rsidRPr="00CE6D95">
        <w:t>schemes) applies</w:t>
      </w:r>
      <w:r w:rsidR="00776670" w:rsidRPr="00CE6D95">
        <w:t>:</w:t>
      </w:r>
    </w:p>
    <w:p w:rsidR="00776670" w:rsidRPr="00CE6D95" w:rsidRDefault="00776670" w:rsidP="00CE6D95">
      <w:pPr>
        <w:pStyle w:val="paragraph"/>
      </w:pPr>
      <w:r w:rsidRPr="00CE6D95">
        <w:tab/>
        <w:t>(a)</w:t>
      </w:r>
      <w:r w:rsidRPr="00CE6D95">
        <w:tab/>
      </w:r>
      <w:r w:rsidR="00D70EBE" w:rsidRPr="00CE6D95">
        <w:t xml:space="preserve">for the purposes of this </w:t>
      </w:r>
      <w:r w:rsidR="004821CC" w:rsidRPr="00CE6D95">
        <w:t>Act</w:t>
      </w:r>
      <w:r w:rsidRPr="00CE6D95">
        <w:t>; or</w:t>
      </w:r>
    </w:p>
    <w:p w:rsidR="00776670" w:rsidRPr="00CE6D95" w:rsidRDefault="00776670" w:rsidP="00CE6D95">
      <w:pPr>
        <w:pStyle w:val="paragraph"/>
      </w:pPr>
      <w:r w:rsidRPr="00CE6D95">
        <w:tab/>
        <w:t>(b)</w:t>
      </w:r>
      <w:r w:rsidRPr="00CE6D95">
        <w:tab/>
        <w:t>for the purpose</w:t>
      </w:r>
      <w:r w:rsidR="00D70EBE" w:rsidRPr="00CE6D95">
        <w:t>s</w:t>
      </w:r>
      <w:r w:rsidRPr="00CE6D95">
        <w:t xml:space="preserve"> of determining whether an entity meets the description of a type or subtype of entity in the table in </w:t>
      </w:r>
      <w:r w:rsidR="00CE6D95" w:rsidRPr="00CE6D95">
        <w:t>subsection (</w:t>
      </w:r>
      <w:r w:rsidRPr="00CE6D95">
        <w:t>5)</w:t>
      </w:r>
      <w:r w:rsidR="00D70EBE" w:rsidRPr="00CE6D95">
        <w:t xml:space="preserve"> of this section</w:t>
      </w:r>
      <w:r w:rsidRPr="00CE6D95">
        <w:t>;</w:t>
      </w:r>
    </w:p>
    <w:p w:rsidR="004821CC" w:rsidRPr="00CE6D95" w:rsidRDefault="004821CC" w:rsidP="00CE6D95">
      <w:pPr>
        <w:pStyle w:val="subsection2"/>
      </w:pPr>
      <w:r w:rsidRPr="00CE6D95">
        <w:t>in the same way</w:t>
      </w:r>
      <w:r w:rsidR="00F27545" w:rsidRPr="00CE6D95">
        <w:t xml:space="preserve"> as</w:t>
      </w:r>
      <w:r w:rsidRPr="00CE6D95">
        <w:t xml:space="preserve"> that section</w:t>
      </w:r>
      <w:r w:rsidR="00CE6D95" w:rsidRPr="00CE6D95">
        <w:t> </w:t>
      </w:r>
      <w:r w:rsidR="00DB7D6A" w:rsidRPr="00CE6D95">
        <w:t>18</w:t>
      </w:r>
      <w:r w:rsidR="00D70EBE" w:rsidRPr="00CE6D95">
        <w:t xml:space="preserve"> </w:t>
      </w:r>
      <w:r w:rsidRPr="00CE6D95">
        <w:t xml:space="preserve">applies </w:t>
      </w:r>
      <w:r w:rsidR="00D70EBE" w:rsidRPr="00CE6D95">
        <w:t>for the purposes of</w:t>
      </w:r>
      <w:r w:rsidRPr="00CE6D95">
        <w:t xml:space="preserve"> that Act.</w:t>
      </w:r>
    </w:p>
    <w:p w:rsidR="00817774" w:rsidRPr="00CE6D95" w:rsidRDefault="009A52E9" w:rsidP="00CE6D95">
      <w:pPr>
        <w:pStyle w:val="ItemHead"/>
      </w:pPr>
      <w:r w:rsidRPr="00CE6D95">
        <w:t>8</w:t>
      </w:r>
      <w:r w:rsidR="00817774" w:rsidRPr="00CE6D95">
        <w:t xml:space="preserve">  Subsection</w:t>
      </w:r>
      <w:r w:rsidR="00CE6D95" w:rsidRPr="00CE6D95">
        <w:t> </w:t>
      </w:r>
      <w:r w:rsidR="00817774" w:rsidRPr="00CE6D95">
        <w:t>60</w:t>
      </w:r>
      <w:r w:rsidR="007A2068">
        <w:noBreakHyphen/>
      </w:r>
      <w:r w:rsidR="00817774" w:rsidRPr="00CE6D95">
        <w:t>95(2) (example)</w:t>
      </w:r>
    </w:p>
    <w:p w:rsidR="00817774" w:rsidRPr="00CE6D95" w:rsidRDefault="00817774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reli</w:t>
      </w:r>
      <w:r w:rsidR="00491BBA" w:rsidRPr="00CE6D95">
        <w:t>e</w:t>
      </w:r>
      <w:r w:rsidRPr="00CE6D95">
        <w:t>ve poverty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 xml:space="preserve">advance social or </w:t>
      </w:r>
      <w:r w:rsidR="00586781" w:rsidRPr="00CE6D95">
        <w:t>public</w:t>
      </w:r>
      <w:r w:rsidRPr="00CE6D95">
        <w:t xml:space="preserve"> welfare</w:t>
      </w:r>
      <w:r w:rsidR="00FC50C2" w:rsidRPr="00CE6D95">
        <w:t>”</w:t>
      </w:r>
      <w:r w:rsidRPr="00CE6D95">
        <w:t>.</w:t>
      </w:r>
    </w:p>
    <w:p w:rsidR="004E62BC" w:rsidRPr="00CE6D95" w:rsidRDefault="009A52E9" w:rsidP="00CE6D95">
      <w:pPr>
        <w:pStyle w:val="ItemHead"/>
      </w:pPr>
      <w:r w:rsidRPr="00CE6D95">
        <w:t>9</w:t>
      </w:r>
      <w:r w:rsidR="004E62BC" w:rsidRPr="00CE6D95">
        <w:t xml:space="preserve">  Paragraph 205</w:t>
      </w:r>
      <w:r w:rsidR="007A2068">
        <w:noBreakHyphen/>
      </w:r>
      <w:r w:rsidR="004E62BC" w:rsidRPr="00CE6D95">
        <w:t>35(1)(b)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3 of the table in subsection</w:t>
      </w:r>
      <w:r w:rsidR="00CE6D95" w:rsidRPr="00CE6D95">
        <w:t> </w:t>
      </w:r>
      <w:r w:rsidRPr="00CE6D95">
        <w:t>25</w:t>
      </w:r>
      <w:r w:rsidR="007A2068">
        <w:noBreakHyphen/>
      </w:r>
      <w:r w:rsidRPr="00CE6D95">
        <w:t>5(5) (Entity with a purpose that is the advancement of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4 of the table in subsection</w:t>
      </w:r>
      <w:r w:rsidR="00CE6D95" w:rsidRPr="00CE6D95">
        <w:t> </w:t>
      </w:r>
      <w:r w:rsidRPr="00CE6D95">
        <w:t>25</w:t>
      </w:r>
      <w:r w:rsidR="007A2068">
        <w:noBreakHyphen/>
      </w:r>
      <w:r w:rsidRPr="00CE6D95">
        <w:t>5(5) (Entity with a purpose of advancing</w:t>
      </w:r>
      <w:r w:rsidR="00FC50C2" w:rsidRPr="00CE6D95">
        <w:t>”</w:t>
      </w:r>
      <w:r w:rsidRPr="00CE6D95">
        <w:t>.</w:t>
      </w:r>
    </w:p>
    <w:p w:rsidR="009402C9" w:rsidRPr="00CE6D95" w:rsidRDefault="009402C9" w:rsidP="00CE6D95">
      <w:pPr>
        <w:pStyle w:val="ActHead9"/>
        <w:rPr>
          <w:i w:val="0"/>
        </w:rPr>
      </w:pPr>
      <w:bookmarkStart w:id="13" w:name="_Toc361151565"/>
      <w:r w:rsidRPr="00CE6D95">
        <w:t>Criminal Code Act 1995</w:t>
      </w:r>
      <w:bookmarkEnd w:id="13"/>
    </w:p>
    <w:p w:rsidR="009402C9" w:rsidRPr="00CE6D95" w:rsidRDefault="009A52E9" w:rsidP="00CE6D95">
      <w:pPr>
        <w:pStyle w:val="ItemHead"/>
      </w:pPr>
      <w:r w:rsidRPr="00CE6D95">
        <w:t>10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 xml:space="preserve">268.46 of the </w:t>
      </w:r>
      <w:r w:rsidR="009402C9" w:rsidRPr="00CE6D95">
        <w:rPr>
          <w:i/>
        </w:rPr>
        <w:t>Criminal Code</w:t>
      </w:r>
    </w:p>
    <w:p w:rsidR="009402C9" w:rsidRPr="00CE6D95" w:rsidRDefault="009402C9" w:rsidP="00CE6D95">
      <w:pPr>
        <w:pStyle w:val="Item"/>
      </w:pPr>
      <w:r w:rsidRPr="00CE6D95">
        <w:t xml:space="preserve">Before </w:t>
      </w:r>
      <w:r w:rsidR="00FC50C2" w:rsidRPr="00CE6D95">
        <w:t>“</w:t>
      </w:r>
      <w:r w:rsidRPr="00CE6D95">
        <w:t>A person</w:t>
      </w:r>
      <w:r w:rsidR="00FC50C2" w:rsidRPr="00CE6D95">
        <w:t>”</w:t>
      </w:r>
      <w:r w:rsidRPr="00CE6D95">
        <w:t xml:space="preserve">, insert </w:t>
      </w:r>
      <w:r w:rsidR="00FC50C2" w:rsidRPr="00CE6D95">
        <w:t>“</w:t>
      </w:r>
      <w:r w:rsidRPr="00CE6D95">
        <w:t>(1)</w:t>
      </w:r>
      <w:r w:rsidR="00FC50C2" w:rsidRPr="00CE6D95">
        <w:t>”</w:t>
      </w:r>
      <w:r w:rsidRPr="00CE6D95">
        <w:t>.</w:t>
      </w:r>
    </w:p>
    <w:p w:rsidR="009402C9" w:rsidRPr="00CE6D95" w:rsidRDefault="009A52E9" w:rsidP="00CE6D95">
      <w:pPr>
        <w:pStyle w:val="ItemHead"/>
      </w:pPr>
      <w:r w:rsidRPr="00CE6D95">
        <w:t>11</w:t>
      </w:r>
      <w:r w:rsidR="009402C9" w:rsidRPr="00CE6D95">
        <w:t xml:space="preserve">  At the end of section</w:t>
      </w:r>
      <w:r w:rsidR="00CE6D95" w:rsidRPr="00CE6D95">
        <w:t> </w:t>
      </w:r>
      <w:r w:rsidR="009402C9" w:rsidRPr="00CE6D95">
        <w:t xml:space="preserve">268.46 of the </w:t>
      </w:r>
      <w:r w:rsidR="009402C9" w:rsidRPr="00CE6D95">
        <w:rPr>
          <w:i/>
        </w:rPr>
        <w:t>Criminal Code</w:t>
      </w:r>
    </w:p>
    <w:p w:rsidR="009402C9" w:rsidRPr="00CE6D95" w:rsidRDefault="009402C9" w:rsidP="00CE6D95">
      <w:pPr>
        <w:pStyle w:val="Item"/>
      </w:pPr>
      <w:r w:rsidRPr="00CE6D95">
        <w:t>Add:</w:t>
      </w:r>
    </w:p>
    <w:p w:rsidR="009402C9" w:rsidRPr="00CE6D95" w:rsidRDefault="009402C9" w:rsidP="00CE6D95">
      <w:pPr>
        <w:pStyle w:val="subsection"/>
      </w:pPr>
      <w:r w:rsidRPr="00CE6D95">
        <w:tab/>
        <w:t>(2)</w:t>
      </w:r>
      <w:r w:rsidRPr="00CE6D95">
        <w:tab/>
        <w:t xml:space="preserve">The definitions of </w:t>
      </w:r>
      <w:r w:rsidRPr="00CE6D95">
        <w:rPr>
          <w:b/>
          <w:i/>
        </w:rPr>
        <w:t>charitable purpose</w:t>
      </w:r>
      <w:r w:rsidRPr="00CE6D95">
        <w:t xml:space="preserve"> in subsection</w:t>
      </w:r>
      <w:r w:rsidR="00CE6D95" w:rsidRPr="00CE6D95">
        <w:t> </w:t>
      </w:r>
      <w:r w:rsidR="00DB7D6A" w:rsidRPr="00CE6D95">
        <w:t>12</w:t>
      </w:r>
      <w:r w:rsidRPr="00CE6D95">
        <w:t xml:space="preserve">(1) of the </w:t>
      </w:r>
      <w:r w:rsidRPr="00CE6D95">
        <w:rPr>
          <w:i/>
        </w:rPr>
        <w:t>Charities Act 2013</w:t>
      </w:r>
      <w:r w:rsidRPr="00CE6D95">
        <w:t xml:space="preserve"> and section</w:t>
      </w:r>
      <w:r w:rsidR="00CE6D95" w:rsidRPr="00CE6D95">
        <w:t> </w:t>
      </w:r>
      <w:r w:rsidRPr="00CE6D95">
        <w:t xml:space="preserve">2B of the </w:t>
      </w:r>
      <w:r w:rsidRPr="00CE6D95">
        <w:rPr>
          <w:i/>
        </w:rPr>
        <w:t>Acts Interpretation Act 1901</w:t>
      </w:r>
      <w:r w:rsidRPr="00CE6D95">
        <w:t xml:space="preserve"> do not apply to this section.</w:t>
      </w:r>
    </w:p>
    <w:p w:rsidR="009402C9" w:rsidRPr="00CE6D95" w:rsidRDefault="009A52E9" w:rsidP="00CE6D95">
      <w:pPr>
        <w:pStyle w:val="ItemHead"/>
      </w:pPr>
      <w:r w:rsidRPr="00CE6D95">
        <w:t>12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 xml:space="preserve">268.80 of the </w:t>
      </w:r>
      <w:r w:rsidR="009402C9" w:rsidRPr="00CE6D95">
        <w:rPr>
          <w:i/>
        </w:rPr>
        <w:t>Criminal Code</w:t>
      </w:r>
    </w:p>
    <w:p w:rsidR="009402C9" w:rsidRPr="00CE6D95" w:rsidRDefault="009402C9" w:rsidP="00CE6D95">
      <w:pPr>
        <w:pStyle w:val="Item"/>
      </w:pPr>
      <w:r w:rsidRPr="00CE6D95">
        <w:t xml:space="preserve">Before </w:t>
      </w:r>
      <w:r w:rsidR="00FC50C2" w:rsidRPr="00CE6D95">
        <w:t>“</w:t>
      </w:r>
      <w:r w:rsidRPr="00CE6D95">
        <w:t>A person</w:t>
      </w:r>
      <w:r w:rsidR="00FC50C2" w:rsidRPr="00CE6D95">
        <w:t>”</w:t>
      </w:r>
      <w:r w:rsidRPr="00CE6D95">
        <w:t xml:space="preserve">, insert </w:t>
      </w:r>
      <w:r w:rsidR="00FC50C2" w:rsidRPr="00CE6D95">
        <w:t>“</w:t>
      </w:r>
      <w:r w:rsidRPr="00CE6D95">
        <w:t>(1)</w:t>
      </w:r>
      <w:r w:rsidR="00FC50C2" w:rsidRPr="00CE6D95">
        <w:t>”</w:t>
      </w:r>
      <w:r w:rsidRPr="00CE6D95">
        <w:t>.</w:t>
      </w:r>
    </w:p>
    <w:p w:rsidR="009402C9" w:rsidRPr="00CE6D95" w:rsidRDefault="009A52E9" w:rsidP="00CE6D95">
      <w:pPr>
        <w:pStyle w:val="ItemHead"/>
      </w:pPr>
      <w:r w:rsidRPr="00CE6D95">
        <w:t>13</w:t>
      </w:r>
      <w:r w:rsidR="009402C9" w:rsidRPr="00CE6D95">
        <w:t xml:space="preserve">  At the end of section</w:t>
      </w:r>
      <w:r w:rsidR="00CE6D95" w:rsidRPr="00CE6D95">
        <w:t> </w:t>
      </w:r>
      <w:r w:rsidR="009402C9" w:rsidRPr="00CE6D95">
        <w:t xml:space="preserve">268.80 of the </w:t>
      </w:r>
      <w:r w:rsidR="009402C9" w:rsidRPr="00CE6D95">
        <w:rPr>
          <w:i/>
        </w:rPr>
        <w:t>Criminal Code</w:t>
      </w:r>
    </w:p>
    <w:p w:rsidR="009402C9" w:rsidRPr="00CE6D95" w:rsidRDefault="009402C9" w:rsidP="00CE6D95">
      <w:pPr>
        <w:pStyle w:val="Item"/>
      </w:pPr>
      <w:r w:rsidRPr="00CE6D95">
        <w:t>Add:</w:t>
      </w:r>
    </w:p>
    <w:p w:rsidR="009402C9" w:rsidRPr="00CE6D95" w:rsidRDefault="009402C9" w:rsidP="00CE6D95">
      <w:pPr>
        <w:pStyle w:val="subsection"/>
      </w:pPr>
      <w:r w:rsidRPr="00CE6D95">
        <w:tab/>
        <w:t>(2)</w:t>
      </w:r>
      <w:r w:rsidRPr="00CE6D95">
        <w:tab/>
        <w:t xml:space="preserve">The definitions of </w:t>
      </w:r>
      <w:r w:rsidRPr="00CE6D95">
        <w:rPr>
          <w:b/>
          <w:i/>
        </w:rPr>
        <w:t>charitable purpose</w:t>
      </w:r>
      <w:r w:rsidRPr="00CE6D95">
        <w:t xml:space="preserve"> in subsection</w:t>
      </w:r>
      <w:r w:rsidR="00CE6D95" w:rsidRPr="00CE6D95">
        <w:t> </w:t>
      </w:r>
      <w:r w:rsidR="00DB7D6A" w:rsidRPr="00CE6D95">
        <w:t>12</w:t>
      </w:r>
      <w:r w:rsidRPr="00CE6D95">
        <w:t xml:space="preserve">(1) of the </w:t>
      </w:r>
      <w:r w:rsidRPr="00CE6D95">
        <w:rPr>
          <w:i/>
        </w:rPr>
        <w:t>Charities Act 2013</w:t>
      </w:r>
      <w:r w:rsidRPr="00CE6D95">
        <w:t xml:space="preserve"> and section</w:t>
      </w:r>
      <w:r w:rsidR="00CE6D95" w:rsidRPr="00CE6D95">
        <w:t> </w:t>
      </w:r>
      <w:r w:rsidRPr="00CE6D95">
        <w:t xml:space="preserve">2B of the </w:t>
      </w:r>
      <w:r w:rsidRPr="00CE6D95">
        <w:rPr>
          <w:i/>
        </w:rPr>
        <w:t>Acts Interpretation Act 1901</w:t>
      </w:r>
      <w:r w:rsidRPr="00CE6D95">
        <w:t xml:space="preserve"> do not apply to this section.</w:t>
      </w:r>
    </w:p>
    <w:p w:rsidR="009402C9" w:rsidRPr="00CE6D95" w:rsidRDefault="009402C9" w:rsidP="00CE6D95">
      <w:pPr>
        <w:pStyle w:val="ActHead9"/>
        <w:rPr>
          <w:i w:val="0"/>
        </w:rPr>
      </w:pPr>
      <w:bookmarkStart w:id="14" w:name="_Toc361151566"/>
      <w:r w:rsidRPr="00CE6D95">
        <w:t>Disability Discrimination Act 1992</w:t>
      </w:r>
      <w:bookmarkEnd w:id="14"/>
    </w:p>
    <w:p w:rsidR="009402C9" w:rsidRPr="00CE6D95" w:rsidRDefault="009A52E9" w:rsidP="00CE6D95">
      <w:pPr>
        <w:pStyle w:val="ItemHead"/>
      </w:pPr>
      <w:r w:rsidRPr="00CE6D95">
        <w:t>14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>49</w:t>
      </w:r>
    </w:p>
    <w:p w:rsidR="009402C9" w:rsidRPr="00CE6D95" w:rsidRDefault="009402C9" w:rsidP="00CE6D95">
      <w:pPr>
        <w:pStyle w:val="Item"/>
      </w:pPr>
      <w:r w:rsidRPr="00CE6D95">
        <w:t>Repeal the section, substitute:</w:t>
      </w:r>
    </w:p>
    <w:p w:rsidR="009402C9" w:rsidRPr="00CE6D95" w:rsidRDefault="009402C9" w:rsidP="00CE6D95">
      <w:pPr>
        <w:pStyle w:val="ActHead5"/>
      </w:pPr>
      <w:bookmarkStart w:id="15" w:name="_Toc361151567"/>
      <w:r w:rsidRPr="00CE6D95">
        <w:rPr>
          <w:rStyle w:val="CharSectno"/>
        </w:rPr>
        <w:t>49</w:t>
      </w:r>
      <w:r w:rsidRPr="00CE6D95">
        <w:t xml:space="preserve">  Charities</w:t>
      </w:r>
      <w:bookmarkEnd w:id="15"/>
    </w:p>
    <w:p w:rsidR="009402C9" w:rsidRPr="00CE6D95" w:rsidRDefault="009402C9" w:rsidP="00CE6D95">
      <w:pPr>
        <w:pStyle w:val="subsection"/>
      </w:pPr>
      <w:r w:rsidRPr="00CE6D95">
        <w:tab/>
      </w:r>
      <w:r w:rsidRPr="00CE6D95">
        <w:tab/>
        <w:t>This Part does not:</w:t>
      </w:r>
    </w:p>
    <w:p w:rsidR="009402C9" w:rsidRPr="00CE6D95" w:rsidRDefault="009402C9" w:rsidP="00CE6D95">
      <w:pPr>
        <w:pStyle w:val="paragraph"/>
      </w:pPr>
      <w:r w:rsidRPr="00CE6D95">
        <w:tab/>
        <w:t>(a)</w:t>
      </w:r>
      <w:r w:rsidRPr="00CE6D95">
        <w:tab/>
        <w:t xml:space="preserve">affect a provision (whether made before or after the commencement of this Part) of the governing rules (within the meaning of the </w:t>
      </w:r>
      <w:r w:rsidRPr="00CE6D95">
        <w:rPr>
          <w:i/>
        </w:rPr>
        <w:t>Australian Charities and Not</w:t>
      </w:r>
      <w:r w:rsidR="007A2068">
        <w:rPr>
          <w:i/>
        </w:rPr>
        <w:noBreakHyphen/>
      </w:r>
      <w:r w:rsidRPr="00CE6D95">
        <w:rPr>
          <w:i/>
        </w:rPr>
        <w:t>for</w:t>
      </w:r>
      <w:r w:rsidR="007A2068">
        <w:rPr>
          <w:i/>
        </w:rPr>
        <w:noBreakHyphen/>
      </w:r>
      <w:r w:rsidRPr="00CE6D95">
        <w:rPr>
          <w:i/>
        </w:rPr>
        <w:t>profits Commission Act 2012</w:t>
      </w:r>
      <w:r w:rsidRPr="00CE6D95">
        <w:t>) of a registered charity, if the provision:</w:t>
      </w:r>
    </w:p>
    <w:p w:rsidR="009402C9" w:rsidRPr="00CE6D95" w:rsidRDefault="009402C9" w:rsidP="00CE6D95">
      <w:pPr>
        <w:pStyle w:val="paragraphsub"/>
      </w:pPr>
      <w:r w:rsidRPr="00CE6D95">
        <w:tab/>
        <w:t>(</w:t>
      </w:r>
      <w:proofErr w:type="spellStart"/>
      <w:r w:rsidRPr="00CE6D95">
        <w:t>i</w:t>
      </w:r>
      <w:proofErr w:type="spellEnd"/>
      <w:r w:rsidRPr="00CE6D95">
        <w:t>)</w:t>
      </w:r>
      <w:r w:rsidRPr="00CE6D95">
        <w:tab/>
        <w:t>confers benefits for charitable purposes; or</w:t>
      </w:r>
    </w:p>
    <w:p w:rsidR="009402C9" w:rsidRPr="00CE6D95" w:rsidRDefault="009402C9" w:rsidP="00CE6D95">
      <w:pPr>
        <w:pStyle w:val="paragraphsub"/>
      </w:pPr>
      <w:r w:rsidRPr="00CE6D95">
        <w:tab/>
        <w:t>(ii)</w:t>
      </w:r>
      <w:r w:rsidRPr="00CE6D95">
        <w:tab/>
        <w:t>enables such benefits to be conferred;</w:t>
      </w:r>
    </w:p>
    <w:p w:rsidR="009402C9" w:rsidRPr="00CE6D95" w:rsidRDefault="009402C9" w:rsidP="00CE6D95">
      <w:pPr>
        <w:pStyle w:val="paragraph"/>
      </w:pPr>
      <w:r w:rsidRPr="00CE6D95">
        <w:tab/>
      </w:r>
      <w:r w:rsidRPr="00CE6D95">
        <w:tab/>
        <w:t>wholly or in part on persons who have a disability or a particular disability; or</w:t>
      </w:r>
    </w:p>
    <w:p w:rsidR="009402C9" w:rsidRPr="00CE6D95" w:rsidRDefault="009402C9" w:rsidP="00CE6D95">
      <w:pPr>
        <w:pStyle w:val="paragraph"/>
      </w:pPr>
      <w:r w:rsidRPr="00CE6D95">
        <w:tab/>
        <w:t>(b)</w:t>
      </w:r>
      <w:r w:rsidRPr="00CE6D95">
        <w:tab/>
        <w:t>make unlawful any act done to give effect to such a provision.</w:t>
      </w:r>
    </w:p>
    <w:p w:rsidR="004E62BC" w:rsidRPr="00CE6D95" w:rsidRDefault="004E62BC" w:rsidP="00CE6D95">
      <w:pPr>
        <w:pStyle w:val="ActHead9"/>
        <w:rPr>
          <w:i w:val="0"/>
        </w:rPr>
      </w:pPr>
      <w:bookmarkStart w:id="16" w:name="_Toc361151568"/>
      <w:r w:rsidRPr="00CE6D95">
        <w:t>Fringe Benefits Tax Assessment Act 1986</w:t>
      </w:r>
      <w:bookmarkEnd w:id="16"/>
    </w:p>
    <w:p w:rsidR="004E62BC" w:rsidRPr="00CE6D95" w:rsidRDefault="009A52E9" w:rsidP="00CE6D95">
      <w:pPr>
        <w:pStyle w:val="ItemHead"/>
      </w:pPr>
      <w:r w:rsidRPr="00CE6D95">
        <w:t>15</w:t>
      </w:r>
      <w:r w:rsidR="004E62BC" w:rsidRPr="00CE6D95">
        <w:t xml:space="preserve">  Subparagraph 58(1)(a)(iii)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3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4</w:t>
      </w:r>
      <w:r w:rsidR="00FC50C2" w:rsidRPr="00CE6D95">
        <w:t>”</w:t>
      </w:r>
      <w:r w:rsidRPr="00CE6D95">
        <w:t>.</w:t>
      </w:r>
    </w:p>
    <w:p w:rsidR="004E62BC" w:rsidRPr="00CE6D95" w:rsidRDefault="009A52E9" w:rsidP="00CE6D95">
      <w:pPr>
        <w:pStyle w:val="ItemHead"/>
      </w:pPr>
      <w:r w:rsidRPr="00CE6D95">
        <w:t>16</w:t>
      </w:r>
      <w:r w:rsidR="004E62BC" w:rsidRPr="00CE6D95">
        <w:t xml:space="preserve">  Subsection</w:t>
      </w:r>
      <w:r w:rsidR="00CE6D95" w:rsidRPr="00CE6D95">
        <w:t> </w:t>
      </w:r>
      <w:r w:rsidR="004E62BC" w:rsidRPr="00CE6D95">
        <w:t>136(1) (</w:t>
      </w:r>
      <w:r w:rsidR="00CE6D95" w:rsidRPr="00CE6D95">
        <w:t>paragraph (</w:t>
      </w:r>
      <w:r w:rsidR="004E62BC" w:rsidRPr="00CE6D95">
        <w:t xml:space="preserve">b) of the definition of </w:t>
      </w:r>
      <w:r w:rsidR="004E62BC" w:rsidRPr="00CE6D95">
        <w:rPr>
          <w:i/>
        </w:rPr>
        <w:t>registered health promotion charity</w:t>
      </w:r>
      <w:r w:rsidR="004E62BC" w:rsidRPr="00CE6D95">
        <w:t>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5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1</w:t>
      </w:r>
      <w:r w:rsidR="00297870" w:rsidRPr="00CE6D95">
        <w:t>3</w:t>
      </w:r>
      <w:r w:rsidR="00FC50C2" w:rsidRPr="00CE6D95">
        <w:t>”</w:t>
      </w:r>
      <w:r w:rsidRPr="00CE6D95">
        <w:t>.</w:t>
      </w:r>
    </w:p>
    <w:p w:rsidR="004E62BC" w:rsidRPr="00CE6D95" w:rsidRDefault="009A52E9" w:rsidP="00CE6D95">
      <w:pPr>
        <w:pStyle w:val="ItemHead"/>
      </w:pPr>
      <w:r w:rsidRPr="00CE6D95">
        <w:t>17</w:t>
      </w:r>
      <w:r w:rsidR="004E62BC" w:rsidRPr="00CE6D95">
        <w:t xml:space="preserve">  Subsection</w:t>
      </w:r>
      <w:r w:rsidR="00CE6D95" w:rsidRPr="00CE6D95">
        <w:t> </w:t>
      </w:r>
      <w:r w:rsidR="004E62BC" w:rsidRPr="00CE6D95">
        <w:t>136(1) (</w:t>
      </w:r>
      <w:r w:rsidR="00CE6D95" w:rsidRPr="00CE6D95">
        <w:t>paragraph (</w:t>
      </w:r>
      <w:r w:rsidR="004E62BC" w:rsidRPr="00CE6D95">
        <w:t xml:space="preserve">b) of the definition of </w:t>
      </w:r>
      <w:r w:rsidR="004E62BC" w:rsidRPr="00CE6D95">
        <w:rPr>
          <w:i/>
        </w:rPr>
        <w:t>registered public benevolent institution</w:t>
      </w:r>
      <w:r w:rsidR="004E62BC" w:rsidRPr="00CE6D95">
        <w:t>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6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1</w:t>
      </w:r>
      <w:r w:rsidR="00297870" w:rsidRPr="00CE6D95">
        <w:t>4</w:t>
      </w:r>
      <w:r w:rsidR="00FC50C2" w:rsidRPr="00CE6D95">
        <w:t>”</w:t>
      </w:r>
      <w:r w:rsidRPr="00CE6D95">
        <w:t>.</w:t>
      </w:r>
    </w:p>
    <w:p w:rsidR="004E62BC" w:rsidRPr="00CE6D95" w:rsidRDefault="009A52E9" w:rsidP="00CE6D95">
      <w:pPr>
        <w:pStyle w:val="ItemHead"/>
      </w:pPr>
      <w:r w:rsidRPr="00CE6D95">
        <w:t>18</w:t>
      </w:r>
      <w:r w:rsidR="004E62BC" w:rsidRPr="00CE6D95">
        <w:t xml:space="preserve">  Subsection</w:t>
      </w:r>
      <w:r w:rsidR="00CE6D95" w:rsidRPr="00CE6D95">
        <w:t> </w:t>
      </w:r>
      <w:r w:rsidR="004E62BC" w:rsidRPr="00CE6D95">
        <w:t>136(1) (</w:t>
      </w:r>
      <w:r w:rsidR="00CE6D95" w:rsidRPr="00CE6D95">
        <w:t>paragraph (</w:t>
      </w:r>
      <w:r w:rsidR="004E62BC" w:rsidRPr="00CE6D95">
        <w:t xml:space="preserve">b) of the definition of </w:t>
      </w:r>
      <w:r w:rsidR="004E62BC" w:rsidRPr="00CE6D95">
        <w:rPr>
          <w:i/>
        </w:rPr>
        <w:t>registered religious institution</w:t>
      </w:r>
      <w:r w:rsidR="004E62BC" w:rsidRPr="00CE6D95">
        <w:t>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3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4</w:t>
      </w:r>
      <w:r w:rsidR="00FC50C2" w:rsidRPr="00CE6D95">
        <w:t>”</w:t>
      </w:r>
      <w:r w:rsidRPr="00CE6D95">
        <w:t>.</w:t>
      </w:r>
    </w:p>
    <w:p w:rsidR="003C09AB" w:rsidRPr="00CE6D95" w:rsidRDefault="003C09AB" w:rsidP="00CE6D95">
      <w:pPr>
        <w:pStyle w:val="ActHead9"/>
        <w:rPr>
          <w:i w:val="0"/>
        </w:rPr>
      </w:pPr>
      <w:bookmarkStart w:id="17" w:name="_Toc361151569"/>
      <w:r w:rsidRPr="00CE6D95">
        <w:t>Income Tax Assessment Act 1936</w:t>
      </w:r>
      <w:bookmarkEnd w:id="17"/>
    </w:p>
    <w:p w:rsidR="003C09AB" w:rsidRPr="00CE6D95" w:rsidRDefault="009A52E9" w:rsidP="00CE6D95">
      <w:pPr>
        <w:pStyle w:val="ItemHead"/>
      </w:pPr>
      <w:r w:rsidRPr="00CE6D95">
        <w:t>19</w:t>
      </w:r>
      <w:r w:rsidR="003C09AB" w:rsidRPr="00CE6D95">
        <w:t xml:space="preserve">  Subsection</w:t>
      </w:r>
      <w:r w:rsidR="00CE6D95" w:rsidRPr="00CE6D95">
        <w:t> </w:t>
      </w:r>
      <w:r w:rsidR="003C09AB" w:rsidRPr="00CE6D95">
        <w:t>121F(1) (</w:t>
      </w:r>
      <w:r w:rsidR="00CE6D95" w:rsidRPr="00CE6D95">
        <w:t>paragraph (</w:t>
      </w:r>
      <w:proofErr w:type="spellStart"/>
      <w:r w:rsidR="003C09AB" w:rsidRPr="00CE6D95">
        <w:t>aa</w:t>
      </w:r>
      <w:proofErr w:type="spellEnd"/>
      <w:r w:rsidR="003C09AB" w:rsidRPr="00CE6D95">
        <w:t xml:space="preserve">) of the definition of </w:t>
      </w:r>
      <w:r w:rsidR="003C09AB" w:rsidRPr="00CE6D95">
        <w:rPr>
          <w:i/>
        </w:rPr>
        <w:t>relevant exempting provision</w:t>
      </w:r>
      <w:r w:rsidR="003C09AB" w:rsidRPr="00CE6D95">
        <w:t>)</w:t>
      </w:r>
    </w:p>
    <w:p w:rsidR="003C09AB" w:rsidRPr="00CE6D95" w:rsidRDefault="003C09AB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50</w:t>
      </w:r>
      <w:r w:rsidR="007A2068">
        <w:noBreakHyphen/>
      </w:r>
      <w:r w:rsidRPr="00CE6D95">
        <w:t>20,</w:t>
      </w:r>
      <w:r w:rsidR="00FC50C2" w:rsidRPr="00CE6D95">
        <w:t>”</w:t>
      </w:r>
      <w:r w:rsidRPr="00CE6D95">
        <w:t>.</w:t>
      </w:r>
    </w:p>
    <w:p w:rsidR="003C09AB" w:rsidRPr="00CE6D95" w:rsidRDefault="009A52E9" w:rsidP="00CE6D95">
      <w:pPr>
        <w:pStyle w:val="ItemHead"/>
      </w:pPr>
      <w:r w:rsidRPr="00CE6D95">
        <w:t>20</w:t>
      </w:r>
      <w:r w:rsidR="003C09AB" w:rsidRPr="00CE6D95">
        <w:t xml:space="preserve">  Subsection</w:t>
      </w:r>
      <w:r w:rsidR="00CE6D95" w:rsidRPr="00CE6D95">
        <w:t> </w:t>
      </w:r>
      <w:r w:rsidR="003C09AB" w:rsidRPr="00CE6D95">
        <w:t>121F(1) (</w:t>
      </w:r>
      <w:r w:rsidR="00CE6D95" w:rsidRPr="00CE6D95">
        <w:t>paragraph (</w:t>
      </w:r>
      <w:proofErr w:type="spellStart"/>
      <w:r w:rsidR="003C09AB" w:rsidRPr="00CE6D95">
        <w:t>cb</w:t>
      </w:r>
      <w:proofErr w:type="spellEnd"/>
      <w:r w:rsidR="003C09AB" w:rsidRPr="00CE6D95">
        <w:t xml:space="preserve">) of the definition of </w:t>
      </w:r>
      <w:r w:rsidR="003C09AB" w:rsidRPr="00CE6D95">
        <w:rPr>
          <w:i/>
        </w:rPr>
        <w:t>relevant exempting provision</w:t>
      </w:r>
      <w:r w:rsidR="003C09AB" w:rsidRPr="00CE6D95">
        <w:t>)</w:t>
      </w:r>
    </w:p>
    <w:p w:rsidR="003C09AB" w:rsidRPr="00CE6D95" w:rsidRDefault="003C09AB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and</w:t>
      </w:r>
      <w:r w:rsidR="00FC50C2" w:rsidRPr="00CE6D95">
        <w:t>”</w:t>
      </w:r>
      <w:r w:rsidRPr="00CE6D95">
        <w:t xml:space="preserve"> (last occurring).</w:t>
      </w:r>
    </w:p>
    <w:p w:rsidR="00CD3E22" w:rsidRPr="00CE6D95" w:rsidRDefault="009A52E9" w:rsidP="00CE6D95">
      <w:pPr>
        <w:pStyle w:val="ItemHead"/>
      </w:pPr>
      <w:r w:rsidRPr="00CE6D95">
        <w:t>21</w:t>
      </w:r>
      <w:r w:rsidR="00CD3E22" w:rsidRPr="00CE6D95">
        <w:t xml:space="preserve">  Subsection</w:t>
      </w:r>
      <w:r w:rsidR="00CE6D95" w:rsidRPr="00CE6D95">
        <w:t> </w:t>
      </w:r>
      <w:r w:rsidR="00CD3E22" w:rsidRPr="00CE6D95">
        <w:t>128F(9) (</w:t>
      </w:r>
      <w:r w:rsidR="00CE6D95" w:rsidRPr="00CE6D95">
        <w:t>paragraph (</w:t>
      </w:r>
      <w:r w:rsidR="00CD3E22" w:rsidRPr="00CE6D95">
        <w:t xml:space="preserve">a) of the definition of </w:t>
      </w:r>
      <w:r w:rsidR="00CD3E22" w:rsidRPr="00CE6D95">
        <w:rPr>
          <w:i/>
        </w:rPr>
        <w:t>company</w:t>
      </w:r>
      <w:r w:rsidR="00CD3E22" w:rsidRPr="00CE6D95">
        <w:t>)</w:t>
      </w:r>
    </w:p>
    <w:p w:rsidR="00CD3E22" w:rsidRPr="00CE6D95" w:rsidRDefault="00CD3E22" w:rsidP="00CE6D95">
      <w:pPr>
        <w:pStyle w:val="Item"/>
      </w:pPr>
      <w:r w:rsidRPr="00CE6D95">
        <w:t>Repeal the paragraph, substitute:</w:t>
      </w:r>
    </w:p>
    <w:p w:rsidR="00CD3E22" w:rsidRPr="00CE6D95" w:rsidRDefault="00CD3E22" w:rsidP="00CE6D95">
      <w:pPr>
        <w:pStyle w:val="paragraph"/>
      </w:pPr>
      <w:r w:rsidRPr="00CE6D95">
        <w:tab/>
        <w:t>(a)</w:t>
      </w:r>
      <w:r w:rsidRPr="00CE6D95">
        <w:tab/>
        <w:t>the trust is not a charity; and</w:t>
      </w:r>
    </w:p>
    <w:p w:rsidR="003C09AB" w:rsidRPr="00CE6D95" w:rsidRDefault="009A52E9" w:rsidP="00CE6D95">
      <w:pPr>
        <w:pStyle w:val="ItemHead"/>
      </w:pPr>
      <w:r w:rsidRPr="00CE6D95">
        <w:t>22</w:t>
      </w:r>
      <w:r w:rsidR="003C09AB" w:rsidRPr="00CE6D95">
        <w:t xml:space="preserve">  Paragraph 272</w:t>
      </w:r>
      <w:r w:rsidR="007A2068">
        <w:noBreakHyphen/>
      </w:r>
      <w:r w:rsidR="003C09AB" w:rsidRPr="00CE6D95">
        <w:t>90(7)(a) in Schedule</w:t>
      </w:r>
      <w:r w:rsidR="00CE6D95" w:rsidRPr="00CE6D95">
        <w:t> </w:t>
      </w:r>
      <w:r w:rsidR="003C09AB" w:rsidRPr="00CE6D95">
        <w:t>2F</w:t>
      </w:r>
    </w:p>
    <w:p w:rsidR="003C09AB" w:rsidRPr="00CE6D95" w:rsidRDefault="003C09AB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, 50</w:t>
      </w:r>
      <w:r w:rsidR="007A2068">
        <w:noBreakHyphen/>
      </w:r>
      <w:r w:rsidRPr="00CE6D95">
        <w:t>10 or 50</w:t>
      </w:r>
      <w:r w:rsidR="007A2068">
        <w:noBreakHyphen/>
      </w:r>
      <w:r w:rsidRPr="00CE6D95">
        <w:t>20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or 50</w:t>
      </w:r>
      <w:r w:rsidR="007A2068">
        <w:noBreakHyphen/>
      </w:r>
      <w:r w:rsidRPr="00CE6D95">
        <w:t>10</w:t>
      </w:r>
      <w:r w:rsidR="00FC50C2" w:rsidRPr="00CE6D95">
        <w:t>”</w:t>
      </w:r>
      <w:r w:rsidRPr="00CE6D95">
        <w:t>.</w:t>
      </w:r>
    </w:p>
    <w:p w:rsidR="004E62BC" w:rsidRPr="00CE6D95" w:rsidRDefault="004E62BC" w:rsidP="00CE6D95">
      <w:pPr>
        <w:pStyle w:val="ActHead9"/>
        <w:rPr>
          <w:i w:val="0"/>
        </w:rPr>
      </w:pPr>
      <w:bookmarkStart w:id="18" w:name="_Toc361151570"/>
      <w:r w:rsidRPr="00CE6D95">
        <w:t>Income Tax Assessment Act 1997</w:t>
      </w:r>
      <w:bookmarkEnd w:id="18"/>
    </w:p>
    <w:p w:rsidR="003C09AB" w:rsidRPr="00CE6D95" w:rsidRDefault="009A52E9" w:rsidP="00CE6D95">
      <w:pPr>
        <w:pStyle w:val="ItemHead"/>
      </w:pPr>
      <w:r w:rsidRPr="00CE6D95">
        <w:t>23</w:t>
      </w:r>
      <w:r w:rsidR="003C09AB" w:rsidRPr="00CE6D95">
        <w:t xml:space="preserve">  Section</w:t>
      </w:r>
      <w:r w:rsidR="00CE6D95" w:rsidRPr="00CE6D95">
        <w:t> </w:t>
      </w:r>
      <w:r w:rsidR="003C09AB" w:rsidRPr="00CE6D95">
        <w:t>11</w:t>
      </w:r>
      <w:r w:rsidR="007A2068">
        <w:noBreakHyphen/>
      </w:r>
      <w:r w:rsidR="003C09AB" w:rsidRPr="00CE6D95">
        <w:t xml:space="preserve">5 (table item headed </w:t>
      </w:r>
      <w:r w:rsidR="00FC50C2" w:rsidRPr="00CE6D95">
        <w:t>“</w:t>
      </w:r>
      <w:r w:rsidR="003C09AB" w:rsidRPr="00CE6D95">
        <w:t>funds established by will or trust</w:t>
      </w:r>
      <w:r w:rsidR="00FC50C2" w:rsidRPr="00CE6D95">
        <w:t>”</w:t>
      </w:r>
      <w:r w:rsidR="003C09AB" w:rsidRPr="00CE6D95">
        <w:t>)</w:t>
      </w:r>
    </w:p>
    <w:p w:rsidR="003C09AB" w:rsidRPr="00CE6D95" w:rsidRDefault="003C09AB" w:rsidP="00CE6D95">
      <w:pPr>
        <w:pStyle w:val="Item"/>
      </w:pPr>
      <w:r w:rsidRPr="00CE6D95">
        <w:t>Repeal the item.</w:t>
      </w:r>
    </w:p>
    <w:p w:rsidR="00751CED" w:rsidRPr="00CE6D95" w:rsidRDefault="009A52E9" w:rsidP="00CE6D95">
      <w:pPr>
        <w:pStyle w:val="ItemHead"/>
      </w:pPr>
      <w:r w:rsidRPr="00CE6D95">
        <w:t>24</w:t>
      </w:r>
      <w:r w:rsidR="00751CED" w:rsidRPr="00CE6D95">
        <w:t xml:space="preserve">  Subsection</w:t>
      </w:r>
      <w:r w:rsidR="00CE6D95" w:rsidRPr="00CE6D95">
        <w:t> </w:t>
      </w:r>
      <w:r w:rsidR="00751CED" w:rsidRPr="00CE6D95">
        <w:t>30</w:t>
      </w:r>
      <w:r w:rsidR="007A2068">
        <w:noBreakHyphen/>
      </w:r>
      <w:r w:rsidR="00751CED" w:rsidRPr="00CE6D95">
        <w:t>45(1) (table item</w:t>
      </w:r>
      <w:r w:rsidR="00CE6D95" w:rsidRPr="00CE6D95">
        <w:t> </w:t>
      </w:r>
      <w:r w:rsidR="00751CED" w:rsidRPr="00CE6D95">
        <w:t>4.1.3, column headed “Fund, authority or institution”)</w:t>
      </w:r>
    </w:p>
    <w:p w:rsidR="00751CED" w:rsidRPr="00CE6D95" w:rsidRDefault="00751CED" w:rsidP="00CE6D95">
      <w:pPr>
        <w:pStyle w:val="Item"/>
      </w:pPr>
      <w:r w:rsidRPr="00CE6D95">
        <w:t>Omit “relief of persons in Australia who are in necessitous circumstances”, substitute “purpose of relieving the necessitous circumstances of one or more individuals who are in Australia”.</w:t>
      </w:r>
    </w:p>
    <w:p w:rsidR="00A023A7" w:rsidRPr="00CE6D95" w:rsidRDefault="009A52E9" w:rsidP="00CE6D95">
      <w:pPr>
        <w:pStyle w:val="ItemHead"/>
      </w:pPr>
      <w:r w:rsidRPr="00CE6D95">
        <w:t>25</w:t>
      </w:r>
      <w:r w:rsidR="00A023A7" w:rsidRPr="00CE6D95">
        <w:t xml:space="preserve">  Section</w:t>
      </w:r>
      <w:r w:rsidR="00CE6D95" w:rsidRPr="00CE6D95">
        <w:t> </w:t>
      </w:r>
      <w:r w:rsidR="00A023A7" w:rsidRPr="00CE6D95">
        <w:t>30</w:t>
      </w:r>
      <w:r w:rsidR="007A2068">
        <w:noBreakHyphen/>
      </w:r>
      <w:r w:rsidR="00A023A7" w:rsidRPr="00CE6D95">
        <w:t>315 (table item</w:t>
      </w:r>
      <w:r w:rsidR="00CE6D95" w:rsidRPr="00CE6D95">
        <w:t> </w:t>
      </w:r>
      <w:r w:rsidR="00A023A7" w:rsidRPr="00CE6D95">
        <w:t>79, column without a heading)</w:t>
      </w:r>
    </w:p>
    <w:p w:rsidR="00A023A7" w:rsidRPr="00CE6D95" w:rsidRDefault="00A023A7" w:rsidP="00CE6D95">
      <w:pPr>
        <w:pStyle w:val="Item"/>
      </w:pPr>
      <w:r w:rsidRPr="00CE6D95">
        <w:t>Omit “persons in”.</w:t>
      </w:r>
    </w:p>
    <w:p w:rsidR="003C09AB" w:rsidRPr="00CE6D95" w:rsidRDefault="009A52E9" w:rsidP="00CE6D95">
      <w:pPr>
        <w:pStyle w:val="ItemHead"/>
      </w:pPr>
      <w:r w:rsidRPr="00CE6D95">
        <w:t>26</w:t>
      </w:r>
      <w:r w:rsidR="003C09AB" w:rsidRPr="00CE6D95">
        <w:t xml:space="preserve">  Subparagraph 43</w:t>
      </w:r>
      <w:r w:rsidR="007A2068">
        <w:noBreakHyphen/>
      </w:r>
      <w:r w:rsidR="003C09AB" w:rsidRPr="00CE6D95">
        <w:t>55(1)(a)(</w:t>
      </w:r>
      <w:proofErr w:type="spellStart"/>
      <w:r w:rsidR="003C09AB" w:rsidRPr="00CE6D95">
        <w:t>i</w:t>
      </w:r>
      <w:proofErr w:type="spellEnd"/>
      <w:r w:rsidR="003C09AB" w:rsidRPr="00CE6D95">
        <w:t>)</w:t>
      </w:r>
    </w:p>
    <w:p w:rsidR="003C09AB" w:rsidRPr="00CE6D95" w:rsidRDefault="003C09AB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50</w:t>
      </w:r>
      <w:r w:rsidR="007A2068">
        <w:noBreakHyphen/>
      </w:r>
      <w:r w:rsidRPr="00CE6D95">
        <w:t>20,</w:t>
      </w:r>
      <w:r w:rsidR="00FC50C2" w:rsidRPr="00CE6D95">
        <w:t>”</w:t>
      </w:r>
      <w:r w:rsidRPr="00CE6D95">
        <w:t>.</w:t>
      </w:r>
    </w:p>
    <w:p w:rsidR="00F67ADF" w:rsidRPr="00CE6D95" w:rsidRDefault="009A52E9" w:rsidP="00CE6D95">
      <w:pPr>
        <w:pStyle w:val="ItemHead"/>
      </w:pPr>
      <w:r w:rsidRPr="00CE6D95">
        <w:t>27</w:t>
      </w:r>
      <w:r w:rsidR="00F67ADF" w:rsidRPr="00CE6D95">
        <w:t xml:space="preserve">  </w:t>
      </w:r>
      <w:r w:rsidR="00B72E36" w:rsidRPr="00CE6D95">
        <w:t>Section</w:t>
      </w:r>
      <w:r w:rsidR="00CE6D95" w:rsidRPr="00CE6D95">
        <w:t> </w:t>
      </w:r>
      <w:r w:rsidR="00B72E36" w:rsidRPr="00CE6D95">
        <w:t>50</w:t>
      </w:r>
      <w:r w:rsidR="007A2068">
        <w:noBreakHyphen/>
      </w:r>
      <w:r w:rsidR="00B72E36" w:rsidRPr="00CE6D95">
        <w:t>5 (note 1)</w:t>
      </w:r>
    </w:p>
    <w:p w:rsidR="00B72E36" w:rsidRPr="00CE6D95" w:rsidRDefault="00B72E36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charitable institutions, funds and trusts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charities</w:t>
      </w:r>
      <w:r w:rsidR="00FC50C2" w:rsidRPr="00CE6D95">
        <w:t>”</w:t>
      </w:r>
      <w:r w:rsidRPr="00CE6D95">
        <w:t>.</w:t>
      </w:r>
    </w:p>
    <w:p w:rsidR="003C09AB" w:rsidRPr="00CE6D95" w:rsidRDefault="009A52E9" w:rsidP="00CE6D95">
      <w:pPr>
        <w:pStyle w:val="ItemHead"/>
      </w:pPr>
      <w:r w:rsidRPr="00CE6D95">
        <w:t>28</w:t>
      </w:r>
      <w:r w:rsidR="003C09AB" w:rsidRPr="00CE6D95">
        <w:t xml:space="preserve">  Section</w:t>
      </w:r>
      <w:r w:rsidR="00CE6D95" w:rsidRPr="00CE6D95">
        <w:t> </w:t>
      </w:r>
      <w:r w:rsidR="003C09AB" w:rsidRPr="00CE6D95">
        <w:t>50</w:t>
      </w:r>
      <w:r w:rsidR="007A2068">
        <w:noBreakHyphen/>
      </w:r>
      <w:r w:rsidR="003C09AB" w:rsidRPr="00CE6D95">
        <w:t>20</w:t>
      </w:r>
    </w:p>
    <w:p w:rsidR="003C09AB" w:rsidRPr="00CE6D95" w:rsidRDefault="003C09AB" w:rsidP="00CE6D95">
      <w:pPr>
        <w:pStyle w:val="Item"/>
      </w:pPr>
      <w:r w:rsidRPr="00CE6D95">
        <w:t>Repeal the section.</w:t>
      </w:r>
    </w:p>
    <w:p w:rsidR="00864227" w:rsidRPr="00CE6D95" w:rsidRDefault="009A52E9" w:rsidP="00CE6D95">
      <w:pPr>
        <w:pStyle w:val="ItemHead"/>
      </w:pPr>
      <w:r w:rsidRPr="00CE6D95">
        <w:t>29</w:t>
      </w:r>
      <w:r w:rsidR="00864227" w:rsidRPr="00CE6D95">
        <w:t xml:space="preserve">  Section</w:t>
      </w:r>
      <w:r w:rsidR="00CE6D95" w:rsidRPr="00CE6D95">
        <w:t> </w:t>
      </w:r>
      <w:r w:rsidR="00864227" w:rsidRPr="00CE6D95">
        <w:t>50</w:t>
      </w:r>
      <w:r w:rsidR="007A2068">
        <w:noBreakHyphen/>
      </w:r>
      <w:r w:rsidR="00864227" w:rsidRPr="00CE6D95">
        <w:t>52 (heading)</w:t>
      </w:r>
    </w:p>
    <w:p w:rsidR="00864227" w:rsidRPr="00CE6D95" w:rsidRDefault="00864227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rPr>
          <w:b/>
        </w:rPr>
        <w:t>items</w:t>
      </w:r>
      <w:r w:rsidR="00CE6D95" w:rsidRPr="00CE6D95">
        <w:rPr>
          <w:b/>
        </w:rPr>
        <w:t> </w:t>
      </w:r>
      <w:r w:rsidRPr="00CE6D95">
        <w:rPr>
          <w:b/>
        </w:rPr>
        <w:t>1.1 and 4.1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rPr>
          <w:b/>
        </w:rPr>
        <w:t>item</w:t>
      </w:r>
      <w:r w:rsidR="00CE6D95" w:rsidRPr="00CE6D95">
        <w:rPr>
          <w:b/>
        </w:rPr>
        <w:t> </w:t>
      </w:r>
      <w:r w:rsidRPr="00CE6D95">
        <w:rPr>
          <w:b/>
        </w:rPr>
        <w:t>1.1</w:t>
      </w:r>
      <w:r w:rsidR="00FC50C2" w:rsidRPr="00CE6D95">
        <w:t>”</w:t>
      </w:r>
      <w:r w:rsidRPr="00CE6D95">
        <w:t>.</w:t>
      </w:r>
    </w:p>
    <w:p w:rsidR="00864227" w:rsidRPr="00CE6D95" w:rsidRDefault="009A52E9" w:rsidP="00CE6D95">
      <w:pPr>
        <w:pStyle w:val="ItemHead"/>
      </w:pPr>
      <w:r w:rsidRPr="00CE6D95">
        <w:t>30</w:t>
      </w:r>
      <w:r w:rsidR="00864227" w:rsidRPr="00CE6D95">
        <w:t xml:space="preserve">  Subsection</w:t>
      </w:r>
      <w:r w:rsidR="00CE6D95" w:rsidRPr="00CE6D95">
        <w:t> </w:t>
      </w:r>
      <w:r w:rsidR="00864227" w:rsidRPr="00CE6D95">
        <w:t>50</w:t>
      </w:r>
      <w:r w:rsidR="007A2068">
        <w:noBreakHyphen/>
      </w:r>
      <w:r w:rsidR="00864227" w:rsidRPr="00CE6D95">
        <w:t>52(1)</w:t>
      </w:r>
    </w:p>
    <w:p w:rsidR="00864227" w:rsidRPr="00CE6D95" w:rsidRDefault="00864227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or 4.1</w:t>
      </w:r>
      <w:r w:rsidR="00FC50C2" w:rsidRPr="00CE6D95">
        <w:t>”</w:t>
      </w:r>
      <w:r w:rsidRPr="00CE6D95">
        <w:t>.</w:t>
      </w:r>
    </w:p>
    <w:p w:rsidR="0079120B" w:rsidRPr="00CE6D95" w:rsidRDefault="009A52E9" w:rsidP="00CE6D95">
      <w:pPr>
        <w:pStyle w:val="ItemHead"/>
      </w:pPr>
      <w:r w:rsidRPr="00CE6D95">
        <w:t>31</w:t>
      </w:r>
      <w:r w:rsidR="0079120B" w:rsidRPr="00CE6D95">
        <w:t xml:space="preserve">  Section</w:t>
      </w:r>
      <w:r w:rsidR="00CE6D95" w:rsidRPr="00CE6D95">
        <w:t> </w:t>
      </w:r>
      <w:r w:rsidR="0079120B" w:rsidRPr="00CE6D95">
        <w:t>50</w:t>
      </w:r>
      <w:r w:rsidR="007A2068">
        <w:noBreakHyphen/>
      </w:r>
      <w:r w:rsidR="0079120B" w:rsidRPr="00CE6D95">
        <w:t>100</w:t>
      </w:r>
    </w:p>
    <w:p w:rsidR="0079120B" w:rsidRPr="00CE6D95" w:rsidRDefault="0079120B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charitable institutions and trusts funds for charitable purposes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charities</w:t>
      </w:r>
      <w:r w:rsidR="00FC50C2" w:rsidRPr="00CE6D95">
        <w:t>”</w:t>
      </w:r>
      <w:r w:rsidRPr="00CE6D95">
        <w:t>.</w:t>
      </w:r>
    </w:p>
    <w:p w:rsidR="003C09AB" w:rsidRPr="00CE6D95" w:rsidRDefault="009A52E9" w:rsidP="00CE6D95">
      <w:pPr>
        <w:pStyle w:val="ItemHead"/>
      </w:pPr>
      <w:r w:rsidRPr="00CE6D95">
        <w:t>32</w:t>
      </w:r>
      <w:r w:rsidR="003C09AB" w:rsidRPr="00CE6D95">
        <w:t xml:space="preserve">  Subsection</w:t>
      </w:r>
      <w:r w:rsidR="00CE6D95" w:rsidRPr="00CE6D95">
        <w:t> </w:t>
      </w:r>
      <w:r w:rsidR="003C09AB" w:rsidRPr="00CE6D95">
        <w:t>50</w:t>
      </w:r>
      <w:r w:rsidR="007A2068">
        <w:noBreakHyphen/>
      </w:r>
      <w:r w:rsidR="003C09AB" w:rsidRPr="00CE6D95">
        <w:t>110(2)</w:t>
      </w:r>
    </w:p>
    <w:p w:rsidR="003C09AB" w:rsidRPr="00CE6D95" w:rsidRDefault="003C09AB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or item</w:t>
      </w:r>
      <w:r w:rsidR="00CE6D95" w:rsidRPr="00CE6D95">
        <w:t> </w:t>
      </w:r>
      <w:r w:rsidRPr="00CE6D95">
        <w:t>4.1 of the table in section</w:t>
      </w:r>
      <w:r w:rsidR="00CE6D95" w:rsidRPr="00CE6D95">
        <w:t> </w:t>
      </w:r>
      <w:r w:rsidRPr="00CE6D95">
        <w:t>50</w:t>
      </w:r>
      <w:r w:rsidR="007A2068">
        <w:noBreakHyphen/>
      </w:r>
      <w:r w:rsidRPr="00CE6D95">
        <w:t>20</w:t>
      </w:r>
      <w:r w:rsidR="00FC50C2" w:rsidRPr="00CE6D95">
        <w:t>”</w:t>
      </w:r>
      <w:r w:rsidRPr="00CE6D95">
        <w:t>.</w:t>
      </w:r>
    </w:p>
    <w:p w:rsidR="00FA262B" w:rsidRPr="00CE6D95" w:rsidRDefault="009A52E9" w:rsidP="00CE6D95">
      <w:pPr>
        <w:pStyle w:val="ItemHead"/>
      </w:pPr>
      <w:r w:rsidRPr="00CE6D95">
        <w:t>33</w:t>
      </w:r>
      <w:r w:rsidR="00FA262B" w:rsidRPr="00CE6D95">
        <w:t xml:space="preserve">  </w:t>
      </w:r>
      <w:r w:rsidR="002E1F03" w:rsidRPr="00CE6D95">
        <w:t xml:space="preserve">Paragraphs </w:t>
      </w:r>
      <w:r w:rsidR="00FA262B" w:rsidRPr="00CE6D95">
        <w:t>50</w:t>
      </w:r>
      <w:r w:rsidR="007A2068">
        <w:noBreakHyphen/>
      </w:r>
      <w:r w:rsidR="00FA262B" w:rsidRPr="00CE6D95">
        <w:t>110(5)</w:t>
      </w:r>
      <w:r w:rsidR="002E1F03" w:rsidRPr="00CE6D95">
        <w:t>(a), (b) and (c)</w:t>
      </w:r>
    </w:p>
    <w:p w:rsidR="00FA262B" w:rsidRPr="00CE6D95" w:rsidRDefault="00FA262B" w:rsidP="00CE6D95">
      <w:pPr>
        <w:pStyle w:val="Item"/>
      </w:pPr>
      <w:r w:rsidRPr="00CE6D95">
        <w:t xml:space="preserve">Repeal the </w:t>
      </w:r>
      <w:r w:rsidR="002E1F03" w:rsidRPr="00CE6D95">
        <w:t>paragraphs</w:t>
      </w:r>
      <w:r w:rsidRPr="00CE6D95">
        <w:t>, substitute:</w:t>
      </w:r>
    </w:p>
    <w:p w:rsidR="00FA262B" w:rsidRPr="00CE6D95" w:rsidRDefault="00FA262B" w:rsidP="00CE6D95">
      <w:pPr>
        <w:pStyle w:val="paragraph"/>
      </w:pPr>
      <w:r w:rsidRPr="00CE6D95">
        <w:tab/>
        <w:t>(a)</w:t>
      </w:r>
      <w:r w:rsidRPr="00CE6D95">
        <w:tab/>
        <w:t xml:space="preserve">the entity must meet the relevant conditions referred to in the column headed </w:t>
      </w:r>
      <w:r w:rsidR="00FC50C2" w:rsidRPr="00CE6D95">
        <w:t>“</w:t>
      </w:r>
      <w:r w:rsidRPr="00CE6D95">
        <w:t>Special conditions</w:t>
      </w:r>
      <w:r w:rsidR="00FC50C2" w:rsidRPr="00CE6D95">
        <w:t>”</w:t>
      </w:r>
      <w:r w:rsidRPr="00CE6D95">
        <w:t xml:space="preserve"> of item</w:t>
      </w:r>
      <w:r w:rsidR="00CE6D95" w:rsidRPr="00CE6D95">
        <w:t> </w:t>
      </w:r>
      <w:r w:rsidRPr="00CE6D95">
        <w:t>1.1 of the table in section</w:t>
      </w:r>
      <w:r w:rsidR="00CE6D95" w:rsidRPr="00CE6D95">
        <w:t> </w:t>
      </w:r>
      <w:r w:rsidRPr="00CE6D95">
        <w:t>50</w:t>
      </w:r>
      <w:r w:rsidR="007A2068">
        <w:noBreakHyphen/>
      </w:r>
      <w:r w:rsidRPr="00CE6D95">
        <w:t>5; or</w:t>
      </w:r>
    </w:p>
    <w:p w:rsidR="00FA262B" w:rsidRPr="00CE6D95" w:rsidRDefault="00FA262B" w:rsidP="00CE6D95">
      <w:pPr>
        <w:pStyle w:val="paragraph"/>
      </w:pPr>
      <w:r w:rsidRPr="00CE6D95">
        <w:tab/>
        <w:t>(b)</w:t>
      </w:r>
      <w:r w:rsidRPr="00CE6D95">
        <w:tab/>
        <w:t>both of the following conditions must be met:</w:t>
      </w:r>
    </w:p>
    <w:p w:rsidR="00FA262B" w:rsidRPr="00CE6D95" w:rsidRDefault="00FA262B" w:rsidP="00CE6D95">
      <w:pPr>
        <w:pStyle w:val="paragraphsub"/>
      </w:pPr>
      <w:r w:rsidRPr="00CE6D95">
        <w:tab/>
        <w:t>(</w:t>
      </w:r>
      <w:proofErr w:type="spellStart"/>
      <w:r w:rsidRPr="00CE6D95">
        <w:t>i</w:t>
      </w:r>
      <w:proofErr w:type="spellEnd"/>
      <w:r w:rsidRPr="00CE6D95">
        <w:t>)</w:t>
      </w:r>
      <w:r w:rsidRPr="00CE6D95">
        <w:tab/>
        <w:t>the entity must not have carried on any activities as a charity;</w:t>
      </w:r>
    </w:p>
    <w:p w:rsidR="00FA262B" w:rsidRPr="00CE6D95" w:rsidRDefault="00FA262B" w:rsidP="00CE6D95">
      <w:pPr>
        <w:pStyle w:val="paragraphsub"/>
      </w:pPr>
      <w:r w:rsidRPr="00CE6D95">
        <w:tab/>
        <w:t>(ii)</w:t>
      </w:r>
      <w:r w:rsidRPr="00CE6D95">
        <w:tab/>
        <w:t xml:space="preserve">there must be reasonable grounds for believing that the entity will meet the relevant conditions referred to in the column headed </w:t>
      </w:r>
      <w:r w:rsidR="00FC50C2" w:rsidRPr="00CE6D95">
        <w:t>“</w:t>
      </w:r>
      <w:r w:rsidRPr="00CE6D95">
        <w:t>Special conditions</w:t>
      </w:r>
      <w:r w:rsidR="00FC50C2" w:rsidRPr="00CE6D95">
        <w:t>”</w:t>
      </w:r>
      <w:r w:rsidRPr="00CE6D95">
        <w:t xml:space="preserve"> of item</w:t>
      </w:r>
      <w:r w:rsidR="00CE6D95" w:rsidRPr="00CE6D95">
        <w:t> </w:t>
      </w:r>
      <w:r w:rsidRPr="00CE6D95">
        <w:t>1.1 of the table.</w:t>
      </w:r>
    </w:p>
    <w:p w:rsidR="00FE5C8E" w:rsidRPr="00CE6D95" w:rsidRDefault="009A52E9" w:rsidP="00CE6D95">
      <w:pPr>
        <w:pStyle w:val="ItemHead"/>
      </w:pPr>
      <w:r w:rsidRPr="00CE6D95">
        <w:t>34</w:t>
      </w:r>
      <w:r w:rsidR="00FE5C8E" w:rsidRPr="00CE6D95">
        <w:t xml:space="preserve">  Subsection</w:t>
      </w:r>
      <w:r w:rsidR="00CE6D95" w:rsidRPr="00CE6D95">
        <w:t> </w:t>
      </w:r>
      <w:r w:rsidR="00FE5C8E" w:rsidRPr="00CE6D95">
        <w:t>207</w:t>
      </w:r>
      <w:r w:rsidR="007A2068">
        <w:noBreakHyphen/>
      </w:r>
      <w:r w:rsidR="00FE5C8E" w:rsidRPr="00CE6D95">
        <w:t>115(2) (heading)</w:t>
      </w:r>
    </w:p>
    <w:p w:rsidR="00FE5C8E" w:rsidRPr="00CE6D95" w:rsidRDefault="00FE5C8E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rPr>
          <w:i/>
        </w:rPr>
        <w:t>charitable or other institutions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rPr>
          <w:i/>
        </w:rPr>
        <w:t>charities</w:t>
      </w:r>
      <w:r w:rsidR="00FC50C2" w:rsidRPr="00CE6D95">
        <w:t>”</w:t>
      </w:r>
      <w:r w:rsidRPr="00CE6D95">
        <w:t>.</w:t>
      </w:r>
    </w:p>
    <w:p w:rsidR="00D86C8F" w:rsidRPr="00CE6D95" w:rsidRDefault="009A52E9" w:rsidP="00CE6D95">
      <w:pPr>
        <w:pStyle w:val="ItemHead"/>
      </w:pPr>
      <w:r w:rsidRPr="00CE6D95">
        <w:t>35</w:t>
      </w:r>
      <w:r w:rsidR="00D86C8F" w:rsidRPr="00CE6D95">
        <w:t xml:space="preserve">  Paragraph 207</w:t>
      </w:r>
      <w:r w:rsidR="007A2068">
        <w:noBreakHyphen/>
      </w:r>
      <w:r w:rsidR="00D86C8F" w:rsidRPr="00CE6D95">
        <w:t>115(2)(a)</w:t>
      </w:r>
    </w:p>
    <w:p w:rsidR="00D86C8F" w:rsidRPr="00CE6D95" w:rsidRDefault="00D86C8F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or item</w:t>
      </w:r>
      <w:r w:rsidR="00CE6D95" w:rsidRPr="00CE6D95">
        <w:t> </w:t>
      </w:r>
      <w:r w:rsidRPr="00CE6D95">
        <w:t>4.1 of the table in section</w:t>
      </w:r>
      <w:r w:rsidR="00CE6D95" w:rsidRPr="00CE6D95">
        <w:t> </w:t>
      </w:r>
      <w:r w:rsidRPr="00CE6D95">
        <w:t>50</w:t>
      </w:r>
      <w:r w:rsidR="007A2068">
        <w:noBreakHyphen/>
      </w:r>
      <w:r w:rsidRPr="00CE6D95">
        <w:t>20</w:t>
      </w:r>
      <w:r w:rsidR="00FC50C2" w:rsidRPr="00CE6D95">
        <w:t>”</w:t>
      </w:r>
      <w:r w:rsidRPr="00CE6D95">
        <w:t>.</w:t>
      </w:r>
    </w:p>
    <w:p w:rsidR="004E62BC" w:rsidRPr="00CE6D95" w:rsidRDefault="009A52E9" w:rsidP="00CE6D95">
      <w:pPr>
        <w:pStyle w:val="ItemHead"/>
      </w:pPr>
      <w:r w:rsidRPr="00CE6D95">
        <w:t>36</w:t>
      </w:r>
      <w:r w:rsidR="004E62BC" w:rsidRPr="00CE6D95">
        <w:t xml:space="preserve">  Subsection</w:t>
      </w:r>
      <w:r w:rsidR="00CE6D95" w:rsidRPr="00CE6D95">
        <w:t> </w:t>
      </w:r>
      <w:r w:rsidR="004E62BC" w:rsidRPr="00CE6D95">
        <w:t>995</w:t>
      </w:r>
      <w:r w:rsidR="007A2068">
        <w:noBreakHyphen/>
      </w:r>
      <w:r w:rsidR="004E62BC" w:rsidRPr="00CE6D95">
        <w:t>1(1) (</w:t>
      </w:r>
      <w:r w:rsidR="00CE6D95" w:rsidRPr="00CE6D95">
        <w:t>paragraph (</w:t>
      </w:r>
      <w:r w:rsidR="004E62BC" w:rsidRPr="00CE6D95">
        <w:t xml:space="preserve">b) of the definition of </w:t>
      </w:r>
      <w:r w:rsidR="004E62BC" w:rsidRPr="00CE6D95">
        <w:rPr>
          <w:i/>
        </w:rPr>
        <w:t>registered health promotion charity</w:t>
      </w:r>
      <w:r w:rsidR="004E62BC" w:rsidRPr="00CE6D95">
        <w:t>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5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1</w:t>
      </w:r>
      <w:r w:rsidR="00297870" w:rsidRPr="00CE6D95">
        <w:t>3</w:t>
      </w:r>
      <w:r w:rsidR="00FC50C2" w:rsidRPr="00CE6D95">
        <w:t>”</w:t>
      </w:r>
      <w:r w:rsidRPr="00CE6D95">
        <w:t>.</w:t>
      </w:r>
    </w:p>
    <w:p w:rsidR="004E62BC" w:rsidRPr="00CE6D95" w:rsidRDefault="009A52E9" w:rsidP="00CE6D95">
      <w:pPr>
        <w:pStyle w:val="ItemHead"/>
      </w:pPr>
      <w:r w:rsidRPr="00CE6D95">
        <w:t>37</w:t>
      </w:r>
      <w:r w:rsidR="004E62BC" w:rsidRPr="00CE6D95">
        <w:t xml:space="preserve">  Subsection</w:t>
      </w:r>
      <w:r w:rsidR="00CE6D95" w:rsidRPr="00CE6D95">
        <w:t> </w:t>
      </w:r>
      <w:r w:rsidR="004E62BC" w:rsidRPr="00CE6D95">
        <w:t>995</w:t>
      </w:r>
      <w:r w:rsidR="007A2068">
        <w:noBreakHyphen/>
      </w:r>
      <w:r w:rsidR="004E62BC" w:rsidRPr="00CE6D95">
        <w:t>1(1) (</w:t>
      </w:r>
      <w:r w:rsidR="00CE6D95" w:rsidRPr="00CE6D95">
        <w:t>paragraph (</w:t>
      </w:r>
      <w:r w:rsidR="004E62BC" w:rsidRPr="00CE6D95">
        <w:t xml:space="preserve">b) of the definition of </w:t>
      </w:r>
      <w:r w:rsidR="004E62BC" w:rsidRPr="00CE6D95">
        <w:rPr>
          <w:i/>
        </w:rPr>
        <w:t>registered public benevolent institution</w:t>
      </w:r>
      <w:r w:rsidR="004E62BC" w:rsidRPr="00CE6D95">
        <w:t>)</w:t>
      </w:r>
    </w:p>
    <w:p w:rsidR="004E62BC" w:rsidRPr="00CE6D95" w:rsidRDefault="004E62BC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6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1</w:t>
      </w:r>
      <w:r w:rsidR="00297870" w:rsidRPr="00CE6D95">
        <w:t>4</w:t>
      </w:r>
      <w:r w:rsidR="00FC50C2" w:rsidRPr="00CE6D95">
        <w:t>”</w:t>
      </w:r>
      <w:r w:rsidRPr="00CE6D95">
        <w:t>.</w:t>
      </w:r>
    </w:p>
    <w:p w:rsidR="009402C9" w:rsidRPr="00CE6D95" w:rsidRDefault="009402C9" w:rsidP="00CE6D95">
      <w:pPr>
        <w:pStyle w:val="ActHead9"/>
        <w:rPr>
          <w:i w:val="0"/>
        </w:rPr>
      </w:pPr>
      <w:bookmarkStart w:id="19" w:name="_Toc361151571"/>
      <w:r w:rsidRPr="00CE6D95">
        <w:t>Racial Discrimination Act 1975</w:t>
      </w:r>
      <w:bookmarkEnd w:id="19"/>
    </w:p>
    <w:p w:rsidR="009402C9" w:rsidRPr="00CE6D95" w:rsidRDefault="009A52E9" w:rsidP="00CE6D95">
      <w:pPr>
        <w:pStyle w:val="ItemHead"/>
      </w:pPr>
      <w:r w:rsidRPr="00CE6D95">
        <w:t>38</w:t>
      </w:r>
      <w:r w:rsidR="009402C9" w:rsidRPr="00CE6D95">
        <w:t xml:space="preserve">  Subsections</w:t>
      </w:r>
      <w:r w:rsidR="00CE6D95" w:rsidRPr="00CE6D95">
        <w:t> </w:t>
      </w:r>
      <w:r w:rsidR="009402C9" w:rsidRPr="00CE6D95">
        <w:t>8(2) and (3)</w:t>
      </w:r>
    </w:p>
    <w:p w:rsidR="009402C9" w:rsidRPr="00CE6D95" w:rsidRDefault="009402C9" w:rsidP="00CE6D95">
      <w:pPr>
        <w:pStyle w:val="Item"/>
      </w:pPr>
      <w:r w:rsidRPr="00CE6D95">
        <w:t>Repeal the subsections, substitute:</w:t>
      </w:r>
    </w:p>
    <w:p w:rsidR="009402C9" w:rsidRPr="00CE6D95" w:rsidRDefault="009402C9" w:rsidP="00CE6D95">
      <w:pPr>
        <w:pStyle w:val="SubsectionHead"/>
      </w:pPr>
      <w:r w:rsidRPr="00CE6D95">
        <w:t>Charities</w:t>
      </w:r>
    </w:p>
    <w:p w:rsidR="009402C9" w:rsidRPr="00CE6D95" w:rsidRDefault="009402C9" w:rsidP="00CE6D95">
      <w:pPr>
        <w:pStyle w:val="subsection"/>
      </w:pPr>
      <w:r w:rsidRPr="00CE6D95">
        <w:tab/>
        <w:t>(2)</w:t>
      </w:r>
      <w:r w:rsidRPr="00CE6D95">
        <w:tab/>
        <w:t>This Part does not:</w:t>
      </w:r>
    </w:p>
    <w:p w:rsidR="009402C9" w:rsidRPr="00CE6D95" w:rsidRDefault="009402C9" w:rsidP="00CE6D95">
      <w:pPr>
        <w:pStyle w:val="paragraph"/>
      </w:pPr>
      <w:r w:rsidRPr="00CE6D95">
        <w:tab/>
        <w:t>(a)</w:t>
      </w:r>
      <w:r w:rsidRPr="00CE6D95">
        <w:tab/>
        <w:t xml:space="preserve">affect a provision (whether made before or after the commencement of this Part) of the governing rules (within the meaning of the </w:t>
      </w:r>
      <w:r w:rsidRPr="00CE6D95">
        <w:rPr>
          <w:i/>
        </w:rPr>
        <w:t>Australian Charities and Not</w:t>
      </w:r>
      <w:r w:rsidR="007A2068">
        <w:rPr>
          <w:i/>
        </w:rPr>
        <w:noBreakHyphen/>
      </w:r>
      <w:r w:rsidRPr="00CE6D95">
        <w:rPr>
          <w:i/>
        </w:rPr>
        <w:t>for</w:t>
      </w:r>
      <w:r w:rsidR="007A2068">
        <w:rPr>
          <w:i/>
        </w:rPr>
        <w:noBreakHyphen/>
      </w:r>
      <w:r w:rsidRPr="00CE6D95">
        <w:rPr>
          <w:i/>
        </w:rPr>
        <w:t>profits Commission Act 2012</w:t>
      </w:r>
      <w:r w:rsidRPr="00CE6D95">
        <w:t>) of a registered charity, if the provision:</w:t>
      </w:r>
    </w:p>
    <w:p w:rsidR="009402C9" w:rsidRPr="00CE6D95" w:rsidRDefault="009402C9" w:rsidP="00CE6D95">
      <w:pPr>
        <w:pStyle w:val="paragraphsub"/>
      </w:pPr>
      <w:r w:rsidRPr="00CE6D95">
        <w:tab/>
        <w:t>(</w:t>
      </w:r>
      <w:proofErr w:type="spellStart"/>
      <w:r w:rsidRPr="00CE6D95">
        <w:t>i</w:t>
      </w:r>
      <w:proofErr w:type="spellEnd"/>
      <w:r w:rsidRPr="00CE6D95">
        <w:t>)</w:t>
      </w:r>
      <w:r w:rsidRPr="00CE6D95">
        <w:tab/>
        <w:t>confers benefits for charitable purposes; or</w:t>
      </w:r>
    </w:p>
    <w:p w:rsidR="009402C9" w:rsidRPr="00CE6D95" w:rsidRDefault="009402C9" w:rsidP="00CE6D95">
      <w:pPr>
        <w:pStyle w:val="paragraphsub"/>
      </w:pPr>
      <w:r w:rsidRPr="00CE6D95">
        <w:tab/>
        <w:t>(ii)</w:t>
      </w:r>
      <w:r w:rsidRPr="00CE6D95">
        <w:tab/>
        <w:t>enables such benefits to be conferred;</w:t>
      </w:r>
    </w:p>
    <w:p w:rsidR="009402C9" w:rsidRPr="00CE6D95" w:rsidRDefault="009402C9" w:rsidP="00CE6D95">
      <w:pPr>
        <w:pStyle w:val="paragraph"/>
      </w:pPr>
      <w:r w:rsidRPr="00CE6D95">
        <w:tab/>
      </w:r>
      <w:r w:rsidRPr="00CE6D95">
        <w:tab/>
        <w:t>on persons of a particular race, colour or national or ethnic origin; or</w:t>
      </w:r>
    </w:p>
    <w:p w:rsidR="009402C9" w:rsidRPr="00CE6D95" w:rsidRDefault="009402C9" w:rsidP="00CE6D95">
      <w:pPr>
        <w:pStyle w:val="paragraph"/>
      </w:pPr>
      <w:r w:rsidRPr="00CE6D95">
        <w:tab/>
        <w:t>(b)</w:t>
      </w:r>
      <w:r w:rsidRPr="00CE6D95">
        <w:tab/>
        <w:t>make unlawful any act done to give effect to such a provision.</w:t>
      </w:r>
    </w:p>
    <w:p w:rsidR="009402C9" w:rsidRPr="00CE6D95" w:rsidRDefault="009402C9" w:rsidP="00CE6D95">
      <w:pPr>
        <w:pStyle w:val="ActHead9"/>
        <w:rPr>
          <w:i w:val="0"/>
        </w:rPr>
      </w:pPr>
      <w:bookmarkStart w:id="20" w:name="_Toc361151572"/>
      <w:r w:rsidRPr="00CE6D95">
        <w:t>Sex Discrimination Act 1984</w:t>
      </w:r>
      <w:bookmarkEnd w:id="20"/>
    </w:p>
    <w:p w:rsidR="009402C9" w:rsidRPr="00CE6D95" w:rsidRDefault="009A52E9" w:rsidP="00CE6D95">
      <w:pPr>
        <w:pStyle w:val="ItemHead"/>
      </w:pPr>
      <w:r w:rsidRPr="00CE6D95">
        <w:t>39</w:t>
      </w:r>
      <w:r w:rsidR="009402C9" w:rsidRPr="00CE6D95">
        <w:t xml:space="preserve">  Section</w:t>
      </w:r>
      <w:r w:rsidR="00CE6D95" w:rsidRPr="00CE6D95">
        <w:t> </w:t>
      </w:r>
      <w:r w:rsidR="009402C9" w:rsidRPr="00CE6D95">
        <w:t>36</w:t>
      </w:r>
    </w:p>
    <w:p w:rsidR="009402C9" w:rsidRPr="00CE6D95" w:rsidRDefault="009402C9" w:rsidP="00CE6D95">
      <w:pPr>
        <w:pStyle w:val="Item"/>
      </w:pPr>
      <w:r w:rsidRPr="00CE6D95">
        <w:t>Repeal the section, substitute:</w:t>
      </w:r>
    </w:p>
    <w:p w:rsidR="009402C9" w:rsidRPr="00CE6D95" w:rsidRDefault="009402C9" w:rsidP="00CE6D95">
      <w:pPr>
        <w:pStyle w:val="ActHead5"/>
      </w:pPr>
      <w:bookmarkStart w:id="21" w:name="_Toc361151573"/>
      <w:r w:rsidRPr="00CE6D95">
        <w:rPr>
          <w:rStyle w:val="CharSectno"/>
        </w:rPr>
        <w:t>36</w:t>
      </w:r>
      <w:r w:rsidRPr="00CE6D95">
        <w:t xml:space="preserve">  Charities</w:t>
      </w:r>
      <w:bookmarkEnd w:id="21"/>
    </w:p>
    <w:p w:rsidR="009402C9" w:rsidRPr="00CE6D95" w:rsidRDefault="009402C9" w:rsidP="00CE6D95">
      <w:pPr>
        <w:pStyle w:val="subsection"/>
      </w:pPr>
      <w:r w:rsidRPr="00CE6D95">
        <w:tab/>
      </w:r>
      <w:r w:rsidRPr="00CE6D95">
        <w:tab/>
        <w:t>Divisions</w:t>
      </w:r>
      <w:r w:rsidR="00CE6D95" w:rsidRPr="00CE6D95">
        <w:t> </w:t>
      </w:r>
      <w:r w:rsidRPr="00CE6D95">
        <w:t>1 and 2 do not:</w:t>
      </w:r>
    </w:p>
    <w:p w:rsidR="009402C9" w:rsidRPr="00CE6D95" w:rsidRDefault="009402C9" w:rsidP="00CE6D95">
      <w:pPr>
        <w:pStyle w:val="paragraph"/>
      </w:pPr>
      <w:r w:rsidRPr="00CE6D95">
        <w:tab/>
        <w:t>(a)</w:t>
      </w:r>
      <w:r w:rsidRPr="00CE6D95">
        <w:tab/>
        <w:t xml:space="preserve">affect a provision (whether made before or after the commencement of this Part) of the governing rules (within the meaning of the </w:t>
      </w:r>
      <w:r w:rsidRPr="00CE6D95">
        <w:rPr>
          <w:i/>
        </w:rPr>
        <w:t>Australian Charities and Not</w:t>
      </w:r>
      <w:r w:rsidR="007A2068">
        <w:rPr>
          <w:i/>
        </w:rPr>
        <w:noBreakHyphen/>
      </w:r>
      <w:r w:rsidRPr="00CE6D95">
        <w:rPr>
          <w:i/>
        </w:rPr>
        <w:t>for</w:t>
      </w:r>
      <w:r w:rsidR="007A2068">
        <w:rPr>
          <w:i/>
        </w:rPr>
        <w:noBreakHyphen/>
      </w:r>
      <w:r w:rsidRPr="00CE6D95">
        <w:rPr>
          <w:i/>
        </w:rPr>
        <w:t>profits Commission Act 2012</w:t>
      </w:r>
      <w:r w:rsidRPr="00CE6D95">
        <w:t>) of a registered charity, if the provision:</w:t>
      </w:r>
    </w:p>
    <w:p w:rsidR="009402C9" w:rsidRPr="00CE6D95" w:rsidRDefault="009402C9" w:rsidP="00CE6D95">
      <w:pPr>
        <w:pStyle w:val="paragraphsub"/>
      </w:pPr>
      <w:r w:rsidRPr="00CE6D95">
        <w:tab/>
        <w:t>(</w:t>
      </w:r>
      <w:proofErr w:type="spellStart"/>
      <w:r w:rsidRPr="00CE6D95">
        <w:t>i</w:t>
      </w:r>
      <w:proofErr w:type="spellEnd"/>
      <w:r w:rsidRPr="00CE6D95">
        <w:t>)</w:t>
      </w:r>
      <w:r w:rsidRPr="00CE6D95">
        <w:tab/>
        <w:t>confers benefits for charitable purposes; or</w:t>
      </w:r>
    </w:p>
    <w:p w:rsidR="009402C9" w:rsidRPr="00CE6D95" w:rsidRDefault="009402C9" w:rsidP="00CE6D95">
      <w:pPr>
        <w:pStyle w:val="paragraphsub"/>
      </w:pPr>
      <w:r w:rsidRPr="00CE6D95">
        <w:tab/>
        <w:t>(ii)</w:t>
      </w:r>
      <w:r w:rsidRPr="00CE6D95">
        <w:tab/>
        <w:t>enables such benefits to be conferred;</w:t>
      </w:r>
    </w:p>
    <w:p w:rsidR="009402C9" w:rsidRPr="00CE6D95" w:rsidRDefault="009402C9" w:rsidP="00CE6D95">
      <w:pPr>
        <w:pStyle w:val="paragraph"/>
      </w:pPr>
      <w:r w:rsidRPr="00CE6D95">
        <w:tab/>
      </w:r>
      <w:r w:rsidRPr="00CE6D95">
        <w:tab/>
        <w:t>wholly or in part on persons of a class identified by reference to any one or more of the grounds of discrimination referred to in this Act; or</w:t>
      </w:r>
    </w:p>
    <w:p w:rsidR="009402C9" w:rsidRPr="00CE6D95" w:rsidRDefault="009402C9" w:rsidP="00CE6D95">
      <w:pPr>
        <w:pStyle w:val="paragraph"/>
      </w:pPr>
      <w:r w:rsidRPr="00CE6D95">
        <w:tab/>
        <w:t>(b)</w:t>
      </w:r>
      <w:r w:rsidRPr="00CE6D95">
        <w:tab/>
        <w:t>make unlawful any act done to give effect to such a provision.</w:t>
      </w:r>
    </w:p>
    <w:p w:rsidR="009402C9" w:rsidRPr="00CE6D95" w:rsidRDefault="009402C9" w:rsidP="00CE6D95">
      <w:pPr>
        <w:pStyle w:val="ActHead9"/>
        <w:rPr>
          <w:i w:val="0"/>
        </w:rPr>
      </w:pPr>
      <w:bookmarkStart w:id="22" w:name="_Toc361151574"/>
      <w:r w:rsidRPr="00CE6D95">
        <w:t>Social Security Act 1991</w:t>
      </w:r>
      <w:bookmarkEnd w:id="22"/>
    </w:p>
    <w:p w:rsidR="009402C9" w:rsidRPr="00CE6D95" w:rsidRDefault="009A52E9" w:rsidP="00CE6D95">
      <w:pPr>
        <w:pStyle w:val="ItemHead"/>
      </w:pPr>
      <w:r w:rsidRPr="00CE6D95">
        <w:t>40</w:t>
      </w:r>
      <w:r w:rsidR="009402C9" w:rsidRPr="00CE6D95">
        <w:t xml:space="preserve">  Subsection</w:t>
      </w:r>
      <w:r w:rsidR="00CE6D95" w:rsidRPr="00CE6D95">
        <w:t> </w:t>
      </w:r>
      <w:r w:rsidR="009402C9" w:rsidRPr="00CE6D95">
        <w:t>23(1) (</w:t>
      </w:r>
      <w:r w:rsidR="00CE6D95" w:rsidRPr="00CE6D95">
        <w:t>paragraph (</w:t>
      </w:r>
      <w:r w:rsidR="009402C9" w:rsidRPr="00CE6D95">
        <w:t xml:space="preserve">b) of the definition of </w:t>
      </w:r>
      <w:r w:rsidR="009402C9" w:rsidRPr="00CE6D95">
        <w:rPr>
          <w:i/>
        </w:rPr>
        <w:t>registered public benevolent institution</w:t>
      </w:r>
      <w:r w:rsidR="009402C9" w:rsidRPr="00CE6D95">
        <w:t>)</w:t>
      </w:r>
    </w:p>
    <w:p w:rsidR="009402C9" w:rsidRPr="00CE6D95" w:rsidRDefault="009402C9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6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14</w:t>
      </w:r>
      <w:r w:rsidR="00FC50C2" w:rsidRPr="00CE6D95">
        <w:t>”</w:t>
      </w:r>
      <w:r w:rsidRPr="00CE6D95">
        <w:t>.</w:t>
      </w:r>
    </w:p>
    <w:p w:rsidR="009402C9" w:rsidRPr="00CE6D95" w:rsidRDefault="009A52E9" w:rsidP="00CE6D95">
      <w:pPr>
        <w:pStyle w:val="ItemHead"/>
      </w:pPr>
      <w:r w:rsidRPr="00CE6D95">
        <w:t>41</w:t>
      </w:r>
      <w:r w:rsidR="009402C9" w:rsidRPr="00CE6D95">
        <w:t xml:space="preserve">  Subsection</w:t>
      </w:r>
      <w:r w:rsidR="00CE6D95" w:rsidRPr="00CE6D95">
        <w:t> </w:t>
      </w:r>
      <w:r w:rsidR="009402C9" w:rsidRPr="00CE6D95">
        <w:t>23(1) (</w:t>
      </w:r>
      <w:r w:rsidR="00CE6D95" w:rsidRPr="00CE6D95">
        <w:t>paragraph (</w:t>
      </w:r>
      <w:r w:rsidR="009402C9" w:rsidRPr="00CE6D95">
        <w:t xml:space="preserve">b) of the definition of </w:t>
      </w:r>
      <w:r w:rsidR="009402C9" w:rsidRPr="00CE6D95">
        <w:rPr>
          <w:i/>
        </w:rPr>
        <w:t>registered religious institution</w:t>
      </w:r>
      <w:r w:rsidR="009402C9" w:rsidRPr="00CE6D95">
        <w:t>)</w:t>
      </w:r>
    </w:p>
    <w:p w:rsidR="009402C9" w:rsidRPr="00CE6D95" w:rsidRDefault="009402C9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3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4</w:t>
      </w:r>
      <w:r w:rsidR="00FC50C2" w:rsidRPr="00CE6D95">
        <w:t>”</w:t>
      </w:r>
      <w:r w:rsidRPr="00CE6D95">
        <w:t>.</w:t>
      </w:r>
    </w:p>
    <w:p w:rsidR="009402C9" w:rsidRPr="00CE6D95" w:rsidRDefault="009A52E9" w:rsidP="00CE6D95">
      <w:pPr>
        <w:pStyle w:val="ItemHead"/>
      </w:pPr>
      <w:r w:rsidRPr="00CE6D95">
        <w:t>42</w:t>
      </w:r>
      <w:r w:rsidR="009402C9" w:rsidRPr="00CE6D95">
        <w:t xml:space="preserve">  Subparagraph 1157J(1)(a)(iii)</w:t>
      </w:r>
    </w:p>
    <w:p w:rsidR="009402C9" w:rsidRPr="00CE6D95" w:rsidRDefault="009402C9" w:rsidP="00CE6D95">
      <w:pPr>
        <w:pStyle w:val="Item"/>
      </w:pPr>
      <w:r w:rsidRPr="00CE6D95">
        <w:t xml:space="preserve">Omit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3</w:t>
      </w:r>
      <w:r w:rsidR="00FC50C2" w:rsidRPr="00CE6D95">
        <w:t>”</w:t>
      </w:r>
      <w:r w:rsidRPr="00CE6D95">
        <w:t xml:space="preserve">, substitute </w:t>
      </w:r>
      <w:r w:rsidR="00FC50C2" w:rsidRPr="00CE6D95">
        <w:t>“</w:t>
      </w:r>
      <w:r w:rsidRPr="00CE6D95">
        <w:t>item</w:t>
      </w:r>
      <w:r w:rsidR="00CE6D95" w:rsidRPr="00CE6D95">
        <w:t> </w:t>
      </w:r>
      <w:r w:rsidRPr="00CE6D95">
        <w:t>4</w:t>
      </w:r>
      <w:r w:rsidR="00FC50C2" w:rsidRPr="00CE6D95">
        <w:t>”</w:t>
      </w:r>
      <w:r w:rsidRPr="00CE6D95">
        <w:t>.</w:t>
      </w:r>
    </w:p>
    <w:p w:rsidR="002C30A9" w:rsidRPr="00CE6D95" w:rsidRDefault="002C30A9" w:rsidP="00CE6D95">
      <w:pPr>
        <w:pStyle w:val="ActHead7"/>
        <w:pageBreakBefore/>
      </w:pPr>
      <w:bookmarkStart w:id="23" w:name="_Toc361151575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="00B43AFE" w:rsidRPr="00CE6D95">
        <w:rPr>
          <w:rStyle w:val="CharAmPartNo"/>
        </w:rPr>
        <w:t>2</w:t>
      </w:r>
      <w:r w:rsidRPr="00CE6D95">
        <w:t>—</w:t>
      </w:r>
      <w:r w:rsidRPr="00CE6D95">
        <w:rPr>
          <w:rStyle w:val="CharAmPartText"/>
        </w:rPr>
        <w:t>Extension of Charitable Purpose Act 2004</w:t>
      </w:r>
      <w:bookmarkEnd w:id="23"/>
    </w:p>
    <w:p w:rsidR="002C30A9" w:rsidRPr="00CE6D95" w:rsidRDefault="009A52E9" w:rsidP="00CE6D95">
      <w:pPr>
        <w:pStyle w:val="ItemHead"/>
      </w:pPr>
      <w:r w:rsidRPr="00CE6D95">
        <w:t>43</w:t>
      </w:r>
      <w:r w:rsidR="002C30A9" w:rsidRPr="00CE6D95">
        <w:t xml:space="preserve">  The whole of the Act</w:t>
      </w:r>
    </w:p>
    <w:p w:rsidR="002C30A9" w:rsidRPr="00CE6D95" w:rsidRDefault="002C30A9" w:rsidP="00CE6D95">
      <w:pPr>
        <w:pStyle w:val="Item"/>
      </w:pPr>
      <w:bookmarkStart w:id="24" w:name="bkCheck17_1"/>
      <w:r w:rsidRPr="00CE6D95">
        <w:t>Repeal the Act</w:t>
      </w:r>
      <w:bookmarkEnd w:id="24"/>
      <w:r w:rsidRPr="00CE6D95">
        <w:t>.</w:t>
      </w:r>
    </w:p>
    <w:p w:rsidR="00D850E5" w:rsidRPr="00CE6D95" w:rsidRDefault="00E12EBF" w:rsidP="00CE6D95">
      <w:pPr>
        <w:pStyle w:val="ActHead7"/>
        <w:pageBreakBefore/>
      </w:pPr>
      <w:bookmarkStart w:id="25" w:name="_Toc361151576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Pr="00CE6D95">
        <w:rPr>
          <w:rStyle w:val="CharAmPartNo"/>
        </w:rPr>
        <w:t>3</w:t>
      </w:r>
      <w:r w:rsidRPr="00CE6D95">
        <w:t>—</w:t>
      </w:r>
      <w:r w:rsidR="00D850E5" w:rsidRPr="00CE6D95">
        <w:rPr>
          <w:rStyle w:val="CharAmPartText"/>
        </w:rPr>
        <w:t>Charities Act 2013</w:t>
      </w:r>
      <w:bookmarkEnd w:id="25"/>
    </w:p>
    <w:p w:rsidR="00D850E5" w:rsidRPr="00CE6D95" w:rsidRDefault="009A52E9" w:rsidP="00CE6D95">
      <w:pPr>
        <w:pStyle w:val="ItemHead"/>
      </w:pPr>
      <w:r w:rsidRPr="00CE6D95">
        <w:t>44</w:t>
      </w:r>
      <w:r w:rsidR="00D850E5" w:rsidRPr="00CE6D95">
        <w:t xml:space="preserve">  Subsection</w:t>
      </w:r>
      <w:r w:rsidR="00CE6D95" w:rsidRPr="00CE6D95">
        <w:t> </w:t>
      </w:r>
      <w:r w:rsidR="00261ED3" w:rsidRPr="00CE6D95">
        <w:t>3</w:t>
      </w:r>
      <w:r w:rsidR="00D850E5" w:rsidRPr="00CE6D95">
        <w:t>(1)</w:t>
      </w:r>
    </w:p>
    <w:p w:rsidR="00D850E5" w:rsidRPr="00CE6D95" w:rsidRDefault="00D850E5" w:rsidP="00CE6D95">
      <w:pPr>
        <w:pStyle w:val="Item"/>
      </w:pPr>
      <w:r w:rsidRPr="00CE6D95">
        <w:t>Insert:</w:t>
      </w:r>
    </w:p>
    <w:p w:rsidR="00D850E5" w:rsidRPr="00CE6D95" w:rsidRDefault="00D850E5" w:rsidP="00CE6D95">
      <w:pPr>
        <w:pStyle w:val="Definition"/>
      </w:pPr>
      <w:r w:rsidRPr="00CE6D95">
        <w:rPr>
          <w:b/>
          <w:i/>
        </w:rPr>
        <w:t>not</w:t>
      </w:r>
      <w:r w:rsidR="007A2068">
        <w:rPr>
          <w:b/>
          <w:i/>
        </w:rPr>
        <w:noBreakHyphen/>
      </w:r>
      <w:r w:rsidRPr="00CE6D95">
        <w:rPr>
          <w:b/>
          <w:i/>
        </w:rPr>
        <w:t>for</w:t>
      </w:r>
      <w:r w:rsidR="007A2068">
        <w:rPr>
          <w:b/>
          <w:i/>
        </w:rPr>
        <w:noBreakHyphen/>
      </w:r>
      <w:r w:rsidRPr="00CE6D95">
        <w:rPr>
          <w:b/>
          <w:i/>
        </w:rPr>
        <w:t>profit entity</w:t>
      </w:r>
      <w:r w:rsidRPr="00CE6D95">
        <w:t xml:space="preserve"> has the meaning given by the </w:t>
      </w:r>
      <w:r w:rsidRPr="00CE6D95">
        <w:rPr>
          <w:i/>
        </w:rPr>
        <w:t>Income Tax Assessment Act 1997</w:t>
      </w:r>
      <w:r w:rsidRPr="00CE6D95">
        <w:t>.</w:t>
      </w:r>
    </w:p>
    <w:p w:rsidR="00CA0605" w:rsidRPr="00CE6D95" w:rsidRDefault="00CA0605" w:rsidP="00CE6D95">
      <w:pPr>
        <w:pStyle w:val="ActHead7"/>
        <w:pageBreakBefore/>
      </w:pPr>
      <w:bookmarkStart w:id="26" w:name="_Toc361151577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="00B43AFE" w:rsidRPr="00CE6D95">
        <w:rPr>
          <w:rStyle w:val="CharAmPartNo"/>
        </w:rPr>
        <w:t>4</w:t>
      </w:r>
      <w:r w:rsidRPr="00CE6D95">
        <w:t>—</w:t>
      </w:r>
      <w:r w:rsidRPr="00CE6D95">
        <w:rPr>
          <w:rStyle w:val="CharAmPartText"/>
        </w:rPr>
        <w:t>Tax Laws Amendment (Special Conditions for Not</w:t>
      </w:r>
      <w:r w:rsidR="007A2068">
        <w:rPr>
          <w:rStyle w:val="CharAmPartText"/>
        </w:rPr>
        <w:noBreakHyphen/>
      </w:r>
      <w:r w:rsidRPr="00CE6D95">
        <w:rPr>
          <w:rStyle w:val="CharAmPartText"/>
        </w:rPr>
        <w:t>for</w:t>
      </w:r>
      <w:r w:rsidR="007A2068">
        <w:rPr>
          <w:rStyle w:val="CharAmPartText"/>
        </w:rPr>
        <w:noBreakHyphen/>
      </w:r>
      <w:r w:rsidRPr="00CE6D95">
        <w:rPr>
          <w:rStyle w:val="CharAmPartText"/>
        </w:rPr>
        <w:t>profit Concessions) Act 201</w:t>
      </w:r>
      <w:r w:rsidR="000907F9" w:rsidRPr="00CE6D95">
        <w:rPr>
          <w:rStyle w:val="CharAmPartText"/>
        </w:rPr>
        <w:t>3</w:t>
      </w:r>
      <w:bookmarkEnd w:id="26"/>
    </w:p>
    <w:p w:rsidR="00CA0605" w:rsidRPr="00CE6D95" w:rsidRDefault="009A52E9" w:rsidP="00CE6D95">
      <w:pPr>
        <w:pStyle w:val="ItemHead"/>
      </w:pPr>
      <w:r w:rsidRPr="00CE6D95">
        <w:t>45</w:t>
      </w:r>
      <w:r w:rsidR="00CA0605" w:rsidRPr="00CE6D95">
        <w:t xml:space="preserve">  Items</w:t>
      </w:r>
      <w:r w:rsidR="00CE6D95" w:rsidRPr="00CE6D95">
        <w:t> </w:t>
      </w:r>
      <w:r w:rsidR="00CA0605" w:rsidRPr="00CE6D95">
        <w:t>33 and 40 of Schedule</w:t>
      </w:r>
      <w:r w:rsidR="00CE6D95" w:rsidRPr="00CE6D95">
        <w:t> </w:t>
      </w:r>
      <w:r w:rsidR="00CA0605" w:rsidRPr="00CE6D95">
        <w:t>1</w:t>
      </w:r>
    </w:p>
    <w:p w:rsidR="00CA0605" w:rsidRPr="00CE6D95" w:rsidRDefault="00CA0605" w:rsidP="00CE6D95">
      <w:pPr>
        <w:pStyle w:val="Item"/>
      </w:pPr>
      <w:r w:rsidRPr="00CE6D95">
        <w:t>Repeal the items.</w:t>
      </w:r>
    </w:p>
    <w:p w:rsidR="00741D73" w:rsidRPr="00CE6D95" w:rsidRDefault="009A52E9" w:rsidP="00CE6D95">
      <w:pPr>
        <w:pStyle w:val="ItemHead"/>
      </w:pPr>
      <w:r w:rsidRPr="00CE6D95">
        <w:t>46</w:t>
      </w:r>
      <w:r w:rsidR="00741D73" w:rsidRPr="00CE6D95">
        <w:t xml:space="preserve">  Schedule</w:t>
      </w:r>
      <w:r w:rsidR="00CE6D95" w:rsidRPr="00CE6D95">
        <w:t> </w:t>
      </w:r>
      <w:r w:rsidR="00741D73" w:rsidRPr="00CE6D95">
        <w:t xml:space="preserve">1 (heading relating to the </w:t>
      </w:r>
      <w:r w:rsidR="00741D73" w:rsidRPr="00CE6D95">
        <w:rPr>
          <w:i/>
        </w:rPr>
        <w:t>Extension of Charitable Purpose Act 2004</w:t>
      </w:r>
      <w:r w:rsidR="00741D73" w:rsidRPr="00CE6D95">
        <w:t>)</w:t>
      </w:r>
    </w:p>
    <w:p w:rsidR="00741D73" w:rsidRPr="00CE6D95" w:rsidRDefault="00741D73" w:rsidP="00CE6D95">
      <w:pPr>
        <w:pStyle w:val="Item"/>
      </w:pPr>
      <w:r w:rsidRPr="00CE6D95">
        <w:t>Repeal the heading.</w:t>
      </w:r>
    </w:p>
    <w:p w:rsidR="00741D73" w:rsidRPr="00CE6D95" w:rsidRDefault="009A52E9" w:rsidP="00CE6D95">
      <w:pPr>
        <w:pStyle w:val="ItemHead"/>
      </w:pPr>
      <w:r w:rsidRPr="00CE6D95">
        <w:t>47</w:t>
      </w:r>
      <w:r w:rsidR="00741D73" w:rsidRPr="00CE6D95">
        <w:t xml:space="preserve">  Item</w:t>
      </w:r>
      <w:r w:rsidR="00CE6D95" w:rsidRPr="00CE6D95">
        <w:t> </w:t>
      </w:r>
      <w:r w:rsidR="00741D73" w:rsidRPr="00CE6D95">
        <w:t>67 of Schedule</w:t>
      </w:r>
      <w:r w:rsidR="00CE6D95" w:rsidRPr="00CE6D95">
        <w:t> </w:t>
      </w:r>
      <w:r w:rsidR="00741D73" w:rsidRPr="00CE6D95">
        <w:t>1</w:t>
      </w:r>
    </w:p>
    <w:p w:rsidR="00741D73" w:rsidRPr="00CE6D95" w:rsidRDefault="00741D73" w:rsidP="00CE6D95">
      <w:pPr>
        <w:pStyle w:val="Item"/>
      </w:pPr>
      <w:r w:rsidRPr="00CE6D95">
        <w:t>Repeal the item.</w:t>
      </w:r>
    </w:p>
    <w:p w:rsidR="004B1250" w:rsidRPr="00CE6D95" w:rsidRDefault="00E23240" w:rsidP="00CE6D95">
      <w:pPr>
        <w:pStyle w:val="ActHead6"/>
        <w:pageBreakBefore/>
      </w:pPr>
      <w:bookmarkStart w:id="27" w:name="_Toc361151578"/>
      <w:bookmarkStart w:id="28" w:name="opcCurrentFind"/>
      <w:r w:rsidRPr="00CE6D95">
        <w:rPr>
          <w:rStyle w:val="CharAmSchNo"/>
        </w:rPr>
        <w:t>Schedule</w:t>
      </w:r>
      <w:r w:rsidR="00CE6D95" w:rsidRPr="00CE6D95">
        <w:rPr>
          <w:rStyle w:val="CharAmSchNo"/>
        </w:rPr>
        <w:t> </w:t>
      </w:r>
      <w:r w:rsidRPr="00CE6D95">
        <w:rPr>
          <w:rStyle w:val="CharAmSchNo"/>
        </w:rPr>
        <w:t>2</w:t>
      </w:r>
      <w:r w:rsidRPr="00CE6D95">
        <w:t>—</w:t>
      </w:r>
      <w:r w:rsidR="004B1250" w:rsidRPr="00CE6D95">
        <w:rPr>
          <w:rStyle w:val="CharAmSchText"/>
        </w:rPr>
        <w:t>Transitional provisions</w:t>
      </w:r>
      <w:bookmarkEnd w:id="27"/>
    </w:p>
    <w:p w:rsidR="009D6C81" w:rsidRPr="00CE6D95" w:rsidRDefault="00FE3710" w:rsidP="00CE6D95">
      <w:pPr>
        <w:pStyle w:val="ActHead7"/>
      </w:pPr>
      <w:bookmarkStart w:id="29" w:name="_Toc361151579"/>
      <w:bookmarkEnd w:id="28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Pr="00CE6D95">
        <w:rPr>
          <w:rStyle w:val="CharAmPartNo"/>
        </w:rPr>
        <w:t>1</w:t>
      </w:r>
      <w:r w:rsidRPr="00CE6D95">
        <w:t>—</w:t>
      </w:r>
      <w:r w:rsidRPr="00CE6D95">
        <w:rPr>
          <w:rStyle w:val="CharAmPartText"/>
        </w:rPr>
        <w:t>Dictionary</w:t>
      </w:r>
      <w:bookmarkEnd w:id="29"/>
    </w:p>
    <w:p w:rsidR="00BA7084" w:rsidRPr="00CE6D95" w:rsidRDefault="00BA7084" w:rsidP="00CE6D95">
      <w:pPr>
        <w:pStyle w:val="ItemHead"/>
      </w:pPr>
      <w:r w:rsidRPr="00CE6D95">
        <w:t>1  Dictionary</w:t>
      </w:r>
    </w:p>
    <w:p w:rsidR="00BA7084" w:rsidRPr="00CE6D95" w:rsidRDefault="00BA7084" w:rsidP="00CE6D95">
      <w:pPr>
        <w:pStyle w:val="Item"/>
      </w:pPr>
      <w:r w:rsidRPr="00CE6D95">
        <w:t>In this Schedule:</w:t>
      </w:r>
    </w:p>
    <w:p w:rsidR="00BA7084" w:rsidRPr="00CE6D95" w:rsidRDefault="00BA7084" w:rsidP="00CE6D95">
      <w:pPr>
        <w:pStyle w:val="Item"/>
      </w:pPr>
      <w:r w:rsidRPr="00CE6D95">
        <w:rPr>
          <w:b/>
          <w:i/>
        </w:rPr>
        <w:t>ACNC Act</w:t>
      </w:r>
      <w:r w:rsidRPr="00CE6D95">
        <w:t xml:space="preserve"> means the </w:t>
      </w:r>
      <w:r w:rsidRPr="00CE6D95">
        <w:rPr>
          <w:i/>
        </w:rPr>
        <w:t>Australian Charities and Not</w:t>
      </w:r>
      <w:r w:rsidR="007A2068">
        <w:rPr>
          <w:i/>
        </w:rPr>
        <w:noBreakHyphen/>
      </w:r>
      <w:r w:rsidRPr="00CE6D95">
        <w:rPr>
          <w:i/>
        </w:rPr>
        <w:t>for</w:t>
      </w:r>
      <w:r w:rsidR="007A2068">
        <w:rPr>
          <w:i/>
        </w:rPr>
        <w:noBreakHyphen/>
      </w:r>
      <w:r w:rsidRPr="00CE6D95">
        <w:rPr>
          <w:i/>
        </w:rPr>
        <w:t>profits Commission Act 2012</w:t>
      </w:r>
      <w:r w:rsidRPr="00CE6D95">
        <w:t>.</w:t>
      </w:r>
    </w:p>
    <w:p w:rsidR="00DA6854" w:rsidRPr="00CE6D95" w:rsidRDefault="00DA6854" w:rsidP="00CE6D95">
      <w:pPr>
        <w:pStyle w:val="Item"/>
      </w:pPr>
      <w:r w:rsidRPr="00CE6D95">
        <w:rPr>
          <w:b/>
          <w:i/>
        </w:rPr>
        <w:t>approved form</w:t>
      </w:r>
      <w:r w:rsidRPr="00CE6D95">
        <w:t xml:space="preserve"> has the meaning given by the ACNC Act.</w:t>
      </w:r>
    </w:p>
    <w:p w:rsidR="00BA7084" w:rsidRPr="00CE6D95" w:rsidRDefault="00BA7084" w:rsidP="00CE6D95">
      <w:pPr>
        <w:pStyle w:val="Item"/>
      </w:pPr>
      <w:r w:rsidRPr="00CE6D95">
        <w:rPr>
          <w:b/>
          <w:i/>
        </w:rPr>
        <w:t>commencement day</w:t>
      </w:r>
      <w:r w:rsidRPr="00CE6D95">
        <w:t xml:space="preserve"> means the day on which this Schedule commences.</w:t>
      </w:r>
    </w:p>
    <w:p w:rsidR="008277E0" w:rsidRPr="00CE6D95" w:rsidRDefault="008277E0" w:rsidP="00CE6D95">
      <w:pPr>
        <w:pStyle w:val="Item"/>
      </w:pPr>
      <w:r w:rsidRPr="00CE6D95">
        <w:rPr>
          <w:b/>
          <w:i/>
        </w:rPr>
        <w:t>endorsed as a contributing fund</w:t>
      </w:r>
      <w:r w:rsidRPr="00CE6D95">
        <w:t xml:space="preserve"> means endorsed under Subdivision</w:t>
      </w:r>
      <w:r w:rsidR="00CE6D95" w:rsidRPr="00CE6D95">
        <w:t> </w:t>
      </w:r>
      <w:r w:rsidRPr="00CE6D95">
        <w:t>50</w:t>
      </w:r>
      <w:r w:rsidR="007A2068">
        <w:noBreakHyphen/>
      </w:r>
      <w:r w:rsidRPr="00CE6D95">
        <w:t xml:space="preserve">B of the </w:t>
      </w:r>
      <w:r w:rsidRPr="00CE6D95">
        <w:rPr>
          <w:i/>
        </w:rPr>
        <w:t>Income Tax Assessment Act 1997</w:t>
      </w:r>
      <w:r w:rsidRPr="00CE6D95">
        <w:t xml:space="preserve"> as exempt from income tax because of being covered by item</w:t>
      </w:r>
      <w:r w:rsidR="00CE6D95" w:rsidRPr="00CE6D95">
        <w:t> </w:t>
      </w:r>
      <w:r w:rsidRPr="00CE6D95">
        <w:t>4.1 of the table in section</w:t>
      </w:r>
      <w:r w:rsidR="00CE6D95" w:rsidRPr="00CE6D95">
        <w:t> </w:t>
      </w:r>
      <w:r w:rsidRPr="00CE6D95">
        <w:t>50</w:t>
      </w:r>
      <w:r w:rsidR="007A2068">
        <w:noBreakHyphen/>
      </w:r>
      <w:r w:rsidRPr="00CE6D95">
        <w:t>20 of that Act (Funds contributing to other funds).</w:t>
      </w:r>
    </w:p>
    <w:p w:rsidR="002F12B5" w:rsidRPr="00CE6D95" w:rsidRDefault="00E12EBF" w:rsidP="00CE6D95">
      <w:pPr>
        <w:pStyle w:val="ActHead7"/>
        <w:pageBreakBefore/>
      </w:pPr>
      <w:bookmarkStart w:id="30" w:name="_Toc361151580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Pr="00CE6D95">
        <w:rPr>
          <w:rStyle w:val="CharAmPartNo"/>
        </w:rPr>
        <w:t>2</w:t>
      </w:r>
      <w:r w:rsidRPr="00CE6D95">
        <w:t>—</w:t>
      </w:r>
      <w:r w:rsidR="002F12B5" w:rsidRPr="00CE6D95">
        <w:rPr>
          <w:rStyle w:val="CharAmPartText"/>
        </w:rPr>
        <w:t>Registration</w:t>
      </w:r>
      <w:bookmarkEnd w:id="30"/>
    </w:p>
    <w:p w:rsidR="00FE3710" w:rsidRPr="00CE6D95" w:rsidRDefault="00FE3710" w:rsidP="00CE6D95">
      <w:pPr>
        <w:pStyle w:val="ActHead8"/>
      </w:pPr>
      <w:bookmarkStart w:id="31" w:name="_Toc361151581"/>
      <w:r w:rsidRPr="00CE6D95">
        <w:t>Division</w:t>
      </w:r>
      <w:r w:rsidR="00CE6D95" w:rsidRPr="00CE6D95">
        <w:t> </w:t>
      </w:r>
      <w:r w:rsidRPr="00CE6D95">
        <w:t>1—Registered entities</w:t>
      </w:r>
      <w:bookmarkEnd w:id="31"/>
    </w:p>
    <w:p w:rsidR="004B1250" w:rsidRPr="00CE6D95" w:rsidRDefault="004479DA" w:rsidP="00CE6D95">
      <w:pPr>
        <w:pStyle w:val="ItemHead"/>
      </w:pPr>
      <w:r w:rsidRPr="00CE6D95">
        <w:t>2</w:t>
      </w:r>
      <w:r w:rsidR="004B1250" w:rsidRPr="00CE6D95">
        <w:t xml:space="preserve">  </w:t>
      </w:r>
      <w:r w:rsidR="00F310C4" w:rsidRPr="00CE6D95">
        <w:t>Registration—o</w:t>
      </w:r>
      <w:r w:rsidR="009D6C81" w:rsidRPr="00CE6D95">
        <w:t>ld subtypes equivalent to new subtypes</w:t>
      </w:r>
    </w:p>
    <w:p w:rsidR="009D6C81" w:rsidRPr="00CE6D95" w:rsidRDefault="009D6C81" w:rsidP="00CE6D95">
      <w:pPr>
        <w:pStyle w:val="SubitemHead"/>
      </w:pPr>
      <w:r w:rsidRPr="00CE6D95">
        <w:t>Registration</w:t>
      </w:r>
    </w:p>
    <w:p w:rsidR="004479DA" w:rsidRPr="00CE6D95" w:rsidRDefault="009D6C81" w:rsidP="00CE6D95">
      <w:pPr>
        <w:pStyle w:val="Subitem"/>
      </w:pPr>
      <w:r w:rsidRPr="00CE6D95">
        <w:t>(1)</w:t>
      </w:r>
      <w:r w:rsidRPr="00CE6D95">
        <w:tab/>
        <w:t xml:space="preserve">The Commissioner of the ACNC is treated as having registered an entity under </w:t>
      </w:r>
      <w:r w:rsidR="00AB7C87" w:rsidRPr="00CE6D95">
        <w:t>Division</w:t>
      </w:r>
      <w:r w:rsidR="00CE6D95" w:rsidRPr="00CE6D95">
        <w:t> </w:t>
      </w:r>
      <w:r w:rsidR="00AB7C87" w:rsidRPr="00CE6D95">
        <w:t xml:space="preserve">30 </w:t>
      </w:r>
      <w:r w:rsidR="00F27545" w:rsidRPr="00CE6D95">
        <w:t xml:space="preserve">of </w:t>
      </w:r>
      <w:r w:rsidRPr="00CE6D95">
        <w:t xml:space="preserve">the ACNC Act on the commencement day as the subtype of entity mentioned in column 2 of an item of the table in </w:t>
      </w:r>
      <w:proofErr w:type="spellStart"/>
      <w:r w:rsidR="00CE6D95" w:rsidRPr="00CE6D95">
        <w:t>subitem</w:t>
      </w:r>
      <w:proofErr w:type="spellEnd"/>
      <w:r w:rsidR="00CE6D95" w:rsidRPr="00CE6D95">
        <w:t> (</w:t>
      </w:r>
      <w:r w:rsidR="00FB2B61" w:rsidRPr="00CE6D95">
        <w:t>3</w:t>
      </w:r>
      <w:r w:rsidRPr="00CE6D95">
        <w:t xml:space="preserve">) if, </w:t>
      </w:r>
      <w:r w:rsidR="00230419" w:rsidRPr="00CE6D95">
        <w:t xml:space="preserve">on the day before the commencement day, </w:t>
      </w:r>
      <w:r w:rsidRPr="00CE6D95">
        <w:t>the</w:t>
      </w:r>
      <w:r w:rsidR="00230419" w:rsidRPr="00CE6D95">
        <w:t xml:space="preserve"> entity is registered as the subtype of entity mentioned </w:t>
      </w:r>
      <w:r w:rsidR="00F27545" w:rsidRPr="00CE6D95">
        <w:t xml:space="preserve">in </w:t>
      </w:r>
      <w:r w:rsidR="004479DA" w:rsidRPr="00CE6D95">
        <w:t xml:space="preserve">column 1 of </w:t>
      </w:r>
      <w:r w:rsidRPr="00CE6D95">
        <w:t>that item.</w:t>
      </w:r>
    </w:p>
    <w:p w:rsidR="009D6C81" w:rsidRPr="00CE6D95" w:rsidRDefault="009D6C81" w:rsidP="00CE6D95">
      <w:pPr>
        <w:pStyle w:val="SubitemHead"/>
      </w:pPr>
      <w:r w:rsidRPr="00CE6D95">
        <w:t>Applications for registration</w:t>
      </w:r>
    </w:p>
    <w:p w:rsidR="009D6C81" w:rsidRPr="00CE6D95" w:rsidRDefault="009D6C81" w:rsidP="00CE6D95">
      <w:pPr>
        <w:pStyle w:val="Subitem"/>
      </w:pPr>
      <w:r w:rsidRPr="00CE6D95">
        <w:t>(2)</w:t>
      </w:r>
      <w:r w:rsidRPr="00CE6D95">
        <w:tab/>
        <w:t xml:space="preserve">An application for registration </w:t>
      </w:r>
      <w:r w:rsidR="008A50CB" w:rsidRPr="00CE6D95">
        <w:t xml:space="preserve">under </w:t>
      </w:r>
      <w:r w:rsidR="00AB7C87" w:rsidRPr="00CE6D95">
        <w:t>Division</w:t>
      </w:r>
      <w:r w:rsidR="00CE6D95" w:rsidRPr="00CE6D95">
        <w:t> </w:t>
      </w:r>
      <w:r w:rsidR="00AB7C87" w:rsidRPr="00CE6D95">
        <w:t xml:space="preserve">30 of </w:t>
      </w:r>
      <w:r w:rsidR="008A50CB" w:rsidRPr="00CE6D95">
        <w:t xml:space="preserve">the ACNC Act </w:t>
      </w:r>
      <w:r w:rsidRPr="00CE6D95">
        <w:t xml:space="preserve">as the subtype of entity mentioned in column 1 of an item of the table in </w:t>
      </w:r>
      <w:proofErr w:type="spellStart"/>
      <w:r w:rsidR="00CE6D95" w:rsidRPr="00CE6D95">
        <w:t>subitem</w:t>
      </w:r>
      <w:proofErr w:type="spellEnd"/>
      <w:r w:rsidR="00CE6D95" w:rsidRPr="00CE6D95">
        <w:t> (</w:t>
      </w:r>
      <w:r w:rsidR="00FB2B61" w:rsidRPr="00CE6D95">
        <w:t>3</w:t>
      </w:r>
      <w:r w:rsidRPr="00CE6D95">
        <w:t>) is treated, from the commencement day, as being an application for registration as the subtype of entity mentioned in column 2 of that item, if:</w:t>
      </w:r>
    </w:p>
    <w:p w:rsidR="009D6C81" w:rsidRPr="00CE6D95" w:rsidRDefault="009D6C81" w:rsidP="00CE6D95">
      <w:pPr>
        <w:pStyle w:val="paragraph"/>
      </w:pPr>
      <w:r w:rsidRPr="00CE6D95">
        <w:tab/>
        <w:t>(a)</w:t>
      </w:r>
      <w:r w:rsidRPr="00CE6D95">
        <w:tab/>
        <w:t xml:space="preserve">the application was made before the commencement day; </w:t>
      </w:r>
      <w:r w:rsidR="00900C50" w:rsidRPr="00CE6D95">
        <w:t>and</w:t>
      </w:r>
    </w:p>
    <w:p w:rsidR="009D6C81" w:rsidRPr="00CE6D95" w:rsidRDefault="009D6C81" w:rsidP="00CE6D95">
      <w:pPr>
        <w:pStyle w:val="paragraph"/>
      </w:pPr>
      <w:r w:rsidRPr="00CE6D95">
        <w:tab/>
        <w:t>(b)</w:t>
      </w:r>
      <w:r w:rsidRPr="00CE6D95">
        <w:tab/>
        <w:t xml:space="preserve">on the day before </w:t>
      </w:r>
      <w:r w:rsidR="00F27545" w:rsidRPr="00CE6D95">
        <w:t xml:space="preserve">the </w:t>
      </w:r>
      <w:r w:rsidRPr="00CE6D95">
        <w:t>commencement day, the Commissioner of the ACNC had neither registered the applicant nor refused the application.</w:t>
      </w:r>
    </w:p>
    <w:p w:rsidR="009D6C81" w:rsidRPr="00CE6D95" w:rsidRDefault="009D6C81" w:rsidP="00CE6D95">
      <w:pPr>
        <w:pStyle w:val="SubitemHead"/>
      </w:pPr>
      <w:r w:rsidRPr="00CE6D95">
        <w:t>Table</w:t>
      </w:r>
    </w:p>
    <w:p w:rsidR="009D6C81" w:rsidRPr="00CE6D95" w:rsidRDefault="009D6C81" w:rsidP="00CE6D95">
      <w:pPr>
        <w:pStyle w:val="Subitem"/>
      </w:pPr>
      <w:r w:rsidRPr="00CE6D95">
        <w:t>(3)</w:t>
      </w:r>
      <w:r w:rsidRPr="00CE6D95">
        <w:tab/>
        <w:t>The table is as follows:</w:t>
      </w:r>
    </w:p>
    <w:p w:rsidR="009D6C81" w:rsidRPr="00CE6D95" w:rsidRDefault="009D6C81" w:rsidP="00CE6D9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7"/>
        <w:gridCol w:w="3187"/>
      </w:tblGrid>
      <w:tr w:rsidR="009D6C81" w:rsidRPr="00CE6D95" w:rsidTr="009D6C81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Corresponding subtypes</w:t>
            </w:r>
          </w:p>
        </w:tc>
      </w:tr>
      <w:tr w:rsidR="009D6C81" w:rsidRPr="00CE6D95" w:rsidTr="009D6C8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Item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1</w:t>
            </w:r>
          </w:p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Subtype of entity mentioned in column 2 of the following item of the table in subsection</w:t>
            </w:r>
            <w:r w:rsidR="00CE6D95" w:rsidRPr="00CE6D95">
              <w:rPr>
                <w:b/>
              </w:rPr>
              <w:t> </w:t>
            </w:r>
            <w:r w:rsidRPr="00CE6D95">
              <w:rPr>
                <w:b/>
              </w:rPr>
              <w:t>25</w:t>
            </w:r>
            <w:r w:rsidR="007A2068">
              <w:rPr>
                <w:b/>
              </w:rPr>
              <w:noBreakHyphen/>
            </w:r>
            <w:r w:rsidRPr="00CE6D95">
              <w:rPr>
                <w:b/>
              </w:rPr>
              <w:t>5(5) of the ACNC Act, as in force on the day before the commencement day</w:t>
            </w:r>
            <w:r w:rsidR="00F27545" w:rsidRPr="00CE6D95">
              <w:rPr>
                <w:b/>
              </w:rPr>
              <w:t>: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rPr>
                <w:b/>
              </w:rPr>
            </w:pPr>
            <w:r w:rsidRPr="00CE6D95">
              <w:rPr>
                <w:b/>
              </w:rPr>
              <w:t>Column 2</w:t>
            </w:r>
          </w:p>
          <w:p w:rsidR="009D6C81" w:rsidRPr="00CE6D95" w:rsidRDefault="009D6C81" w:rsidP="00CE6D95">
            <w:pPr>
              <w:pStyle w:val="Tabletext"/>
              <w:rPr>
                <w:b/>
              </w:rPr>
            </w:pPr>
            <w:r w:rsidRPr="00CE6D95">
              <w:rPr>
                <w:b/>
              </w:rPr>
              <w:t>Subtype of entity mentioned in column 2 of the following item of the table in subsection</w:t>
            </w:r>
            <w:r w:rsidR="00CE6D95" w:rsidRPr="00CE6D95">
              <w:rPr>
                <w:b/>
              </w:rPr>
              <w:t> </w:t>
            </w:r>
            <w:r w:rsidRPr="00CE6D95">
              <w:rPr>
                <w:b/>
              </w:rPr>
              <w:t>25</w:t>
            </w:r>
            <w:r w:rsidR="007A2068">
              <w:rPr>
                <w:b/>
              </w:rPr>
              <w:noBreakHyphen/>
            </w:r>
            <w:r w:rsidRPr="00CE6D95">
              <w:rPr>
                <w:b/>
              </w:rPr>
              <w:t>5(5) of the A</w:t>
            </w:r>
            <w:r w:rsidR="00900C50" w:rsidRPr="00CE6D95">
              <w:rPr>
                <w:b/>
              </w:rPr>
              <w:t>CNC Act, as amended by this Act</w:t>
            </w:r>
            <w:r w:rsidR="00F27545" w:rsidRPr="00CE6D95">
              <w:rPr>
                <w:b/>
              </w:rPr>
              <w:t>:</w:t>
            </w:r>
          </w:p>
        </w:tc>
      </w:tr>
      <w:tr w:rsidR="009D6C81" w:rsidRPr="00CE6D95" w:rsidTr="009D6C81">
        <w:tc>
          <w:tcPr>
            <w:tcW w:w="714" w:type="dxa"/>
            <w:shd w:val="clear" w:color="auto" w:fill="auto"/>
          </w:tcPr>
          <w:p w:rsidR="009D6C81" w:rsidRPr="00CE6D95" w:rsidRDefault="008A50CB" w:rsidP="00CE6D95">
            <w:pPr>
              <w:pStyle w:val="Tabletext"/>
            </w:pPr>
            <w:r w:rsidRPr="00CE6D95">
              <w:t>1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2 (education)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2 (education)</w:t>
            </w:r>
          </w:p>
        </w:tc>
      </w:tr>
      <w:tr w:rsidR="009D6C81" w:rsidRPr="00CE6D95" w:rsidTr="009D6C81">
        <w:tc>
          <w:tcPr>
            <w:tcW w:w="714" w:type="dxa"/>
            <w:shd w:val="clear" w:color="auto" w:fill="auto"/>
          </w:tcPr>
          <w:p w:rsidR="009D6C81" w:rsidRPr="00CE6D95" w:rsidRDefault="008A50CB" w:rsidP="00CE6D95">
            <w:pPr>
              <w:pStyle w:val="Tabletext"/>
            </w:pPr>
            <w:r w:rsidRPr="00CE6D95">
              <w:t>2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3 (religion)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(religion)</w:t>
            </w:r>
          </w:p>
        </w:tc>
      </w:tr>
      <w:tr w:rsidR="009D6C81" w:rsidRPr="00CE6D95" w:rsidTr="009D6C81">
        <w:tc>
          <w:tcPr>
            <w:tcW w:w="714" w:type="dxa"/>
            <w:shd w:val="clear" w:color="auto" w:fill="auto"/>
          </w:tcPr>
          <w:p w:rsidR="009D6C81" w:rsidRPr="00CE6D95" w:rsidRDefault="00375492" w:rsidP="00CE6D95">
            <w:pPr>
              <w:pStyle w:val="Tabletext"/>
            </w:pPr>
            <w:r w:rsidRPr="00CE6D95">
              <w:t>3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5 (prevention or the control of diseases in human beings)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</w:t>
            </w:r>
            <w:r w:rsidR="00297870" w:rsidRPr="00CE6D95">
              <w:t>3</w:t>
            </w:r>
            <w:r w:rsidRPr="00CE6D95">
              <w:t xml:space="preserve"> (prevention or the control of diseases in human beings)</w:t>
            </w:r>
          </w:p>
        </w:tc>
      </w:tr>
      <w:tr w:rsidR="009D6C81" w:rsidRPr="00CE6D95" w:rsidTr="009D6C8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D6C81" w:rsidRPr="00CE6D95" w:rsidRDefault="00375492" w:rsidP="00CE6D95">
            <w:pPr>
              <w:pStyle w:val="Tabletext"/>
            </w:pPr>
            <w:r w:rsidRPr="00CE6D95">
              <w:t>4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6 (public benevolent institution)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</w:t>
            </w:r>
            <w:r w:rsidR="00297870" w:rsidRPr="00CE6D95">
              <w:t>4</w:t>
            </w:r>
            <w:r w:rsidRPr="00CE6D95">
              <w:t xml:space="preserve"> (public benevolent institution)</w:t>
            </w:r>
          </w:p>
        </w:tc>
      </w:tr>
      <w:tr w:rsidR="009D6C81" w:rsidRPr="00CE6D95" w:rsidTr="009D6C8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D6C81" w:rsidRPr="00CE6D95" w:rsidRDefault="00375492" w:rsidP="00CE6D95">
            <w:pPr>
              <w:pStyle w:val="Tabletext"/>
            </w:pPr>
            <w:r w:rsidRPr="00CE6D95">
              <w:t>5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7 (child care services)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 xml:space="preserve">3 (social or </w:t>
            </w:r>
            <w:r w:rsidR="00586781" w:rsidRPr="00CE6D95">
              <w:t>public</w:t>
            </w:r>
            <w:r w:rsidRPr="00CE6D95">
              <w:t xml:space="preserve"> welfare)</w:t>
            </w:r>
          </w:p>
        </w:tc>
      </w:tr>
    </w:tbl>
    <w:p w:rsidR="009D6C81" w:rsidRPr="00CE6D95" w:rsidRDefault="009D6C81" w:rsidP="00CE6D95">
      <w:pPr>
        <w:pStyle w:val="ItemHead"/>
      </w:pPr>
      <w:r w:rsidRPr="00CE6D95">
        <w:t xml:space="preserve">3  </w:t>
      </w:r>
      <w:r w:rsidR="00F310C4" w:rsidRPr="00CE6D95">
        <w:t>Registration—o</w:t>
      </w:r>
      <w:r w:rsidRPr="00CE6D95">
        <w:t>ld subtypes possibly equivalent to new subtypes</w:t>
      </w:r>
    </w:p>
    <w:p w:rsidR="009D6C81" w:rsidRPr="00CE6D95" w:rsidRDefault="009D6C81" w:rsidP="00CE6D95">
      <w:pPr>
        <w:pStyle w:val="SubitemHead"/>
      </w:pPr>
      <w:r w:rsidRPr="00CE6D95">
        <w:t>Registration</w:t>
      </w:r>
    </w:p>
    <w:p w:rsidR="009D6C81" w:rsidRPr="00CE6D95" w:rsidRDefault="009D6C81" w:rsidP="00CE6D95">
      <w:pPr>
        <w:pStyle w:val="Subitem"/>
      </w:pPr>
      <w:r w:rsidRPr="00CE6D95">
        <w:t>(1)</w:t>
      </w:r>
      <w:r w:rsidRPr="00CE6D95">
        <w:tab/>
        <w:t xml:space="preserve">The Commissioner of the ACNC is treated as having registered an entity under </w:t>
      </w:r>
      <w:r w:rsidR="00AB7C87" w:rsidRPr="00CE6D95">
        <w:t>Division</w:t>
      </w:r>
      <w:r w:rsidR="00CE6D95" w:rsidRPr="00CE6D95">
        <w:t> </w:t>
      </w:r>
      <w:r w:rsidR="00AB7C87" w:rsidRPr="00CE6D95">
        <w:t xml:space="preserve">30 of </w:t>
      </w:r>
      <w:r w:rsidRPr="00CE6D95">
        <w:t xml:space="preserve">the ACNC Act on the commencement day as the subtype of entity mentioned in column 2 of an item of the table in </w:t>
      </w:r>
      <w:proofErr w:type="spellStart"/>
      <w:r w:rsidR="00CE6D95" w:rsidRPr="00CE6D95">
        <w:t>subitem</w:t>
      </w:r>
      <w:proofErr w:type="spellEnd"/>
      <w:r w:rsidR="00CE6D95" w:rsidRPr="00CE6D95">
        <w:t> (</w:t>
      </w:r>
      <w:r w:rsidR="00FB2B61" w:rsidRPr="00CE6D95">
        <w:t>3</w:t>
      </w:r>
      <w:r w:rsidRPr="00CE6D95">
        <w:t>) if:</w:t>
      </w:r>
    </w:p>
    <w:p w:rsidR="009D6C81" w:rsidRPr="00CE6D95" w:rsidRDefault="009D6C81" w:rsidP="00CE6D95">
      <w:pPr>
        <w:pStyle w:val="paragraph"/>
      </w:pPr>
      <w:r w:rsidRPr="00CE6D95">
        <w:tab/>
        <w:t>(a)</w:t>
      </w:r>
      <w:r w:rsidRPr="00CE6D95">
        <w:tab/>
        <w:t xml:space="preserve">on the day before the commencement day, the entity is registered as the subtype of entity mentioned </w:t>
      </w:r>
      <w:r w:rsidR="00F27545" w:rsidRPr="00CE6D95">
        <w:t xml:space="preserve">in </w:t>
      </w:r>
      <w:r w:rsidRPr="00CE6D95">
        <w:t>column 1 of that item; and</w:t>
      </w:r>
    </w:p>
    <w:p w:rsidR="009D6C81" w:rsidRPr="00CE6D95" w:rsidRDefault="009D6C81" w:rsidP="00CE6D95">
      <w:pPr>
        <w:pStyle w:val="paragraph"/>
      </w:pPr>
      <w:r w:rsidRPr="00CE6D95">
        <w:tab/>
        <w:t>(b)</w:t>
      </w:r>
      <w:r w:rsidRPr="00CE6D95">
        <w:tab/>
        <w:t>the entity notifies the Commissioner that, on the commencement day, the entity meets the description of the subtype of entity mentioned in column 2 of that item.</w:t>
      </w:r>
    </w:p>
    <w:p w:rsidR="000E1DFD" w:rsidRPr="00CE6D95" w:rsidRDefault="000E1DFD" w:rsidP="00CE6D95">
      <w:pPr>
        <w:pStyle w:val="SubitemHead"/>
      </w:pPr>
      <w:r w:rsidRPr="00CE6D95">
        <w:t>Applications for registration</w:t>
      </w:r>
    </w:p>
    <w:p w:rsidR="000E1DFD" w:rsidRPr="00CE6D95" w:rsidRDefault="000E1DFD" w:rsidP="00CE6D95">
      <w:pPr>
        <w:pStyle w:val="Subitem"/>
      </w:pPr>
      <w:r w:rsidRPr="00CE6D95">
        <w:t>(2)</w:t>
      </w:r>
      <w:r w:rsidRPr="00CE6D95">
        <w:tab/>
        <w:t>An application for registration</w:t>
      </w:r>
      <w:r w:rsidR="008A50CB" w:rsidRPr="00CE6D95">
        <w:t xml:space="preserve"> under </w:t>
      </w:r>
      <w:r w:rsidR="00AB7C87" w:rsidRPr="00CE6D95">
        <w:t>Division</w:t>
      </w:r>
      <w:r w:rsidR="00CE6D95" w:rsidRPr="00CE6D95">
        <w:t> </w:t>
      </w:r>
      <w:r w:rsidR="00AB7C87" w:rsidRPr="00CE6D95">
        <w:t xml:space="preserve">30 of </w:t>
      </w:r>
      <w:r w:rsidR="008A50CB" w:rsidRPr="00CE6D95">
        <w:t>the ACNC Act</w:t>
      </w:r>
      <w:r w:rsidRPr="00CE6D95">
        <w:t xml:space="preserve"> as the subtype of entity mentioned in column 1 of an item of the table in </w:t>
      </w:r>
      <w:proofErr w:type="spellStart"/>
      <w:r w:rsidR="00CE6D95" w:rsidRPr="00CE6D95">
        <w:t>subitem</w:t>
      </w:r>
      <w:proofErr w:type="spellEnd"/>
      <w:r w:rsidR="00CE6D95" w:rsidRPr="00CE6D95">
        <w:t> (</w:t>
      </w:r>
      <w:r w:rsidR="00FB2B61" w:rsidRPr="00CE6D95">
        <w:t>3</w:t>
      </w:r>
      <w:r w:rsidRPr="00CE6D95">
        <w:t>) is treated, from the commencement day, as being an application for registration as the subtype of entity mentioned in column 2 of that item, if:</w:t>
      </w:r>
    </w:p>
    <w:p w:rsidR="000E1DFD" w:rsidRPr="00CE6D95" w:rsidRDefault="000E1DFD" w:rsidP="00CE6D95">
      <w:pPr>
        <w:pStyle w:val="paragraph"/>
      </w:pPr>
      <w:r w:rsidRPr="00CE6D95">
        <w:tab/>
        <w:t>(a)</w:t>
      </w:r>
      <w:r w:rsidRPr="00CE6D95">
        <w:tab/>
        <w:t xml:space="preserve">the application was made </w:t>
      </w:r>
      <w:r w:rsidR="00900C50" w:rsidRPr="00CE6D95">
        <w:t>before the commencement day; and</w:t>
      </w:r>
    </w:p>
    <w:p w:rsidR="000E1DFD" w:rsidRPr="00CE6D95" w:rsidRDefault="000E1DFD" w:rsidP="00CE6D95">
      <w:pPr>
        <w:pStyle w:val="paragraph"/>
      </w:pPr>
      <w:r w:rsidRPr="00CE6D95">
        <w:tab/>
        <w:t>(b)</w:t>
      </w:r>
      <w:r w:rsidRPr="00CE6D95">
        <w:tab/>
        <w:t xml:space="preserve">on the day before </w:t>
      </w:r>
      <w:r w:rsidR="00F27545" w:rsidRPr="00CE6D95">
        <w:t xml:space="preserve">the </w:t>
      </w:r>
      <w:r w:rsidRPr="00CE6D95">
        <w:t>commencement day, the Commissioner of the ACNC had neither registered the applicant nor refused th</w:t>
      </w:r>
      <w:r w:rsidR="008A50CB" w:rsidRPr="00CE6D95">
        <w:t>e application; and</w:t>
      </w:r>
    </w:p>
    <w:p w:rsidR="008A50CB" w:rsidRPr="00CE6D95" w:rsidRDefault="008A50CB" w:rsidP="00CE6D95">
      <w:pPr>
        <w:pStyle w:val="paragraph"/>
      </w:pPr>
      <w:r w:rsidRPr="00CE6D95">
        <w:tab/>
        <w:t>(c)</w:t>
      </w:r>
      <w:r w:rsidRPr="00CE6D95">
        <w:tab/>
        <w:t xml:space="preserve">the applicant requests the Commissioner to treat the application </w:t>
      </w:r>
      <w:r w:rsidR="00900C50" w:rsidRPr="00CE6D95">
        <w:t>as being an application for registration as the subtype of entity mentioned in column 2 of that item</w:t>
      </w:r>
      <w:r w:rsidRPr="00CE6D95">
        <w:t>.</w:t>
      </w:r>
    </w:p>
    <w:p w:rsidR="009D6C81" w:rsidRPr="00CE6D95" w:rsidRDefault="009D6C81" w:rsidP="00CE6D95">
      <w:pPr>
        <w:pStyle w:val="SubitemHead"/>
      </w:pPr>
      <w:r w:rsidRPr="00CE6D95">
        <w:t>Table</w:t>
      </w:r>
    </w:p>
    <w:p w:rsidR="009D6C81" w:rsidRPr="00CE6D95" w:rsidRDefault="00FB2B61" w:rsidP="00CE6D95">
      <w:pPr>
        <w:pStyle w:val="Subitem"/>
      </w:pPr>
      <w:r w:rsidRPr="00CE6D95">
        <w:t>(3</w:t>
      </w:r>
      <w:r w:rsidR="009D6C81" w:rsidRPr="00CE6D95">
        <w:t>)</w:t>
      </w:r>
      <w:r w:rsidR="009D6C81" w:rsidRPr="00CE6D95">
        <w:tab/>
        <w:t>The table is as follows:</w:t>
      </w:r>
    </w:p>
    <w:p w:rsidR="009D6C81" w:rsidRPr="00CE6D95" w:rsidRDefault="009D6C81" w:rsidP="00CE6D9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7"/>
        <w:gridCol w:w="3187"/>
      </w:tblGrid>
      <w:tr w:rsidR="009D6C81" w:rsidRPr="00CE6D95" w:rsidTr="00F735E9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Corresponding subtypes</w:t>
            </w:r>
          </w:p>
        </w:tc>
      </w:tr>
      <w:tr w:rsidR="009D6C81" w:rsidRPr="00CE6D95" w:rsidTr="00F735E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Item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Column 1</w:t>
            </w:r>
          </w:p>
          <w:p w:rsidR="009D6C81" w:rsidRPr="00CE6D95" w:rsidRDefault="009D6C81" w:rsidP="00CE6D95">
            <w:pPr>
              <w:pStyle w:val="Tabletext"/>
              <w:keepNext/>
              <w:rPr>
                <w:b/>
              </w:rPr>
            </w:pPr>
            <w:r w:rsidRPr="00CE6D95">
              <w:rPr>
                <w:b/>
              </w:rPr>
              <w:t>Subtype of entity mentioned in column 2 of the following item of the table in subsection</w:t>
            </w:r>
            <w:r w:rsidR="00CE6D95" w:rsidRPr="00CE6D95">
              <w:rPr>
                <w:b/>
              </w:rPr>
              <w:t> </w:t>
            </w:r>
            <w:r w:rsidRPr="00CE6D95">
              <w:rPr>
                <w:b/>
              </w:rPr>
              <w:t>25</w:t>
            </w:r>
            <w:r w:rsidR="007A2068">
              <w:rPr>
                <w:b/>
              </w:rPr>
              <w:noBreakHyphen/>
            </w:r>
            <w:r w:rsidRPr="00CE6D95">
              <w:rPr>
                <w:b/>
              </w:rPr>
              <w:t>5(5) of the ACNC Act, as in force on the day before the commencement day</w:t>
            </w:r>
            <w:r w:rsidR="00F27545" w:rsidRPr="00CE6D95">
              <w:rPr>
                <w:b/>
              </w:rPr>
              <w:t>: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  <w:rPr>
                <w:b/>
              </w:rPr>
            </w:pPr>
            <w:r w:rsidRPr="00CE6D95">
              <w:rPr>
                <w:b/>
              </w:rPr>
              <w:t>Column 2</w:t>
            </w:r>
          </w:p>
          <w:p w:rsidR="009D6C81" w:rsidRPr="00CE6D95" w:rsidRDefault="009D6C81" w:rsidP="00CE6D95">
            <w:pPr>
              <w:pStyle w:val="Tabletext"/>
              <w:rPr>
                <w:b/>
              </w:rPr>
            </w:pPr>
            <w:r w:rsidRPr="00CE6D95">
              <w:rPr>
                <w:b/>
              </w:rPr>
              <w:t>Subtype of entity mentioned in column 2 of the following item of the table in subsection</w:t>
            </w:r>
            <w:r w:rsidR="00CE6D95" w:rsidRPr="00CE6D95">
              <w:rPr>
                <w:b/>
              </w:rPr>
              <w:t> </w:t>
            </w:r>
            <w:r w:rsidRPr="00CE6D95">
              <w:rPr>
                <w:b/>
              </w:rPr>
              <w:t>25</w:t>
            </w:r>
            <w:r w:rsidR="007A2068">
              <w:rPr>
                <w:b/>
              </w:rPr>
              <w:noBreakHyphen/>
            </w:r>
            <w:r w:rsidRPr="00CE6D95">
              <w:rPr>
                <w:b/>
              </w:rPr>
              <w:t>5(5) of the ACNC Act, as amended</w:t>
            </w:r>
            <w:r w:rsidR="00900C50" w:rsidRPr="00CE6D95">
              <w:rPr>
                <w:b/>
              </w:rPr>
              <w:t xml:space="preserve"> by this Act</w:t>
            </w:r>
            <w:r w:rsidR="00F27545" w:rsidRPr="00CE6D95">
              <w:rPr>
                <w:b/>
              </w:rPr>
              <w:t>:</w:t>
            </w:r>
          </w:p>
        </w:tc>
      </w:tr>
      <w:tr w:rsidR="009D6C81" w:rsidRPr="00CE6D95" w:rsidTr="00F735E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1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 (relief of poverty, sickness or the needs of the aged)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 (health)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2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 (relief of poverty, sickness or the needs of the aged)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 xml:space="preserve">3 (social or </w:t>
            </w:r>
            <w:r w:rsidR="00586781" w:rsidRPr="00CE6D95">
              <w:t>public</w:t>
            </w:r>
            <w:r w:rsidRPr="00CE6D95">
              <w:t xml:space="preserve"> welfare)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3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 (health)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4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3 (</w:t>
            </w:r>
            <w:r w:rsidR="00900C50" w:rsidRPr="00CE6D95">
              <w:t xml:space="preserve">social or </w:t>
            </w:r>
            <w:r w:rsidR="00586781" w:rsidRPr="00CE6D95">
              <w:t>public</w:t>
            </w:r>
            <w:r w:rsidR="00900C50" w:rsidRPr="00CE6D95">
              <w:t xml:space="preserve"> welfare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5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5 (</w:t>
            </w:r>
            <w:r w:rsidR="00900C50" w:rsidRPr="00CE6D95">
              <w:t>culture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6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6 (</w:t>
            </w:r>
            <w:r w:rsidR="00900C50" w:rsidRPr="00CE6D95">
              <w:t>reconciliation, mutual respect and tolerance between groups of</w:t>
            </w:r>
            <w:r w:rsidR="00E83D53" w:rsidRPr="00CE6D95">
              <w:t xml:space="preserve"> individual</w:t>
            </w:r>
            <w:r w:rsidR="00900C50" w:rsidRPr="00CE6D95">
              <w:t>s that are in Australia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7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7 (</w:t>
            </w:r>
            <w:r w:rsidR="00900C50" w:rsidRPr="00CE6D95">
              <w:t>human rights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8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8 (</w:t>
            </w:r>
            <w:r w:rsidR="00B24B2B" w:rsidRPr="00CE6D95">
              <w:t>advancing the security or safety of Australia or the Australian public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9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9 (</w:t>
            </w:r>
            <w:r w:rsidR="00900C50" w:rsidRPr="00CE6D95">
              <w:t>preventing or relieving the suffering of animals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10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10 (</w:t>
            </w:r>
            <w:r w:rsidR="00900C50" w:rsidRPr="00CE6D95">
              <w:t>natural environment</w:t>
            </w:r>
            <w:r w:rsidRPr="00CE6D95">
              <w:t>)</w:t>
            </w:r>
          </w:p>
        </w:tc>
      </w:tr>
      <w:tr w:rsidR="009D6C81" w:rsidRPr="00CE6D95" w:rsidTr="00F735E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D6C81" w:rsidRPr="00CE6D95" w:rsidRDefault="00B23684" w:rsidP="00CE6D95">
            <w:pPr>
              <w:pStyle w:val="Tabletext"/>
            </w:pPr>
            <w:r w:rsidRPr="00CE6D95">
              <w:t>11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D6C81" w:rsidRPr="00CE6D95" w:rsidRDefault="009D6C81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11 (</w:t>
            </w:r>
            <w:r w:rsidR="00900C50" w:rsidRPr="00CE6D95">
              <w:t xml:space="preserve">purposes </w:t>
            </w:r>
            <w:r w:rsidR="0016304C" w:rsidRPr="00CE6D95">
              <w:t xml:space="preserve">beneficial to the general public and </w:t>
            </w:r>
            <w:r w:rsidR="00900C50" w:rsidRPr="00CE6D95">
              <w:t>analogous to the other charitable purposes</w:t>
            </w:r>
            <w:r w:rsidRPr="00CE6D95">
              <w:t>)</w:t>
            </w:r>
          </w:p>
        </w:tc>
      </w:tr>
      <w:tr w:rsidR="00F735E9" w:rsidRPr="00CE6D95" w:rsidTr="00F735E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735E9" w:rsidRPr="00CE6D95" w:rsidRDefault="00F735E9" w:rsidP="00CE6D95">
            <w:pPr>
              <w:pStyle w:val="Tabletext"/>
            </w:pPr>
            <w:r w:rsidRPr="00CE6D95">
              <w:t>12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auto"/>
          </w:tcPr>
          <w:p w:rsidR="00F735E9" w:rsidRPr="00CE6D95" w:rsidRDefault="00F735E9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4 (another purpose that is beneficial to the community)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auto"/>
          </w:tcPr>
          <w:p w:rsidR="00F735E9" w:rsidRPr="00CE6D95" w:rsidRDefault="00F735E9" w:rsidP="00CE6D95">
            <w:pPr>
              <w:pStyle w:val="Tabletext"/>
            </w:pPr>
            <w:r w:rsidRPr="00CE6D95">
              <w:t>item</w:t>
            </w:r>
            <w:r w:rsidR="00CE6D95" w:rsidRPr="00CE6D95">
              <w:t> </w:t>
            </w:r>
            <w:r w:rsidRPr="00CE6D95">
              <w:t>1</w:t>
            </w:r>
            <w:r w:rsidR="00297870" w:rsidRPr="00CE6D95">
              <w:t>2</w:t>
            </w:r>
            <w:r w:rsidRPr="00CE6D95">
              <w:t xml:space="preserve"> (</w:t>
            </w:r>
            <w:r w:rsidR="009559DA" w:rsidRPr="00CE6D95">
              <w:t>advancing public debate</w:t>
            </w:r>
            <w:r w:rsidRPr="00CE6D95">
              <w:t>)</w:t>
            </w:r>
          </w:p>
        </w:tc>
      </w:tr>
    </w:tbl>
    <w:p w:rsidR="00FB2B61" w:rsidRPr="00CE6D95" w:rsidRDefault="00FB2B61" w:rsidP="00CE6D95">
      <w:pPr>
        <w:pStyle w:val="SubitemHead"/>
      </w:pPr>
      <w:r w:rsidRPr="00CE6D95">
        <w:t>Notices and requests</w:t>
      </w:r>
    </w:p>
    <w:p w:rsidR="00FB2B61" w:rsidRPr="00CE6D95" w:rsidRDefault="00FB2B61" w:rsidP="00CE6D95">
      <w:pPr>
        <w:pStyle w:val="Subitem"/>
      </w:pPr>
      <w:r w:rsidRPr="00CE6D95">
        <w:t>(4)</w:t>
      </w:r>
      <w:r w:rsidRPr="00CE6D95">
        <w:tab/>
        <w:t xml:space="preserve">A notice given under </w:t>
      </w:r>
      <w:r w:rsidR="00CE6D95" w:rsidRPr="00CE6D95">
        <w:t>paragraph (</w:t>
      </w:r>
      <w:r w:rsidRPr="00CE6D95">
        <w:t xml:space="preserve">1)(b), or a request made under </w:t>
      </w:r>
      <w:r w:rsidR="00CE6D95" w:rsidRPr="00CE6D95">
        <w:t>paragraph (</w:t>
      </w:r>
      <w:r w:rsidRPr="00CE6D95">
        <w:t>2)(</w:t>
      </w:r>
      <w:r w:rsidR="008A50CB" w:rsidRPr="00CE6D95">
        <w:t>c</w:t>
      </w:r>
      <w:r w:rsidRPr="00CE6D95">
        <w:t>), must be:</w:t>
      </w:r>
    </w:p>
    <w:p w:rsidR="00FB2B61" w:rsidRPr="00CE6D95" w:rsidRDefault="00FB2B61" w:rsidP="00CE6D95">
      <w:pPr>
        <w:pStyle w:val="paragraph"/>
      </w:pPr>
      <w:r w:rsidRPr="00CE6D95">
        <w:tab/>
        <w:t>(a)</w:t>
      </w:r>
      <w:r w:rsidRPr="00CE6D95">
        <w:tab/>
        <w:t>in the approved form; and</w:t>
      </w:r>
    </w:p>
    <w:p w:rsidR="00FB2B61" w:rsidRPr="00CE6D95" w:rsidRDefault="00FB2B61" w:rsidP="00CE6D95">
      <w:pPr>
        <w:pStyle w:val="paragraph"/>
      </w:pPr>
      <w:r w:rsidRPr="00CE6D95">
        <w:tab/>
        <w:t>(b)</w:t>
      </w:r>
      <w:r w:rsidRPr="00CE6D95">
        <w:tab/>
        <w:t>given to the Commissioner during the period of 1</w:t>
      </w:r>
      <w:r w:rsidR="00575CF0" w:rsidRPr="00CE6D95">
        <w:t>8</w:t>
      </w:r>
      <w:r w:rsidRPr="00CE6D95">
        <w:t xml:space="preserve"> months starting on the commencement day.</w:t>
      </w:r>
    </w:p>
    <w:p w:rsidR="00FB2B61" w:rsidRPr="00CE6D95" w:rsidRDefault="00FB2B61" w:rsidP="00CE6D95">
      <w:pPr>
        <w:pStyle w:val="notemargin"/>
      </w:pPr>
      <w:r w:rsidRPr="00CE6D95">
        <w:t>Note:</w:t>
      </w:r>
      <w:r w:rsidRPr="00CE6D95">
        <w:tab/>
        <w:t>Subdivision</w:t>
      </w:r>
      <w:r w:rsidR="00CE6D95" w:rsidRPr="00CE6D95">
        <w:t> </w:t>
      </w:r>
      <w:r w:rsidRPr="00CE6D95">
        <w:t>175</w:t>
      </w:r>
      <w:r w:rsidR="007A2068">
        <w:noBreakHyphen/>
      </w:r>
      <w:r w:rsidRPr="00CE6D95">
        <w:t>B of the ACNC Act imposes an administrative penalty if the notice or request contains a statement that is false or misleading in a material particular.</w:t>
      </w:r>
    </w:p>
    <w:p w:rsidR="00FE3710" w:rsidRPr="00CE6D95" w:rsidRDefault="00FE3710" w:rsidP="00CE6D95">
      <w:pPr>
        <w:pStyle w:val="ActHead8"/>
      </w:pPr>
      <w:bookmarkStart w:id="32" w:name="_Toc361151582"/>
      <w:r w:rsidRPr="00CE6D95">
        <w:t>Division</w:t>
      </w:r>
      <w:r w:rsidR="00CE6D95" w:rsidRPr="00CE6D95">
        <w:t> </w:t>
      </w:r>
      <w:r w:rsidRPr="00CE6D95">
        <w:t>2—Funds contributing to other funds</w:t>
      </w:r>
      <w:bookmarkEnd w:id="32"/>
    </w:p>
    <w:p w:rsidR="00F310C4" w:rsidRPr="00CE6D95" w:rsidRDefault="00F310C4" w:rsidP="00CE6D95">
      <w:pPr>
        <w:pStyle w:val="ItemHead"/>
      </w:pPr>
      <w:r w:rsidRPr="00CE6D95">
        <w:t>4  Funds contributing to other funds</w:t>
      </w:r>
    </w:p>
    <w:p w:rsidR="008277E0" w:rsidRPr="00CE6D95" w:rsidRDefault="00F310C4" w:rsidP="00CE6D95">
      <w:pPr>
        <w:pStyle w:val="Subitem"/>
      </w:pPr>
      <w:r w:rsidRPr="00CE6D95">
        <w:t>(1)</w:t>
      </w:r>
      <w:r w:rsidRPr="00CE6D95">
        <w:tab/>
        <w:t>This item applies to a</w:t>
      </w:r>
      <w:r w:rsidR="004F5326" w:rsidRPr="00CE6D95">
        <w:t xml:space="preserve"> fund</w:t>
      </w:r>
      <w:r w:rsidRPr="00CE6D95">
        <w:t xml:space="preserve"> that, on the day before the commencement day, </w:t>
      </w:r>
      <w:r w:rsidR="00AB7C87" w:rsidRPr="00CE6D95">
        <w:t xml:space="preserve">is </w:t>
      </w:r>
      <w:r w:rsidR="004F5326" w:rsidRPr="00CE6D95">
        <w:t xml:space="preserve">endorsed </w:t>
      </w:r>
      <w:r w:rsidR="008277E0" w:rsidRPr="00CE6D95">
        <w:t>as a contributing fund.</w:t>
      </w:r>
    </w:p>
    <w:p w:rsidR="004F5326" w:rsidRPr="00CE6D95" w:rsidRDefault="004F5326" w:rsidP="00CE6D95">
      <w:pPr>
        <w:pStyle w:val="Subitem"/>
      </w:pPr>
      <w:r w:rsidRPr="00CE6D95">
        <w:t>(2)</w:t>
      </w:r>
      <w:r w:rsidRPr="00CE6D95">
        <w:tab/>
        <w:t xml:space="preserve">The Commissioner of Taxation is treated as having endorsed the fund under </w:t>
      </w:r>
      <w:r w:rsidR="008277E0" w:rsidRPr="00CE6D95">
        <w:t>Subdivision</w:t>
      </w:r>
      <w:r w:rsidR="00CE6D95" w:rsidRPr="00CE6D95">
        <w:t> </w:t>
      </w:r>
      <w:r w:rsidR="008277E0" w:rsidRPr="00CE6D95">
        <w:t>50</w:t>
      </w:r>
      <w:r w:rsidR="007A2068">
        <w:noBreakHyphen/>
      </w:r>
      <w:r w:rsidR="008277E0" w:rsidRPr="00CE6D95">
        <w:t xml:space="preserve">B of the </w:t>
      </w:r>
      <w:r w:rsidR="008277E0" w:rsidRPr="00CE6D95">
        <w:rPr>
          <w:i/>
        </w:rPr>
        <w:t>Income Tax Assessment Act 1997</w:t>
      </w:r>
      <w:r w:rsidRPr="00CE6D95">
        <w:t xml:space="preserve"> on th</w:t>
      </w:r>
      <w:r w:rsidR="00443890" w:rsidRPr="00CE6D95">
        <w:t>e commencement day as exempt from income tax because the fund is covered by item</w:t>
      </w:r>
      <w:r w:rsidR="00CE6D95" w:rsidRPr="00CE6D95">
        <w:t> </w:t>
      </w:r>
      <w:r w:rsidR="00443890" w:rsidRPr="00CE6D95">
        <w:t>1.1 of the table in section</w:t>
      </w:r>
      <w:r w:rsidR="00CE6D95" w:rsidRPr="00CE6D95">
        <w:t> </w:t>
      </w:r>
      <w:r w:rsidR="00443890" w:rsidRPr="00CE6D95">
        <w:t>50</w:t>
      </w:r>
      <w:r w:rsidR="007A2068">
        <w:noBreakHyphen/>
      </w:r>
      <w:r w:rsidR="00443890" w:rsidRPr="00CE6D95">
        <w:t>5 of that Act (</w:t>
      </w:r>
      <w:r w:rsidR="00057CA1" w:rsidRPr="00CE6D95">
        <w:t xml:space="preserve">registered </w:t>
      </w:r>
      <w:r w:rsidR="00443890" w:rsidRPr="00CE6D95">
        <w:t>charity).</w:t>
      </w:r>
    </w:p>
    <w:p w:rsidR="00F310C4" w:rsidRPr="00CE6D95" w:rsidRDefault="00F310C4" w:rsidP="00CE6D95">
      <w:pPr>
        <w:pStyle w:val="Subitem"/>
      </w:pPr>
      <w:r w:rsidRPr="00CE6D95">
        <w:t>(3)</w:t>
      </w:r>
      <w:r w:rsidRPr="00CE6D95">
        <w:tab/>
        <w:t xml:space="preserve">The Commissioner of the </w:t>
      </w:r>
      <w:r w:rsidR="00EF715C" w:rsidRPr="00CE6D95">
        <w:t>ACNC</w:t>
      </w:r>
      <w:r w:rsidRPr="00CE6D95">
        <w:t xml:space="preserve"> is treated as having registered the </w:t>
      </w:r>
      <w:r w:rsidR="001E734C" w:rsidRPr="00CE6D95">
        <w:t>fund</w:t>
      </w:r>
      <w:r w:rsidRPr="00CE6D95">
        <w:t xml:space="preserve"> on the commencement day under Division</w:t>
      </w:r>
      <w:r w:rsidR="00CE6D95" w:rsidRPr="00CE6D95">
        <w:t> </w:t>
      </w:r>
      <w:r w:rsidRPr="00CE6D95">
        <w:t>30 of the ACNC Act as the type of entity mentioned in column 1 of item</w:t>
      </w:r>
      <w:r w:rsidR="00CE6D95" w:rsidRPr="00CE6D95">
        <w:t> </w:t>
      </w:r>
      <w:r w:rsidRPr="00CE6D95">
        <w:t>1 of the table in subsection</w:t>
      </w:r>
      <w:r w:rsidR="00CE6D95" w:rsidRPr="00CE6D95">
        <w:t> </w:t>
      </w:r>
      <w:r w:rsidRPr="00CE6D95">
        <w:t>25</w:t>
      </w:r>
      <w:r w:rsidR="007A2068">
        <w:noBreakHyphen/>
      </w:r>
      <w:r w:rsidRPr="00CE6D95">
        <w:t>5(5) of that Act (charity).</w:t>
      </w:r>
    </w:p>
    <w:p w:rsidR="00A828F0" w:rsidRPr="00CE6D95" w:rsidRDefault="00FE3710" w:rsidP="00CE6D95">
      <w:pPr>
        <w:pStyle w:val="Subitem"/>
      </w:pPr>
      <w:r w:rsidRPr="00CE6D95">
        <w:t>(4)</w:t>
      </w:r>
      <w:r w:rsidRPr="00CE6D95">
        <w:tab/>
      </w:r>
      <w:r w:rsidR="00CD4DC1" w:rsidRPr="00CE6D95">
        <w:t>The</w:t>
      </w:r>
      <w:r w:rsidR="001F78F9" w:rsidRPr="00CE6D95">
        <w:t xml:space="preserve"> purpose the fund has,</w:t>
      </w:r>
      <w:r w:rsidRPr="00CE6D95">
        <w:t xml:space="preserve"> on the day before the commencement day</w:t>
      </w:r>
      <w:r w:rsidR="001F78F9" w:rsidRPr="00CE6D95">
        <w:t>,</w:t>
      </w:r>
      <w:r w:rsidRPr="00CE6D95">
        <w:t xml:space="preserve"> is treated</w:t>
      </w:r>
      <w:r w:rsidR="00A828F0" w:rsidRPr="00CE6D95">
        <w:t xml:space="preserve"> as being a charitable purpose during the period:</w:t>
      </w:r>
    </w:p>
    <w:p w:rsidR="00A828F0" w:rsidRPr="00CE6D95" w:rsidRDefault="00A828F0" w:rsidP="00CE6D95">
      <w:pPr>
        <w:pStyle w:val="paragraph"/>
      </w:pPr>
      <w:r w:rsidRPr="00CE6D95">
        <w:tab/>
        <w:t>(a)</w:t>
      </w:r>
      <w:r w:rsidRPr="00CE6D95">
        <w:tab/>
        <w:t>starting on the commencement day; and</w:t>
      </w:r>
    </w:p>
    <w:p w:rsidR="00985C66" w:rsidRPr="00CE6D95" w:rsidRDefault="00A828F0" w:rsidP="00CE6D95">
      <w:pPr>
        <w:pStyle w:val="paragraph"/>
      </w:pPr>
      <w:r w:rsidRPr="00CE6D95">
        <w:tab/>
        <w:t>(b)</w:t>
      </w:r>
      <w:r w:rsidRPr="00CE6D95">
        <w:tab/>
        <w:t xml:space="preserve">ending </w:t>
      </w:r>
      <w:r w:rsidR="00ED7126" w:rsidRPr="00CE6D95">
        <w:t xml:space="preserve">on the day </w:t>
      </w:r>
      <w:r w:rsidR="006400AA" w:rsidRPr="00CE6D95">
        <w:t>(if any) the fund</w:t>
      </w:r>
      <w:r w:rsidR="00843E64" w:rsidRPr="00CE6D95">
        <w:t xml:space="preserve"> </w:t>
      </w:r>
      <w:r w:rsidR="006400AA" w:rsidRPr="00CE6D95">
        <w:t>cease</w:t>
      </w:r>
      <w:r w:rsidR="00ED7126" w:rsidRPr="00CE6D95">
        <w:t>s</w:t>
      </w:r>
      <w:r w:rsidR="006400AA" w:rsidRPr="00CE6D95">
        <w:t xml:space="preserve"> to </w:t>
      </w:r>
      <w:r w:rsidR="00985C66" w:rsidRPr="00CE6D95">
        <w:t xml:space="preserve">be entitled to be endorsed </w:t>
      </w:r>
      <w:r w:rsidR="008277E0" w:rsidRPr="00CE6D95">
        <w:t>as a contributing fund</w:t>
      </w:r>
      <w:r w:rsidR="00ED5A7D" w:rsidRPr="00CE6D95">
        <w:t xml:space="preserve"> (disregarding the amendments made by Schedule</w:t>
      </w:r>
      <w:r w:rsidR="00CE6D95" w:rsidRPr="00CE6D95">
        <w:t> </w:t>
      </w:r>
      <w:r w:rsidR="00ED5A7D" w:rsidRPr="00CE6D95">
        <w:t>1 to this Act)</w:t>
      </w:r>
      <w:r w:rsidR="00985C66" w:rsidRPr="00CE6D95">
        <w:t>.</w:t>
      </w:r>
    </w:p>
    <w:p w:rsidR="00FE3710" w:rsidRPr="00CE6D95" w:rsidRDefault="00FE3710" w:rsidP="00CE6D95">
      <w:pPr>
        <w:pStyle w:val="ItemHead"/>
      </w:pPr>
      <w:r w:rsidRPr="00CE6D95">
        <w:t xml:space="preserve">5  </w:t>
      </w:r>
      <w:r w:rsidR="0044103E" w:rsidRPr="00CE6D95">
        <w:t>O</w:t>
      </w:r>
      <w:r w:rsidRPr="00CE6D95">
        <w:t>pt</w:t>
      </w:r>
      <w:r w:rsidR="007A2068">
        <w:noBreakHyphen/>
      </w:r>
      <w:r w:rsidRPr="00CE6D95">
        <w:t>out</w:t>
      </w:r>
    </w:p>
    <w:p w:rsidR="00FE3710" w:rsidRPr="00CE6D95" w:rsidRDefault="00DF62BF" w:rsidP="00CE6D95">
      <w:pPr>
        <w:pStyle w:val="Item"/>
      </w:pPr>
      <w:r w:rsidRPr="00CE6D95">
        <w:t>I</w:t>
      </w:r>
      <w:r w:rsidR="00FE3710" w:rsidRPr="00CE6D95">
        <w:t xml:space="preserve">f, during the period of 12 months starting on the commencement day, </w:t>
      </w:r>
      <w:r w:rsidR="0044103E" w:rsidRPr="00CE6D95">
        <w:t>a</w:t>
      </w:r>
      <w:r w:rsidR="00FE3710" w:rsidRPr="00CE6D95">
        <w:t xml:space="preserve"> fund notifies the Commissioner of the ACNC, in the approved form, that the fund does not want item</w:t>
      </w:r>
      <w:r w:rsidR="00CE6D95" w:rsidRPr="00CE6D95">
        <w:t> </w:t>
      </w:r>
      <w:r w:rsidR="0044103E" w:rsidRPr="00CE6D95">
        <w:t>4</w:t>
      </w:r>
      <w:r w:rsidRPr="00CE6D95">
        <w:t xml:space="preserve"> to apply to the fund:</w:t>
      </w:r>
    </w:p>
    <w:p w:rsidR="00FE3710" w:rsidRPr="00CE6D95" w:rsidRDefault="00DF62BF" w:rsidP="00CE6D95">
      <w:pPr>
        <w:pStyle w:val="paragraph"/>
      </w:pPr>
      <w:r w:rsidRPr="00CE6D95">
        <w:tab/>
      </w:r>
      <w:r w:rsidR="0044103E" w:rsidRPr="00CE6D95">
        <w:t>(</w:t>
      </w:r>
      <w:r w:rsidRPr="00CE6D95">
        <w:t>a</w:t>
      </w:r>
      <w:r w:rsidR="00FE3710" w:rsidRPr="00CE6D95">
        <w:t>)</w:t>
      </w:r>
      <w:r w:rsidRPr="00CE6D95">
        <w:tab/>
        <w:t>i</w:t>
      </w:r>
      <w:r w:rsidR="0044103E" w:rsidRPr="00CE6D95">
        <w:t>tem</w:t>
      </w:r>
      <w:r w:rsidR="00CE6D95" w:rsidRPr="00CE6D95">
        <w:t> </w:t>
      </w:r>
      <w:r w:rsidR="0044103E" w:rsidRPr="00CE6D95">
        <w:t xml:space="preserve">4 </w:t>
      </w:r>
      <w:r w:rsidR="00FE3710" w:rsidRPr="00CE6D95">
        <w:t>do</w:t>
      </w:r>
      <w:r w:rsidR="0044103E" w:rsidRPr="00CE6D95">
        <w:t>es</w:t>
      </w:r>
      <w:r w:rsidR="00FE3710" w:rsidRPr="00CE6D95">
        <w:t xml:space="preserve"> not apply, and </w:t>
      </w:r>
      <w:r w:rsidR="0044103E" w:rsidRPr="00CE6D95">
        <w:t>is</w:t>
      </w:r>
      <w:r w:rsidR="00FE3710" w:rsidRPr="00CE6D95">
        <w:t xml:space="preserve"> taken nev</w:t>
      </w:r>
      <w:r w:rsidRPr="00CE6D95">
        <w:t>er to have applied, to the fund; and</w:t>
      </w:r>
    </w:p>
    <w:p w:rsidR="00FE3710" w:rsidRPr="00CE6D95" w:rsidRDefault="00DF62BF" w:rsidP="00CE6D95">
      <w:pPr>
        <w:pStyle w:val="paragraph"/>
      </w:pPr>
      <w:r w:rsidRPr="00CE6D95">
        <w:tab/>
        <w:t>(b</w:t>
      </w:r>
      <w:r w:rsidR="00FE3710" w:rsidRPr="00CE6D95">
        <w:t>)</w:t>
      </w:r>
      <w:r w:rsidR="00FE3710" w:rsidRPr="00CE6D95">
        <w:tab/>
      </w:r>
      <w:r w:rsidRPr="00CE6D95">
        <w:t>t</w:t>
      </w:r>
      <w:r w:rsidR="00FE3710" w:rsidRPr="00CE6D95">
        <w:t xml:space="preserve">he </w:t>
      </w:r>
      <w:r w:rsidR="0044103E" w:rsidRPr="00CE6D95">
        <w:t>Commissioner of Taxation is treated as having revoked, on the day before the commencement day, the entity</w:t>
      </w:r>
      <w:r w:rsidR="00FC50C2" w:rsidRPr="00CE6D95">
        <w:t>’</w:t>
      </w:r>
      <w:r w:rsidR="0044103E" w:rsidRPr="00CE6D95">
        <w:t>s endorsement mentioned in paragraph</w:t>
      </w:r>
      <w:r w:rsidR="00CE6D95" w:rsidRPr="00CE6D95">
        <w:t> </w:t>
      </w:r>
      <w:r w:rsidR="0044103E" w:rsidRPr="00CE6D95">
        <w:t>426</w:t>
      </w:r>
      <w:r w:rsidR="007A2068">
        <w:noBreakHyphen/>
      </w:r>
      <w:r w:rsidR="0044103E" w:rsidRPr="00CE6D95">
        <w:t>5(h) in Schedule</w:t>
      </w:r>
      <w:r w:rsidR="00CE6D95" w:rsidRPr="00CE6D95">
        <w:t> </w:t>
      </w:r>
      <w:r w:rsidR="0044103E" w:rsidRPr="00CE6D95">
        <w:t xml:space="preserve">1 to the </w:t>
      </w:r>
      <w:r w:rsidR="0044103E" w:rsidRPr="00CE6D95">
        <w:rPr>
          <w:i/>
        </w:rPr>
        <w:t>Taxation Administration Act 1953</w:t>
      </w:r>
      <w:r w:rsidR="0044103E" w:rsidRPr="00CE6D95">
        <w:t>.</w:t>
      </w:r>
    </w:p>
    <w:p w:rsidR="00A56035" w:rsidRPr="00CE6D95" w:rsidRDefault="00A56035" w:rsidP="00CE6D95">
      <w:pPr>
        <w:pStyle w:val="ActHead7"/>
        <w:pageBreakBefore/>
      </w:pPr>
      <w:bookmarkStart w:id="33" w:name="_Toc361151583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Pr="00CE6D95">
        <w:rPr>
          <w:rStyle w:val="CharAmPartNo"/>
        </w:rPr>
        <w:t>3</w:t>
      </w:r>
      <w:r w:rsidRPr="00CE6D95">
        <w:t>—</w:t>
      </w:r>
      <w:r w:rsidRPr="00CE6D95">
        <w:rPr>
          <w:rStyle w:val="CharAmPartText"/>
        </w:rPr>
        <w:t>Purposes of registered charitable trusts</w:t>
      </w:r>
      <w:bookmarkEnd w:id="33"/>
    </w:p>
    <w:p w:rsidR="00A56035" w:rsidRPr="00CE6D95" w:rsidRDefault="00A56035" w:rsidP="00CE6D95">
      <w:pPr>
        <w:pStyle w:val="ItemHead"/>
      </w:pPr>
      <w:r w:rsidRPr="00CE6D95">
        <w:t>6  Purpose of relief of poverty treated as being for public benefit</w:t>
      </w:r>
    </w:p>
    <w:p w:rsidR="00A56035" w:rsidRPr="00CE6D95" w:rsidRDefault="00A56035" w:rsidP="00CE6D95">
      <w:pPr>
        <w:pStyle w:val="Item"/>
      </w:pPr>
      <w:r w:rsidRPr="00CE6D95">
        <w:t xml:space="preserve">For the purposes of the </w:t>
      </w:r>
      <w:r w:rsidRPr="00CE6D95">
        <w:rPr>
          <w:i/>
        </w:rPr>
        <w:t>Charities Act 2013</w:t>
      </w:r>
      <w:r w:rsidRPr="00CE6D95">
        <w:t>, a purpose that a trust has on the day before the commencement day is treated, from the commencement day, as being for the public benefit, if:</w:t>
      </w:r>
    </w:p>
    <w:p w:rsidR="00A56035" w:rsidRPr="00CE6D95" w:rsidRDefault="00A56035" w:rsidP="00CE6D95">
      <w:pPr>
        <w:pStyle w:val="paragraph"/>
      </w:pPr>
      <w:r w:rsidRPr="00CE6D95">
        <w:tab/>
        <w:t>(a)</w:t>
      </w:r>
      <w:r w:rsidRPr="00CE6D95">
        <w:tab/>
        <w:t>the purpose is the relief of poverty; and</w:t>
      </w:r>
    </w:p>
    <w:p w:rsidR="00A56035" w:rsidRPr="00CE6D95" w:rsidRDefault="00A56035" w:rsidP="00CE6D95">
      <w:pPr>
        <w:pStyle w:val="paragraph"/>
      </w:pPr>
      <w:r w:rsidRPr="00CE6D95">
        <w:tab/>
        <w:t>(b)</w:t>
      </w:r>
      <w:r w:rsidRPr="00CE6D95">
        <w:tab/>
        <w:t xml:space="preserve">on the day before the commencement day, the trust is registered under the ACNC Act as the subtype of entity mentioned in </w:t>
      </w:r>
      <w:r w:rsidRPr="00CE6D95">
        <w:rPr>
          <w:lang w:eastAsia="en-US"/>
        </w:rPr>
        <w:t>column 2 of item</w:t>
      </w:r>
      <w:r w:rsidR="00CE6D95" w:rsidRPr="00CE6D95">
        <w:rPr>
          <w:lang w:eastAsia="en-US"/>
        </w:rPr>
        <w:t> </w:t>
      </w:r>
      <w:r w:rsidRPr="00CE6D95">
        <w:rPr>
          <w:lang w:eastAsia="en-US"/>
        </w:rPr>
        <w:t>1 of the table in subsection</w:t>
      </w:r>
      <w:r w:rsidR="00CE6D95" w:rsidRPr="00CE6D95">
        <w:rPr>
          <w:lang w:eastAsia="en-US"/>
        </w:rPr>
        <w:t> </w:t>
      </w:r>
      <w:r w:rsidRPr="00CE6D95">
        <w:rPr>
          <w:lang w:eastAsia="en-US"/>
        </w:rPr>
        <w:t>25</w:t>
      </w:r>
      <w:r w:rsidR="007A2068">
        <w:rPr>
          <w:lang w:eastAsia="en-US"/>
        </w:rPr>
        <w:noBreakHyphen/>
      </w:r>
      <w:r w:rsidRPr="00CE6D95">
        <w:rPr>
          <w:lang w:eastAsia="en-US"/>
        </w:rPr>
        <w:t>5(5) of that Act, as in force on the day before the commencement day</w:t>
      </w:r>
      <w:r w:rsidRPr="00CE6D95">
        <w:t>.</w:t>
      </w:r>
    </w:p>
    <w:p w:rsidR="00A56035" w:rsidRPr="00CE6D95" w:rsidRDefault="00A56035" w:rsidP="00CE6D95">
      <w:pPr>
        <w:pStyle w:val="ActHead7"/>
        <w:pageBreakBefore/>
      </w:pPr>
      <w:bookmarkStart w:id="34" w:name="_Toc361151584"/>
      <w:r w:rsidRPr="00CE6D95">
        <w:rPr>
          <w:rStyle w:val="CharAmPartNo"/>
        </w:rPr>
        <w:t>Part</w:t>
      </w:r>
      <w:r w:rsidR="00CE6D95" w:rsidRPr="00CE6D95">
        <w:rPr>
          <w:rStyle w:val="CharAmPartNo"/>
        </w:rPr>
        <w:t> </w:t>
      </w:r>
      <w:r w:rsidRPr="00CE6D95">
        <w:rPr>
          <w:rStyle w:val="CharAmPartNo"/>
        </w:rPr>
        <w:t>4</w:t>
      </w:r>
      <w:r w:rsidRPr="00CE6D95">
        <w:t>—</w:t>
      </w:r>
      <w:r w:rsidRPr="00CE6D95">
        <w:rPr>
          <w:rStyle w:val="CharAmPartText"/>
        </w:rPr>
        <w:t>Charitable purposes</w:t>
      </w:r>
      <w:bookmarkEnd w:id="34"/>
    </w:p>
    <w:p w:rsidR="00A56035" w:rsidRPr="00CE6D95" w:rsidRDefault="00A56035" w:rsidP="00CE6D95">
      <w:pPr>
        <w:pStyle w:val="ItemHead"/>
      </w:pPr>
      <w:r w:rsidRPr="00CE6D95">
        <w:t>7  Charitable purposes</w:t>
      </w:r>
    </w:p>
    <w:p w:rsidR="00151D2D" w:rsidRPr="00CE6D95" w:rsidRDefault="0064566F" w:rsidP="00CE6D95">
      <w:pPr>
        <w:pStyle w:val="Item"/>
      </w:pPr>
      <w:r w:rsidRPr="00CE6D95">
        <w:t xml:space="preserve">For the purposes of </w:t>
      </w:r>
      <w:r w:rsidR="00CE6D95" w:rsidRPr="00CE6D95">
        <w:t>paragraph (</w:t>
      </w:r>
      <w:r w:rsidR="00151D2D" w:rsidRPr="00CE6D95">
        <w:t xml:space="preserve">k) of the definition of </w:t>
      </w:r>
      <w:r w:rsidR="00151D2D" w:rsidRPr="00CE6D95">
        <w:rPr>
          <w:b/>
          <w:i/>
        </w:rPr>
        <w:t>charitable purpose</w:t>
      </w:r>
      <w:r w:rsidR="00151D2D" w:rsidRPr="00CE6D95">
        <w:t xml:space="preserve"> in subsection</w:t>
      </w:r>
      <w:r w:rsidR="00CE6D95" w:rsidRPr="00CE6D95">
        <w:t> </w:t>
      </w:r>
      <w:r w:rsidR="00DB7D6A" w:rsidRPr="00CE6D95">
        <w:t>12</w:t>
      </w:r>
      <w:r w:rsidR="00151D2D" w:rsidRPr="00CE6D95">
        <w:t xml:space="preserve">(1) of the </w:t>
      </w:r>
      <w:r w:rsidR="00151D2D" w:rsidRPr="00CE6D95">
        <w:rPr>
          <w:i/>
        </w:rPr>
        <w:t>Charities Act 2013</w:t>
      </w:r>
      <w:r w:rsidR="00663B6A" w:rsidRPr="00CE6D95">
        <w:t>,</w:t>
      </w:r>
      <w:r w:rsidR="00151D2D" w:rsidRPr="00CE6D95">
        <w:t xml:space="preserve"> a purpose:</w:t>
      </w:r>
    </w:p>
    <w:p w:rsidR="00151D2D" w:rsidRPr="00CE6D95" w:rsidRDefault="00151D2D" w:rsidP="00CE6D95">
      <w:pPr>
        <w:pStyle w:val="paragraph"/>
      </w:pPr>
      <w:r w:rsidRPr="00CE6D95">
        <w:tab/>
        <w:t>(a)</w:t>
      </w:r>
      <w:r w:rsidRPr="00CE6D95">
        <w:tab/>
        <w:t>that, on the day before the commencement day, was a charitable purpose; and</w:t>
      </w:r>
    </w:p>
    <w:p w:rsidR="00151D2D" w:rsidRPr="00CE6D95" w:rsidRDefault="00151D2D" w:rsidP="00CE6D95">
      <w:pPr>
        <w:pStyle w:val="paragraph"/>
      </w:pPr>
      <w:r w:rsidRPr="00CE6D95">
        <w:tab/>
        <w:t>(b)</w:t>
      </w:r>
      <w:r w:rsidRPr="00CE6D95">
        <w:tab/>
        <w:t xml:space="preserve">to which </w:t>
      </w:r>
      <w:r w:rsidR="00CE6D95" w:rsidRPr="00CE6D95">
        <w:t>paragraphs (</w:t>
      </w:r>
      <w:r w:rsidRPr="00CE6D95">
        <w:t>a) to (j) and (l) of that definition do not apply;</w:t>
      </w:r>
    </w:p>
    <w:p w:rsidR="00477AD5" w:rsidRDefault="00151D2D" w:rsidP="00CE6D95">
      <w:pPr>
        <w:pStyle w:val="Item"/>
      </w:pPr>
      <w:r w:rsidRPr="00CE6D95">
        <w:t xml:space="preserve">is </w:t>
      </w:r>
      <w:r w:rsidR="0064566F" w:rsidRPr="00CE6D95">
        <w:t xml:space="preserve">treated as being </w:t>
      </w:r>
      <w:r w:rsidRPr="00CE6D95">
        <w:t xml:space="preserve">a purpose beneficial to the general public that may reasonably be regarded as analogous to, or within the spirit of, any of the purposes mentioned in </w:t>
      </w:r>
      <w:r w:rsidR="00CE6D95" w:rsidRPr="00CE6D95">
        <w:t>paragraphs (</w:t>
      </w:r>
      <w:r w:rsidRPr="00CE6D95">
        <w:t>a) to (j) of that definition.</w:t>
      </w:r>
    </w:p>
    <w:p w:rsidR="003E237C" w:rsidRDefault="003E237C" w:rsidP="005411E8"/>
    <w:p w:rsidR="003E237C" w:rsidRDefault="003E237C">
      <w:pPr>
        <w:pStyle w:val="AssentBk"/>
        <w:keepNext/>
      </w:pPr>
    </w:p>
    <w:p w:rsidR="005411E8" w:rsidRDefault="005411E8">
      <w:pPr>
        <w:pStyle w:val="2ndRd"/>
        <w:keepNext/>
        <w:pBdr>
          <w:top w:val="single" w:sz="2" w:space="1" w:color="auto"/>
        </w:pBdr>
      </w:pPr>
    </w:p>
    <w:p w:rsidR="005411E8" w:rsidRDefault="005411E8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411E8" w:rsidRDefault="005411E8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2013</w:t>
      </w:r>
    </w:p>
    <w:p w:rsidR="005411E8" w:rsidRDefault="005411E8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2013</w:t>
      </w:r>
      <w:r>
        <w:t>]</w:t>
      </w:r>
    </w:p>
    <w:p w:rsidR="005411E8" w:rsidRDefault="005411E8"/>
    <w:p w:rsidR="003E237C" w:rsidRPr="005411E8" w:rsidRDefault="005411E8" w:rsidP="005411E8">
      <w:pPr>
        <w:framePr w:hSpace="180" w:wrap="around" w:vAnchor="text" w:hAnchor="page" w:x="2437" w:y="5066"/>
      </w:pPr>
      <w:r>
        <w:t>(151/13)</w:t>
      </w:r>
    </w:p>
    <w:p w:rsidR="005411E8" w:rsidRDefault="005411E8"/>
    <w:sectPr w:rsidR="005411E8" w:rsidSect="003E23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31" w:rsidRDefault="00CF2931" w:rsidP="0048364F">
      <w:pPr>
        <w:spacing w:line="240" w:lineRule="auto"/>
      </w:pPr>
      <w:r>
        <w:separator/>
      </w:r>
    </w:p>
  </w:endnote>
  <w:endnote w:type="continuationSeparator" w:id="0">
    <w:p w:rsidR="00CF2931" w:rsidRDefault="00CF29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95" w:rsidRDefault="00CE6D95" w:rsidP="00CE6D95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E8" w:rsidRDefault="005411E8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411E8" w:rsidRDefault="005411E8"/>
  <w:p w:rsidR="00CE6D95" w:rsidRDefault="00CE6D95" w:rsidP="00CE6D95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Default="00CF2931" w:rsidP="00CE6D95">
    <w:pPr>
      <w:pStyle w:val="Footer"/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Default="00CF2931" w:rsidP="00CE6D95">
    <w:pPr>
      <w:pBdr>
        <w:top w:val="single" w:sz="6" w:space="1" w:color="auto"/>
      </w:pBdr>
      <w:spacing w:before="120"/>
      <w:rPr>
        <w:sz w:val="18"/>
      </w:rPr>
    </w:pPr>
  </w:p>
  <w:p w:rsidR="00CF2931" w:rsidRDefault="00CF2931" w:rsidP="00B4130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8962D8">
      <w:rPr>
        <w:i/>
        <w:sz w:val="18"/>
      </w:rPr>
      <w:t>Charities (Consequential Amendments and Transitional Provisions)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8962D8">
      <w:rPr>
        <w:i/>
        <w:sz w:val="18"/>
      </w:rPr>
      <w:t>No. 96,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411E8">
      <w:rPr>
        <w:i/>
        <w:noProof/>
        <w:sz w:val="18"/>
      </w:rPr>
      <w:t>ii</w:t>
    </w:r>
    <w:r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Default="00CF2931" w:rsidP="00CE6D95">
    <w:pPr>
      <w:pBdr>
        <w:top w:val="single" w:sz="6" w:space="1" w:color="auto"/>
      </w:pBdr>
      <w:spacing w:before="120"/>
      <w:rPr>
        <w:sz w:val="18"/>
      </w:rPr>
    </w:pPr>
  </w:p>
  <w:p w:rsidR="00CF2931" w:rsidRDefault="00CF2931" w:rsidP="00B4130A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962D8">
      <w:rPr>
        <w:i/>
        <w:noProof/>
        <w:sz w:val="18"/>
      </w:rPr>
      <w:t>i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8962D8">
      <w:rPr>
        <w:i/>
        <w:sz w:val="18"/>
      </w:rPr>
      <w:t>Charities (Consequential Amendments and Transitional Provisions)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8962D8">
      <w:rPr>
        <w:i/>
        <w:sz w:val="18"/>
      </w:rPr>
      <w:t>No. 96, 2013</w:t>
    </w:r>
    <w:r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Pr="00A961C4" w:rsidRDefault="00CF2931" w:rsidP="00CE6D95">
    <w:pPr>
      <w:pBdr>
        <w:top w:val="single" w:sz="6" w:space="1" w:color="auto"/>
      </w:pBdr>
      <w:spacing w:before="120"/>
      <w:jc w:val="right"/>
      <w:rPr>
        <w:sz w:val="18"/>
      </w:rPr>
    </w:pPr>
  </w:p>
  <w:p w:rsidR="00CF2931" w:rsidRPr="00A961C4" w:rsidRDefault="00CF2931" w:rsidP="00B4130A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8962D8">
      <w:rPr>
        <w:i/>
        <w:noProof/>
        <w:sz w:val="18"/>
      </w:rPr>
      <w:t>22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8962D8">
      <w:rPr>
        <w:i/>
        <w:sz w:val="18"/>
      </w:rPr>
      <w:t>Charities (Consequential Amendments and Transitional Provisions)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8962D8">
      <w:rPr>
        <w:i/>
        <w:sz w:val="18"/>
      </w:rPr>
      <w:t>No. 96,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Pr="00A961C4" w:rsidRDefault="00CF2931" w:rsidP="00CE6D95">
    <w:pPr>
      <w:pBdr>
        <w:top w:val="single" w:sz="6" w:space="1" w:color="auto"/>
      </w:pBdr>
      <w:spacing w:before="120"/>
      <w:rPr>
        <w:sz w:val="18"/>
      </w:rPr>
    </w:pPr>
  </w:p>
  <w:p w:rsidR="00CF2931" w:rsidRPr="00A961C4" w:rsidRDefault="00CF2931" w:rsidP="00B4130A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8962D8">
      <w:rPr>
        <w:i/>
        <w:sz w:val="18"/>
      </w:rPr>
      <w:t>Charities (Consequential Amendments and Transitional Provisions)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8962D8">
      <w:rPr>
        <w:i/>
        <w:sz w:val="18"/>
      </w:rPr>
      <w:t>No. 96,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8962D8">
      <w:rPr>
        <w:i/>
        <w:noProof/>
        <w:sz w:val="18"/>
      </w:rPr>
      <w:t>23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Pr="00A961C4" w:rsidRDefault="00CF2931" w:rsidP="00CE6D95">
    <w:pPr>
      <w:pBdr>
        <w:top w:val="single" w:sz="6" w:space="1" w:color="auto"/>
      </w:pBdr>
      <w:spacing w:before="120"/>
      <w:rPr>
        <w:sz w:val="18"/>
      </w:rPr>
    </w:pPr>
  </w:p>
  <w:p w:rsidR="00CF2931" w:rsidRPr="00A961C4" w:rsidRDefault="00CF2931" w:rsidP="00B4130A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8962D8">
      <w:rPr>
        <w:i/>
        <w:sz w:val="18"/>
      </w:rPr>
      <w:t>Charities (Consequential Amendments and Transitional Provisions)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8962D8">
      <w:rPr>
        <w:i/>
        <w:sz w:val="18"/>
      </w:rPr>
      <w:t>No. 96,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8962D8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31" w:rsidRDefault="00CF2931" w:rsidP="0048364F">
      <w:pPr>
        <w:spacing w:line="240" w:lineRule="auto"/>
      </w:pPr>
      <w:r>
        <w:separator/>
      </w:r>
    </w:p>
  </w:footnote>
  <w:footnote w:type="continuationSeparator" w:id="0">
    <w:p w:rsidR="00CF2931" w:rsidRDefault="00CF29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Default="00CF2931" w:rsidP="00B4130A">
    <w:pPr>
      <w:pBdr>
        <w:bottom w:val="single" w:sz="12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Default="00CF2931" w:rsidP="00B4130A">
    <w:pPr>
      <w:pBdr>
        <w:bottom w:val="single" w:sz="12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Default="00CF2931" w:rsidP="00B413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Pr="00A961C4" w:rsidRDefault="00CF2931" w:rsidP="00B413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962D8">
      <w:rPr>
        <w:b/>
        <w:sz w:val="20"/>
      </w:rPr>
      <w:fldChar w:fldCharType="separate"/>
    </w:r>
    <w:r w:rsidR="008962D8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962D8">
      <w:rPr>
        <w:sz w:val="20"/>
      </w:rPr>
      <w:fldChar w:fldCharType="separate"/>
    </w:r>
    <w:r w:rsidR="008962D8">
      <w:rPr>
        <w:noProof/>
        <w:sz w:val="20"/>
      </w:rPr>
      <w:t>Transitional provisions</w:t>
    </w:r>
    <w:r>
      <w:rPr>
        <w:sz w:val="20"/>
      </w:rPr>
      <w:fldChar w:fldCharType="end"/>
    </w:r>
  </w:p>
  <w:p w:rsidR="00CF2931" w:rsidRPr="00A961C4" w:rsidRDefault="00CF2931" w:rsidP="00B413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962D8">
      <w:rPr>
        <w:b/>
        <w:sz w:val="20"/>
      </w:rPr>
      <w:fldChar w:fldCharType="separate"/>
    </w:r>
    <w:r w:rsidR="008962D8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962D8">
      <w:rPr>
        <w:sz w:val="20"/>
      </w:rPr>
      <w:fldChar w:fldCharType="separate"/>
    </w:r>
    <w:r w:rsidR="008962D8">
      <w:rPr>
        <w:noProof/>
        <w:sz w:val="20"/>
      </w:rPr>
      <w:t>Purposes of registered charitable trusts</w:t>
    </w:r>
    <w:r>
      <w:rPr>
        <w:sz w:val="20"/>
      </w:rPr>
      <w:fldChar w:fldCharType="end"/>
    </w:r>
  </w:p>
  <w:p w:rsidR="00CF2931" w:rsidRPr="00A961C4" w:rsidRDefault="00CF2931" w:rsidP="00B4130A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Pr="00A961C4" w:rsidRDefault="00CF2931" w:rsidP="00B413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962D8">
      <w:rPr>
        <w:sz w:val="20"/>
      </w:rPr>
      <w:fldChar w:fldCharType="separate"/>
    </w:r>
    <w:r w:rsidR="008962D8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962D8">
      <w:rPr>
        <w:b/>
        <w:sz w:val="20"/>
      </w:rPr>
      <w:fldChar w:fldCharType="separate"/>
    </w:r>
    <w:r w:rsidR="008962D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CF2931" w:rsidRPr="00A961C4" w:rsidRDefault="00CF2931" w:rsidP="00B4130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962D8">
      <w:rPr>
        <w:sz w:val="20"/>
      </w:rPr>
      <w:fldChar w:fldCharType="separate"/>
    </w:r>
    <w:r w:rsidR="008962D8">
      <w:rPr>
        <w:noProof/>
        <w:sz w:val="20"/>
      </w:rPr>
      <w:t>Charitable purposes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962D8">
      <w:rPr>
        <w:b/>
        <w:sz w:val="20"/>
      </w:rPr>
      <w:fldChar w:fldCharType="separate"/>
    </w:r>
    <w:r w:rsidR="008962D8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CF2931" w:rsidRPr="00A961C4" w:rsidRDefault="00CF2931" w:rsidP="00B4130A">
    <w:pPr>
      <w:pBdr>
        <w:bottom w:val="single" w:sz="6" w:space="1" w:color="auto"/>
      </w:pBd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1" w:rsidRPr="00A961C4" w:rsidRDefault="00CF2931" w:rsidP="00B413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F09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71"/>
    <w:rsid w:val="00000EF5"/>
    <w:rsid w:val="00004B3C"/>
    <w:rsid w:val="000102C6"/>
    <w:rsid w:val="000113BC"/>
    <w:rsid w:val="000136AF"/>
    <w:rsid w:val="00013898"/>
    <w:rsid w:val="00013AC6"/>
    <w:rsid w:val="0001414B"/>
    <w:rsid w:val="00024793"/>
    <w:rsid w:val="00031936"/>
    <w:rsid w:val="000346C9"/>
    <w:rsid w:val="000349B7"/>
    <w:rsid w:val="000363AE"/>
    <w:rsid w:val="00036C6C"/>
    <w:rsid w:val="00036F00"/>
    <w:rsid w:val="00057CA1"/>
    <w:rsid w:val="000614BF"/>
    <w:rsid w:val="000679DF"/>
    <w:rsid w:val="00072EFE"/>
    <w:rsid w:val="000732A9"/>
    <w:rsid w:val="00074742"/>
    <w:rsid w:val="000810F6"/>
    <w:rsid w:val="00082C02"/>
    <w:rsid w:val="000854BD"/>
    <w:rsid w:val="000907F9"/>
    <w:rsid w:val="000A2F07"/>
    <w:rsid w:val="000A4403"/>
    <w:rsid w:val="000A5BBC"/>
    <w:rsid w:val="000A5D10"/>
    <w:rsid w:val="000B43D4"/>
    <w:rsid w:val="000B63D7"/>
    <w:rsid w:val="000C14A4"/>
    <w:rsid w:val="000C586B"/>
    <w:rsid w:val="000C7C3F"/>
    <w:rsid w:val="000D05EF"/>
    <w:rsid w:val="000D24C5"/>
    <w:rsid w:val="000D2D06"/>
    <w:rsid w:val="000D4435"/>
    <w:rsid w:val="000D5255"/>
    <w:rsid w:val="000D5BED"/>
    <w:rsid w:val="000D5CEE"/>
    <w:rsid w:val="000D5FAB"/>
    <w:rsid w:val="000D7550"/>
    <w:rsid w:val="000E0F9D"/>
    <w:rsid w:val="000E1DFD"/>
    <w:rsid w:val="000E1F52"/>
    <w:rsid w:val="000E32FB"/>
    <w:rsid w:val="000F00F6"/>
    <w:rsid w:val="000F21C1"/>
    <w:rsid w:val="000F35C8"/>
    <w:rsid w:val="000F578E"/>
    <w:rsid w:val="001017DD"/>
    <w:rsid w:val="00103042"/>
    <w:rsid w:val="00103A84"/>
    <w:rsid w:val="0010745C"/>
    <w:rsid w:val="00111BA2"/>
    <w:rsid w:val="00112930"/>
    <w:rsid w:val="00117D50"/>
    <w:rsid w:val="00120905"/>
    <w:rsid w:val="0012297B"/>
    <w:rsid w:val="00123673"/>
    <w:rsid w:val="00126691"/>
    <w:rsid w:val="00143394"/>
    <w:rsid w:val="00144835"/>
    <w:rsid w:val="001474FA"/>
    <w:rsid w:val="00151D2D"/>
    <w:rsid w:val="00152D9C"/>
    <w:rsid w:val="0015372D"/>
    <w:rsid w:val="0015372F"/>
    <w:rsid w:val="0015493B"/>
    <w:rsid w:val="0016304C"/>
    <w:rsid w:val="0016341E"/>
    <w:rsid w:val="001643C9"/>
    <w:rsid w:val="00165568"/>
    <w:rsid w:val="001661DE"/>
    <w:rsid w:val="00166C2F"/>
    <w:rsid w:val="001716C9"/>
    <w:rsid w:val="0017682D"/>
    <w:rsid w:val="001825F3"/>
    <w:rsid w:val="00183286"/>
    <w:rsid w:val="00183706"/>
    <w:rsid w:val="001922E5"/>
    <w:rsid w:val="001939E1"/>
    <w:rsid w:val="00195382"/>
    <w:rsid w:val="001A3C55"/>
    <w:rsid w:val="001B33B7"/>
    <w:rsid w:val="001B5903"/>
    <w:rsid w:val="001B7A5D"/>
    <w:rsid w:val="001B7DF0"/>
    <w:rsid w:val="001C3C50"/>
    <w:rsid w:val="001C527E"/>
    <w:rsid w:val="001C6894"/>
    <w:rsid w:val="001C69C4"/>
    <w:rsid w:val="001D3104"/>
    <w:rsid w:val="001D3900"/>
    <w:rsid w:val="001E1BC8"/>
    <w:rsid w:val="001E2815"/>
    <w:rsid w:val="001E3590"/>
    <w:rsid w:val="001E734C"/>
    <w:rsid w:val="001E7407"/>
    <w:rsid w:val="001F0E71"/>
    <w:rsid w:val="001F434A"/>
    <w:rsid w:val="001F5EE1"/>
    <w:rsid w:val="001F78F9"/>
    <w:rsid w:val="002012DC"/>
    <w:rsid w:val="00201D27"/>
    <w:rsid w:val="002045F7"/>
    <w:rsid w:val="002057CD"/>
    <w:rsid w:val="002065B5"/>
    <w:rsid w:val="00207376"/>
    <w:rsid w:val="0020786D"/>
    <w:rsid w:val="002122AB"/>
    <w:rsid w:val="002167C8"/>
    <w:rsid w:val="00217584"/>
    <w:rsid w:val="00221F04"/>
    <w:rsid w:val="00222665"/>
    <w:rsid w:val="00222CA6"/>
    <w:rsid w:val="00223073"/>
    <w:rsid w:val="00230419"/>
    <w:rsid w:val="00240749"/>
    <w:rsid w:val="00240D7C"/>
    <w:rsid w:val="00242099"/>
    <w:rsid w:val="00242650"/>
    <w:rsid w:val="00245331"/>
    <w:rsid w:val="002453D3"/>
    <w:rsid w:val="002462EF"/>
    <w:rsid w:val="00247F92"/>
    <w:rsid w:val="00250E0A"/>
    <w:rsid w:val="0025301B"/>
    <w:rsid w:val="00253A38"/>
    <w:rsid w:val="002562F2"/>
    <w:rsid w:val="00260052"/>
    <w:rsid w:val="00261ED3"/>
    <w:rsid w:val="00263BE4"/>
    <w:rsid w:val="00272900"/>
    <w:rsid w:val="00272E0A"/>
    <w:rsid w:val="0027347B"/>
    <w:rsid w:val="00274E54"/>
    <w:rsid w:val="00284065"/>
    <w:rsid w:val="0028688B"/>
    <w:rsid w:val="0029145C"/>
    <w:rsid w:val="00292772"/>
    <w:rsid w:val="00297870"/>
    <w:rsid w:val="00297ECB"/>
    <w:rsid w:val="002A6E15"/>
    <w:rsid w:val="002B4AD7"/>
    <w:rsid w:val="002C14B0"/>
    <w:rsid w:val="002C30A9"/>
    <w:rsid w:val="002C373D"/>
    <w:rsid w:val="002C472B"/>
    <w:rsid w:val="002D043A"/>
    <w:rsid w:val="002E1F03"/>
    <w:rsid w:val="002E3A8E"/>
    <w:rsid w:val="002F0C7B"/>
    <w:rsid w:val="002F12B5"/>
    <w:rsid w:val="002F25C9"/>
    <w:rsid w:val="002F2EAA"/>
    <w:rsid w:val="003008A7"/>
    <w:rsid w:val="00300974"/>
    <w:rsid w:val="00314368"/>
    <w:rsid w:val="003173C4"/>
    <w:rsid w:val="00321565"/>
    <w:rsid w:val="00324A0B"/>
    <w:rsid w:val="003266EF"/>
    <w:rsid w:val="0033004B"/>
    <w:rsid w:val="003302B5"/>
    <w:rsid w:val="003321A2"/>
    <w:rsid w:val="00333076"/>
    <w:rsid w:val="003415D3"/>
    <w:rsid w:val="003436B0"/>
    <w:rsid w:val="00343892"/>
    <w:rsid w:val="003471EA"/>
    <w:rsid w:val="00352B0F"/>
    <w:rsid w:val="00361973"/>
    <w:rsid w:val="0037510F"/>
    <w:rsid w:val="00375492"/>
    <w:rsid w:val="00377E14"/>
    <w:rsid w:val="00380B96"/>
    <w:rsid w:val="00385866"/>
    <w:rsid w:val="00386609"/>
    <w:rsid w:val="003963EA"/>
    <w:rsid w:val="003A08A0"/>
    <w:rsid w:val="003A4CFC"/>
    <w:rsid w:val="003A5368"/>
    <w:rsid w:val="003A78D0"/>
    <w:rsid w:val="003C09AB"/>
    <w:rsid w:val="003C3758"/>
    <w:rsid w:val="003C5F2B"/>
    <w:rsid w:val="003D0BFE"/>
    <w:rsid w:val="003D5700"/>
    <w:rsid w:val="003D7178"/>
    <w:rsid w:val="003E03CC"/>
    <w:rsid w:val="003E09A2"/>
    <w:rsid w:val="003E18EE"/>
    <w:rsid w:val="003E237C"/>
    <w:rsid w:val="003E6CCC"/>
    <w:rsid w:val="003F2B91"/>
    <w:rsid w:val="0040140E"/>
    <w:rsid w:val="00402962"/>
    <w:rsid w:val="00402BE0"/>
    <w:rsid w:val="00404E76"/>
    <w:rsid w:val="0041153D"/>
    <w:rsid w:val="004116CD"/>
    <w:rsid w:val="00414315"/>
    <w:rsid w:val="0041757A"/>
    <w:rsid w:val="00423448"/>
    <w:rsid w:val="00424A0A"/>
    <w:rsid w:val="00424CA9"/>
    <w:rsid w:val="00430364"/>
    <w:rsid w:val="00430D1E"/>
    <w:rsid w:val="00431BBA"/>
    <w:rsid w:val="0043570A"/>
    <w:rsid w:val="0044103E"/>
    <w:rsid w:val="0044291A"/>
    <w:rsid w:val="00443890"/>
    <w:rsid w:val="004479DA"/>
    <w:rsid w:val="00454487"/>
    <w:rsid w:val="004544A0"/>
    <w:rsid w:val="00457016"/>
    <w:rsid w:val="0046037E"/>
    <w:rsid w:val="004645DF"/>
    <w:rsid w:val="00464A00"/>
    <w:rsid w:val="004667C1"/>
    <w:rsid w:val="0047056A"/>
    <w:rsid w:val="00477AD5"/>
    <w:rsid w:val="004821CC"/>
    <w:rsid w:val="00482341"/>
    <w:rsid w:val="0048364F"/>
    <w:rsid w:val="00486034"/>
    <w:rsid w:val="00486141"/>
    <w:rsid w:val="00486509"/>
    <w:rsid w:val="00487AAA"/>
    <w:rsid w:val="00490F51"/>
    <w:rsid w:val="00491BBA"/>
    <w:rsid w:val="00494ACA"/>
    <w:rsid w:val="00496F97"/>
    <w:rsid w:val="004A0B74"/>
    <w:rsid w:val="004A0DA7"/>
    <w:rsid w:val="004A10C1"/>
    <w:rsid w:val="004A4501"/>
    <w:rsid w:val="004A4C5F"/>
    <w:rsid w:val="004B1250"/>
    <w:rsid w:val="004C075B"/>
    <w:rsid w:val="004C5E46"/>
    <w:rsid w:val="004D0E64"/>
    <w:rsid w:val="004E1F81"/>
    <w:rsid w:val="004E2B8A"/>
    <w:rsid w:val="004E62BC"/>
    <w:rsid w:val="004E6991"/>
    <w:rsid w:val="004F1FAC"/>
    <w:rsid w:val="004F2253"/>
    <w:rsid w:val="004F5326"/>
    <w:rsid w:val="004F6037"/>
    <w:rsid w:val="004F6144"/>
    <w:rsid w:val="004F6E7F"/>
    <w:rsid w:val="005067A1"/>
    <w:rsid w:val="00514BC6"/>
    <w:rsid w:val="00516B8D"/>
    <w:rsid w:val="0052003E"/>
    <w:rsid w:val="00521940"/>
    <w:rsid w:val="0052533E"/>
    <w:rsid w:val="00534B7D"/>
    <w:rsid w:val="00537F4D"/>
    <w:rsid w:val="00537FBC"/>
    <w:rsid w:val="005411E8"/>
    <w:rsid w:val="00541B4A"/>
    <w:rsid w:val="00543469"/>
    <w:rsid w:val="00543961"/>
    <w:rsid w:val="0054611B"/>
    <w:rsid w:val="00553BAD"/>
    <w:rsid w:val="005540F5"/>
    <w:rsid w:val="00562DAE"/>
    <w:rsid w:val="00562FC2"/>
    <w:rsid w:val="00573ADD"/>
    <w:rsid w:val="00574C60"/>
    <w:rsid w:val="00575CF0"/>
    <w:rsid w:val="00575E2D"/>
    <w:rsid w:val="00577CAF"/>
    <w:rsid w:val="00583077"/>
    <w:rsid w:val="0058369E"/>
    <w:rsid w:val="00584811"/>
    <w:rsid w:val="005859BE"/>
    <w:rsid w:val="00586781"/>
    <w:rsid w:val="00586803"/>
    <w:rsid w:val="0059333D"/>
    <w:rsid w:val="00593AA6"/>
    <w:rsid w:val="0059406E"/>
    <w:rsid w:val="00594161"/>
    <w:rsid w:val="00594749"/>
    <w:rsid w:val="00594DB8"/>
    <w:rsid w:val="005950CC"/>
    <w:rsid w:val="005954BE"/>
    <w:rsid w:val="005A6C1A"/>
    <w:rsid w:val="005B4067"/>
    <w:rsid w:val="005B4C8F"/>
    <w:rsid w:val="005B55D4"/>
    <w:rsid w:val="005B64ED"/>
    <w:rsid w:val="005C3F41"/>
    <w:rsid w:val="005C60BF"/>
    <w:rsid w:val="005D10E6"/>
    <w:rsid w:val="005D2FBA"/>
    <w:rsid w:val="005D3FAF"/>
    <w:rsid w:val="005D67C4"/>
    <w:rsid w:val="005D6E43"/>
    <w:rsid w:val="005D7AA5"/>
    <w:rsid w:val="005E329D"/>
    <w:rsid w:val="005E46E4"/>
    <w:rsid w:val="005F209D"/>
    <w:rsid w:val="005F3E7B"/>
    <w:rsid w:val="00600219"/>
    <w:rsid w:val="00600E4A"/>
    <w:rsid w:val="00603FA9"/>
    <w:rsid w:val="006047C2"/>
    <w:rsid w:val="00613130"/>
    <w:rsid w:val="0062373D"/>
    <w:rsid w:val="006242A2"/>
    <w:rsid w:val="00627E92"/>
    <w:rsid w:val="00637F3D"/>
    <w:rsid w:val="006400AA"/>
    <w:rsid w:val="00643725"/>
    <w:rsid w:val="0064566F"/>
    <w:rsid w:val="00645BE8"/>
    <w:rsid w:val="00647710"/>
    <w:rsid w:val="006523C9"/>
    <w:rsid w:val="00653C4F"/>
    <w:rsid w:val="006631CC"/>
    <w:rsid w:val="00663B6A"/>
    <w:rsid w:val="00664231"/>
    <w:rsid w:val="006669E2"/>
    <w:rsid w:val="00667C96"/>
    <w:rsid w:val="00675D50"/>
    <w:rsid w:val="00676E7E"/>
    <w:rsid w:val="00677ABD"/>
    <w:rsid w:val="00677CC2"/>
    <w:rsid w:val="0068142A"/>
    <w:rsid w:val="00684A1A"/>
    <w:rsid w:val="00685F42"/>
    <w:rsid w:val="0069207B"/>
    <w:rsid w:val="00694CB7"/>
    <w:rsid w:val="006A3929"/>
    <w:rsid w:val="006A76CF"/>
    <w:rsid w:val="006A7C6D"/>
    <w:rsid w:val="006B2278"/>
    <w:rsid w:val="006B26DF"/>
    <w:rsid w:val="006C3AF7"/>
    <w:rsid w:val="006C5847"/>
    <w:rsid w:val="006C7F8C"/>
    <w:rsid w:val="006D0586"/>
    <w:rsid w:val="006D0F95"/>
    <w:rsid w:val="006D32B2"/>
    <w:rsid w:val="006D5E9E"/>
    <w:rsid w:val="006D7E33"/>
    <w:rsid w:val="006E0CB8"/>
    <w:rsid w:val="006F65C1"/>
    <w:rsid w:val="006F680D"/>
    <w:rsid w:val="006F7A23"/>
    <w:rsid w:val="00700B2C"/>
    <w:rsid w:val="00702DDB"/>
    <w:rsid w:val="00713084"/>
    <w:rsid w:val="00713C5D"/>
    <w:rsid w:val="00713CEB"/>
    <w:rsid w:val="00715739"/>
    <w:rsid w:val="007172EB"/>
    <w:rsid w:val="007225C2"/>
    <w:rsid w:val="00723CAD"/>
    <w:rsid w:val="00731E00"/>
    <w:rsid w:val="00740EBF"/>
    <w:rsid w:val="00741D73"/>
    <w:rsid w:val="007440B7"/>
    <w:rsid w:val="0074630B"/>
    <w:rsid w:val="007474BE"/>
    <w:rsid w:val="007502B7"/>
    <w:rsid w:val="00751CED"/>
    <w:rsid w:val="00752541"/>
    <w:rsid w:val="0075421F"/>
    <w:rsid w:val="00754D39"/>
    <w:rsid w:val="007621AB"/>
    <w:rsid w:val="00763300"/>
    <w:rsid w:val="007634AD"/>
    <w:rsid w:val="00766640"/>
    <w:rsid w:val="00767EE6"/>
    <w:rsid w:val="007715C9"/>
    <w:rsid w:val="00774EDD"/>
    <w:rsid w:val="007757EC"/>
    <w:rsid w:val="0077602B"/>
    <w:rsid w:val="00776670"/>
    <w:rsid w:val="0078292A"/>
    <w:rsid w:val="00782C8C"/>
    <w:rsid w:val="007902BB"/>
    <w:rsid w:val="0079120B"/>
    <w:rsid w:val="00795B1E"/>
    <w:rsid w:val="007A2068"/>
    <w:rsid w:val="007A4E07"/>
    <w:rsid w:val="007A68A6"/>
    <w:rsid w:val="007B0677"/>
    <w:rsid w:val="007B3AEE"/>
    <w:rsid w:val="007B62CB"/>
    <w:rsid w:val="007B7235"/>
    <w:rsid w:val="007C0F75"/>
    <w:rsid w:val="007D1DE1"/>
    <w:rsid w:val="007D2E1C"/>
    <w:rsid w:val="007D4778"/>
    <w:rsid w:val="007D4FC9"/>
    <w:rsid w:val="007E73AE"/>
    <w:rsid w:val="007E7D4A"/>
    <w:rsid w:val="007F10DF"/>
    <w:rsid w:val="007F22A1"/>
    <w:rsid w:val="007F24DB"/>
    <w:rsid w:val="008057A8"/>
    <w:rsid w:val="00805AE3"/>
    <w:rsid w:val="008109EB"/>
    <w:rsid w:val="00811A5A"/>
    <w:rsid w:val="008176F1"/>
    <w:rsid w:val="00817774"/>
    <w:rsid w:val="008230B5"/>
    <w:rsid w:val="008236B6"/>
    <w:rsid w:val="008277E0"/>
    <w:rsid w:val="00834D11"/>
    <w:rsid w:val="00835434"/>
    <w:rsid w:val="00840000"/>
    <w:rsid w:val="00843E3B"/>
    <w:rsid w:val="00843E64"/>
    <w:rsid w:val="00851ABB"/>
    <w:rsid w:val="00852EB7"/>
    <w:rsid w:val="00856A31"/>
    <w:rsid w:val="008573FA"/>
    <w:rsid w:val="00863BE4"/>
    <w:rsid w:val="00864227"/>
    <w:rsid w:val="00870C58"/>
    <w:rsid w:val="008714EC"/>
    <w:rsid w:val="00874669"/>
    <w:rsid w:val="008747D0"/>
    <w:rsid w:val="008754D0"/>
    <w:rsid w:val="00875FC9"/>
    <w:rsid w:val="00877978"/>
    <w:rsid w:val="00877D48"/>
    <w:rsid w:val="00887979"/>
    <w:rsid w:val="00887AB4"/>
    <w:rsid w:val="00892F3E"/>
    <w:rsid w:val="008943EA"/>
    <w:rsid w:val="00895662"/>
    <w:rsid w:val="00895A24"/>
    <w:rsid w:val="008962D8"/>
    <w:rsid w:val="0089660C"/>
    <w:rsid w:val="008A50CB"/>
    <w:rsid w:val="008A7C30"/>
    <w:rsid w:val="008B25A7"/>
    <w:rsid w:val="008B5483"/>
    <w:rsid w:val="008B78DB"/>
    <w:rsid w:val="008C3A7E"/>
    <w:rsid w:val="008C4772"/>
    <w:rsid w:val="008D0EE0"/>
    <w:rsid w:val="008D267A"/>
    <w:rsid w:val="008E69CE"/>
    <w:rsid w:val="008E6EDE"/>
    <w:rsid w:val="008F1B41"/>
    <w:rsid w:val="008F1E88"/>
    <w:rsid w:val="008F4F1C"/>
    <w:rsid w:val="00900C50"/>
    <w:rsid w:val="0090226D"/>
    <w:rsid w:val="00904436"/>
    <w:rsid w:val="00904B1F"/>
    <w:rsid w:val="00915988"/>
    <w:rsid w:val="00921ECA"/>
    <w:rsid w:val="009258FB"/>
    <w:rsid w:val="00926B0C"/>
    <w:rsid w:val="00932377"/>
    <w:rsid w:val="0093386E"/>
    <w:rsid w:val="00933F3D"/>
    <w:rsid w:val="009341F5"/>
    <w:rsid w:val="009402C9"/>
    <w:rsid w:val="009448A1"/>
    <w:rsid w:val="00951B81"/>
    <w:rsid w:val="00953F8E"/>
    <w:rsid w:val="00954974"/>
    <w:rsid w:val="00954A1A"/>
    <w:rsid w:val="009559DA"/>
    <w:rsid w:val="0096372D"/>
    <w:rsid w:val="00966637"/>
    <w:rsid w:val="0097264A"/>
    <w:rsid w:val="00973C1F"/>
    <w:rsid w:val="00974398"/>
    <w:rsid w:val="009756E3"/>
    <w:rsid w:val="00983FD8"/>
    <w:rsid w:val="00984BCF"/>
    <w:rsid w:val="00985C66"/>
    <w:rsid w:val="00987B81"/>
    <w:rsid w:val="009944EF"/>
    <w:rsid w:val="009946B5"/>
    <w:rsid w:val="009A52E9"/>
    <w:rsid w:val="009A72B4"/>
    <w:rsid w:val="009B285F"/>
    <w:rsid w:val="009B6F99"/>
    <w:rsid w:val="009B75E0"/>
    <w:rsid w:val="009C1C72"/>
    <w:rsid w:val="009C5495"/>
    <w:rsid w:val="009C6782"/>
    <w:rsid w:val="009D25B7"/>
    <w:rsid w:val="009D6C81"/>
    <w:rsid w:val="009E1581"/>
    <w:rsid w:val="009F5CB8"/>
    <w:rsid w:val="00A023A7"/>
    <w:rsid w:val="00A03119"/>
    <w:rsid w:val="00A14EF2"/>
    <w:rsid w:val="00A16F15"/>
    <w:rsid w:val="00A231E2"/>
    <w:rsid w:val="00A26DA3"/>
    <w:rsid w:val="00A3185C"/>
    <w:rsid w:val="00A3291A"/>
    <w:rsid w:val="00A35529"/>
    <w:rsid w:val="00A3751F"/>
    <w:rsid w:val="00A4302C"/>
    <w:rsid w:val="00A444A6"/>
    <w:rsid w:val="00A51BA2"/>
    <w:rsid w:val="00A51E58"/>
    <w:rsid w:val="00A54031"/>
    <w:rsid w:val="00A56035"/>
    <w:rsid w:val="00A57A2C"/>
    <w:rsid w:val="00A63BD7"/>
    <w:rsid w:val="00A64912"/>
    <w:rsid w:val="00A64CE1"/>
    <w:rsid w:val="00A67151"/>
    <w:rsid w:val="00A70A74"/>
    <w:rsid w:val="00A70A99"/>
    <w:rsid w:val="00A71F83"/>
    <w:rsid w:val="00A73CDC"/>
    <w:rsid w:val="00A7765C"/>
    <w:rsid w:val="00A828F0"/>
    <w:rsid w:val="00A91A33"/>
    <w:rsid w:val="00A93A8E"/>
    <w:rsid w:val="00A93FE7"/>
    <w:rsid w:val="00AA3A08"/>
    <w:rsid w:val="00AA6EB2"/>
    <w:rsid w:val="00AB1403"/>
    <w:rsid w:val="00AB7192"/>
    <w:rsid w:val="00AB7C84"/>
    <w:rsid w:val="00AB7C87"/>
    <w:rsid w:val="00AC008C"/>
    <w:rsid w:val="00AC41B0"/>
    <w:rsid w:val="00AC421F"/>
    <w:rsid w:val="00AC42E1"/>
    <w:rsid w:val="00AC4456"/>
    <w:rsid w:val="00AC4914"/>
    <w:rsid w:val="00AD18D7"/>
    <w:rsid w:val="00AD5641"/>
    <w:rsid w:val="00AD70BE"/>
    <w:rsid w:val="00AE0E75"/>
    <w:rsid w:val="00AE513C"/>
    <w:rsid w:val="00AF49F9"/>
    <w:rsid w:val="00B032D8"/>
    <w:rsid w:val="00B04FE2"/>
    <w:rsid w:val="00B0799A"/>
    <w:rsid w:val="00B07C4A"/>
    <w:rsid w:val="00B11186"/>
    <w:rsid w:val="00B119E1"/>
    <w:rsid w:val="00B2103C"/>
    <w:rsid w:val="00B22067"/>
    <w:rsid w:val="00B23684"/>
    <w:rsid w:val="00B24B2B"/>
    <w:rsid w:val="00B33B3C"/>
    <w:rsid w:val="00B374B2"/>
    <w:rsid w:val="00B4130A"/>
    <w:rsid w:val="00B41976"/>
    <w:rsid w:val="00B432C0"/>
    <w:rsid w:val="00B43AFE"/>
    <w:rsid w:val="00B514C6"/>
    <w:rsid w:val="00B520E7"/>
    <w:rsid w:val="00B54357"/>
    <w:rsid w:val="00B608B9"/>
    <w:rsid w:val="00B62760"/>
    <w:rsid w:val="00B72075"/>
    <w:rsid w:val="00B72E36"/>
    <w:rsid w:val="00B80C74"/>
    <w:rsid w:val="00B82DD3"/>
    <w:rsid w:val="00B8360B"/>
    <w:rsid w:val="00B86747"/>
    <w:rsid w:val="00B97F03"/>
    <w:rsid w:val="00BA1378"/>
    <w:rsid w:val="00BA2175"/>
    <w:rsid w:val="00BA3E7B"/>
    <w:rsid w:val="00BA4825"/>
    <w:rsid w:val="00BA5026"/>
    <w:rsid w:val="00BA7084"/>
    <w:rsid w:val="00BB70A5"/>
    <w:rsid w:val="00BB72E3"/>
    <w:rsid w:val="00BB7646"/>
    <w:rsid w:val="00BC04B9"/>
    <w:rsid w:val="00BC4C49"/>
    <w:rsid w:val="00BC5F2D"/>
    <w:rsid w:val="00BC7548"/>
    <w:rsid w:val="00BD0C1F"/>
    <w:rsid w:val="00BE61C1"/>
    <w:rsid w:val="00BE6533"/>
    <w:rsid w:val="00BE719A"/>
    <w:rsid w:val="00BE720A"/>
    <w:rsid w:val="00BF096D"/>
    <w:rsid w:val="00BF3C96"/>
    <w:rsid w:val="00BF4F65"/>
    <w:rsid w:val="00BF780C"/>
    <w:rsid w:val="00BF7A00"/>
    <w:rsid w:val="00C04976"/>
    <w:rsid w:val="00C06012"/>
    <w:rsid w:val="00C067E5"/>
    <w:rsid w:val="00C07180"/>
    <w:rsid w:val="00C164CA"/>
    <w:rsid w:val="00C203AD"/>
    <w:rsid w:val="00C20894"/>
    <w:rsid w:val="00C214D9"/>
    <w:rsid w:val="00C22D59"/>
    <w:rsid w:val="00C308A6"/>
    <w:rsid w:val="00C365CE"/>
    <w:rsid w:val="00C40E35"/>
    <w:rsid w:val="00C41402"/>
    <w:rsid w:val="00C414F2"/>
    <w:rsid w:val="00C42BF8"/>
    <w:rsid w:val="00C4439A"/>
    <w:rsid w:val="00C457F1"/>
    <w:rsid w:val="00C460AE"/>
    <w:rsid w:val="00C50043"/>
    <w:rsid w:val="00C50975"/>
    <w:rsid w:val="00C51D97"/>
    <w:rsid w:val="00C523D3"/>
    <w:rsid w:val="00C533FB"/>
    <w:rsid w:val="00C637C9"/>
    <w:rsid w:val="00C70010"/>
    <w:rsid w:val="00C70655"/>
    <w:rsid w:val="00C7156E"/>
    <w:rsid w:val="00C720AC"/>
    <w:rsid w:val="00C7573B"/>
    <w:rsid w:val="00C76CF3"/>
    <w:rsid w:val="00C84A26"/>
    <w:rsid w:val="00C857BA"/>
    <w:rsid w:val="00C872A6"/>
    <w:rsid w:val="00C9371F"/>
    <w:rsid w:val="00CA000A"/>
    <w:rsid w:val="00CA0605"/>
    <w:rsid w:val="00CA2FCD"/>
    <w:rsid w:val="00CA54F5"/>
    <w:rsid w:val="00CA5881"/>
    <w:rsid w:val="00CA7C18"/>
    <w:rsid w:val="00CA7C64"/>
    <w:rsid w:val="00CB121B"/>
    <w:rsid w:val="00CB24AD"/>
    <w:rsid w:val="00CB6CA6"/>
    <w:rsid w:val="00CC6DD0"/>
    <w:rsid w:val="00CC7B21"/>
    <w:rsid w:val="00CD3E22"/>
    <w:rsid w:val="00CD4DC1"/>
    <w:rsid w:val="00CD5C17"/>
    <w:rsid w:val="00CD7B10"/>
    <w:rsid w:val="00CE0A7A"/>
    <w:rsid w:val="00CE2D61"/>
    <w:rsid w:val="00CE6D95"/>
    <w:rsid w:val="00CE7ED2"/>
    <w:rsid w:val="00CF0BB2"/>
    <w:rsid w:val="00CF2931"/>
    <w:rsid w:val="00CF4549"/>
    <w:rsid w:val="00CF4D52"/>
    <w:rsid w:val="00D00673"/>
    <w:rsid w:val="00D0076C"/>
    <w:rsid w:val="00D00915"/>
    <w:rsid w:val="00D01E37"/>
    <w:rsid w:val="00D01EAB"/>
    <w:rsid w:val="00D01F47"/>
    <w:rsid w:val="00D02937"/>
    <w:rsid w:val="00D03C37"/>
    <w:rsid w:val="00D05442"/>
    <w:rsid w:val="00D13441"/>
    <w:rsid w:val="00D15398"/>
    <w:rsid w:val="00D15A6B"/>
    <w:rsid w:val="00D16F8E"/>
    <w:rsid w:val="00D243A3"/>
    <w:rsid w:val="00D33B47"/>
    <w:rsid w:val="00D41037"/>
    <w:rsid w:val="00D44C12"/>
    <w:rsid w:val="00D454AF"/>
    <w:rsid w:val="00D478F4"/>
    <w:rsid w:val="00D52EFE"/>
    <w:rsid w:val="00D545AF"/>
    <w:rsid w:val="00D6237F"/>
    <w:rsid w:val="00D63EF6"/>
    <w:rsid w:val="00D64F17"/>
    <w:rsid w:val="00D67E3B"/>
    <w:rsid w:val="00D70DFB"/>
    <w:rsid w:val="00D70EBE"/>
    <w:rsid w:val="00D71ABD"/>
    <w:rsid w:val="00D754A7"/>
    <w:rsid w:val="00D75A28"/>
    <w:rsid w:val="00D762EE"/>
    <w:rsid w:val="00D766DF"/>
    <w:rsid w:val="00D82720"/>
    <w:rsid w:val="00D850E5"/>
    <w:rsid w:val="00D86C8F"/>
    <w:rsid w:val="00D87F6D"/>
    <w:rsid w:val="00D91DA0"/>
    <w:rsid w:val="00D930C4"/>
    <w:rsid w:val="00D969BC"/>
    <w:rsid w:val="00DA1323"/>
    <w:rsid w:val="00DA35F2"/>
    <w:rsid w:val="00DA5F31"/>
    <w:rsid w:val="00DA6854"/>
    <w:rsid w:val="00DB4729"/>
    <w:rsid w:val="00DB7D6A"/>
    <w:rsid w:val="00DC6ECD"/>
    <w:rsid w:val="00DC72E0"/>
    <w:rsid w:val="00DC7AF8"/>
    <w:rsid w:val="00DC7F7F"/>
    <w:rsid w:val="00DD2CA7"/>
    <w:rsid w:val="00DE0052"/>
    <w:rsid w:val="00DE0501"/>
    <w:rsid w:val="00DE3E10"/>
    <w:rsid w:val="00DF62BF"/>
    <w:rsid w:val="00E0354A"/>
    <w:rsid w:val="00E03CCB"/>
    <w:rsid w:val="00E042D0"/>
    <w:rsid w:val="00E05704"/>
    <w:rsid w:val="00E065A8"/>
    <w:rsid w:val="00E12605"/>
    <w:rsid w:val="00E12EBF"/>
    <w:rsid w:val="00E166C5"/>
    <w:rsid w:val="00E23240"/>
    <w:rsid w:val="00E31191"/>
    <w:rsid w:val="00E32A96"/>
    <w:rsid w:val="00E34405"/>
    <w:rsid w:val="00E34A49"/>
    <w:rsid w:val="00E3717E"/>
    <w:rsid w:val="00E40E69"/>
    <w:rsid w:val="00E41E27"/>
    <w:rsid w:val="00E42E49"/>
    <w:rsid w:val="00E446B2"/>
    <w:rsid w:val="00E512C4"/>
    <w:rsid w:val="00E54292"/>
    <w:rsid w:val="00E54B21"/>
    <w:rsid w:val="00E63D23"/>
    <w:rsid w:val="00E64825"/>
    <w:rsid w:val="00E7183F"/>
    <w:rsid w:val="00E74841"/>
    <w:rsid w:val="00E74DC7"/>
    <w:rsid w:val="00E77395"/>
    <w:rsid w:val="00E805E5"/>
    <w:rsid w:val="00E83D53"/>
    <w:rsid w:val="00E8576F"/>
    <w:rsid w:val="00E872CB"/>
    <w:rsid w:val="00E87699"/>
    <w:rsid w:val="00E906A2"/>
    <w:rsid w:val="00E91874"/>
    <w:rsid w:val="00E93B04"/>
    <w:rsid w:val="00E95727"/>
    <w:rsid w:val="00EA4DAC"/>
    <w:rsid w:val="00EA7C30"/>
    <w:rsid w:val="00EB12E4"/>
    <w:rsid w:val="00EB1489"/>
    <w:rsid w:val="00EB286A"/>
    <w:rsid w:val="00EB7390"/>
    <w:rsid w:val="00EC51A9"/>
    <w:rsid w:val="00EC703C"/>
    <w:rsid w:val="00ED5A7D"/>
    <w:rsid w:val="00ED7126"/>
    <w:rsid w:val="00ED7EC9"/>
    <w:rsid w:val="00EE015B"/>
    <w:rsid w:val="00EE1A51"/>
    <w:rsid w:val="00EF2E3A"/>
    <w:rsid w:val="00EF3B2E"/>
    <w:rsid w:val="00EF425F"/>
    <w:rsid w:val="00EF715C"/>
    <w:rsid w:val="00F03206"/>
    <w:rsid w:val="00F03C65"/>
    <w:rsid w:val="00F047E2"/>
    <w:rsid w:val="00F0651B"/>
    <w:rsid w:val="00F07405"/>
    <w:rsid w:val="00F078DC"/>
    <w:rsid w:val="00F07E8C"/>
    <w:rsid w:val="00F13A31"/>
    <w:rsid w:val="00F13CDB"/>
    <w:rsid w:val="00F13E86"/>
    <w:rsid w:val="00F1526B"/>
    <w:rsid w:val="00F168BD"/>
    <w:rsid w:val="00F17045"/>
    <w:rsid w:val="00F22556"/>
    <w:rsid w:val="00F2303A"/>
    <w:rsid w:val="00F253BC"/>
    <w:rsid w:val="00F264D1"/>
    <w:rsid w:val="00F273BE"/>
    <w:rsid w:val="00F27545"/>
    <w:rsid w:val="00F310C4"/>
    <w:rsid w:val="00F41630"/>
    <w:rsid w:val="00F506A7"/>
    <w:rsid w:val="00F5200D"/>
    <w:rsid w:val="00F674FD"/>
    <w:rsid w:val="00F677A9"/>
    <w:rsid w:val="00F67ADF"/>
    <w:rsid w:val="00F72EF3"/>
    <w:rsid w:val="00F735E9"/>
    <w:rsid w:val="00F75E99"/>
    <w:rsid w:val="00F8109C"/>
    <w:rsid w:val="00F84CF5"/>
    <w:rsid w:val="00F865EF"/>
    <w:rsid w:val="00F87CF8"/>
    <w:rsid w:val="00F91AC7"/>
    <w:rsid w:val="00F975FB"/>
    <w:rsid w:val="00FA1CDA"/>
    <w:rsid w:val="00FA262B"/>
    <w:rsid w:val="00FA420B"/>
    <w:rsid w:val="00FA5336"/>
    <w:rsid w:val="00FA7776"/>
    <w:rsid w:val="00FB2B37"/>
    <w:rsid w:val="00FB2B61"/>
    <w:rsid w:val="00FB3C0B"/>
    <w:rsid w:val="00FB4D8A"/>
    <w:rsid w:val="00FB78ED"/>
    <w:rsid w:val="00FC50C2"/>
    <w:rsid w:val="00FC5F08"/>
    <w:rsid w:val="00FC7077"/>
    <w:rsid w:val="00FC761F"/>
    <w:rsid w:val="00FD059F"/>
    <w:rsid w:val="00FE3710"/>
    <w:rsid w:val="00FE5AF3"/>
    <w:rsid w:val="00FE5C8E"/>
    <w:rsid w:val="00FF00ED"/>
    <w:rsid w:val="00FF6125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D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E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E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E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E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E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6D95"/>
  </w:style>
  <w:style w:type="paragraph" w:customStyle="1" w:styleId="OPCParaBase">
    <w:name w:val="OPCParaBase"/>
    <w:link w:val="OPCParaBaseChar"/>
    <w:qFormat/>
    <w:rsid w:val="00CE6D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E6D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6D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6D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6D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6D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6D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6D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6D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6D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6D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E6D95"/>
  </w:style>
  <w:style w:type="paragraph" w:customStyle="1" w:styleId="Blocks">
    <w:name w:val="Blocks"/>
    <w:aliases w:val="bb"/>
    <w:basedOn w:val="OPCParaBase"/>
    <w:qFormat/>
    <w:rsid w:val="00CE6D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6D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6D95"/>
    <w:rPr>
      <w:i/>
    </w:rPr>
  </w:style>
  <w:style w:type="paragraph" w:customStyle="1" w:styleId="BoxList">
    <w:name w:val="BoxList"/>
    <w:aliases w:val="bl"/>
    <w:basedOn w:val="BoxText"/>
    <w:qFormat/>
    <w:rsid w:val="00CE6D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6D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6D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6D95"/>
    <w:pPr>
      <w:ind w:left="1985" w:hanging="851"/>
    </w:pPr>
  </w:style>
  <w:style w:type="character" w:customStyle="1" w:styleId="CharAmPartNo">
    <w:name w:val="CharAmPartNo"/>
    <w:basedOn w:val="OPCCharBase"/>
    <w:qFormat/>
    <w:rsid w:val="00CE6D95"/>
  </w:style>
  <w:style w:type="character" w:customStyle="1" w:styleId="CharAmPartText">
    <w:name w:val="CharAmPartText"/>
    <w:basedOn w:val="OPCCharBase"/>
    <w:qFormat/>
    <w:rsid w:val="00CE6D95"/>
  </w:style>
  <w:style w:type="character" w:customStyle="1" w:styleId="CharAmSchNo">
    <w:name w:val="CharAmSchNo"/>
    <w:basedOn w:val="OPCCharBase"/>
    <w:qFormat/>
    <w:rsid w:val="00CE6D95"/>
  </w:style>
  <w:style w:type="character" w:customStyle="1" w:styleId="CharAmSchText">
    <w:name w:val="CharAmSchText"/>
    <w:basedOn w:val="OPCCharBase"/>
    <w:qFormat/>
    <w:rsid w:val="00CE6D95"/>
  </w:style>
  <w:style w:type="character" w:customStyle="1" w:styleId="CharBoldItalic">
    <w:name w:val="CharBoldItalic"/>
    <w:basedOn w:val="OPCCharBase"/>
    <w:uiPriority w:val="1"/>
    <w:qFormat/>
    <w:rsid w:val="00CE6D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6D95"/>
  </w:style>
  <w:style w:type="character" w:customStyle="1" w:styleId="CharChapText">
    <w:name w:val="CharChapText"/>
    <w:basedOn w:val="OPCCharBase"/>
    <w:uiPriority w:val="1"/>
    <w:qFormat/>
    <w:rsid w:val="00CE6D95"/>
  </w:style>
  <w:style w:type="character" w:customStyle="1" w:styleId="CharDivNo">
    <w:name w:val="CharDivNo"/>
    <w:basedOn w:val="OPCCharBase"/>
    <w:uiPriority w:val="1"/>
    <w:qFormat/>
    <w:rsid w:val="00CE6D95"/>
  </w:style>
  <w:style w:type="character" w:customStyle="1" w:styleId="CharDivText">
    <w:name w:val="CharDivText"/>
    <w:basedOn w:val="OPCCharBase"/>
    <w:uiPriority w:val="1"/>
    <w:qFormat/>
    <w:rsid w:val="00CE6D95"/>
  </w:style>
  <w:style w:type="character" w:customStyle="1" w:styleId="CharItalic">
    <w:name w:val="CharItalic"/>
    <w:basedOn w:val="OPCCharBase"/>
    <w:uiPriority w:val="1"/>
    <w:qFormat/>
    <w:rsid w:val="00CE6D95"/>
    <w:rPr>
      <w:i/>
    </w:rPr>
  </w:style>
  <w:style w:type="character" w:customStyle="1" w:styleId="CharPartNo">
    <w:name w:val="CharPartNo"/>
    <w:basedOn w:val="OPCCharBase"/>
    <w:uiPriority w:val="1"/>
    <w:qFormat/>
    <w:rsid w:val="00CE6D95"/>
  </w:style>
  <w:style w:type="character" w:customStyle="1" w:styleId="CharPartText">
    <w:name w:val="CharPartText"/>
    <w:basedOn w:val="OPCCharBase"/>
    <w:uiPriority w:val="1"/>
    <w:qFormat/>
    <w:rsid w:val="00CE6D95"/>
  </w:style>
  <w:style w:type="character" w:customStyle="1" w:styleId="CharSectno">
    <w:name w:val="CharSectno"/>
    <w:basedOn w:val="OPCCharBase"/>
    <w:qFormat/>
    <w:rsid w:val="00CE6D95"/>
  </w:style>
  <w:style w:type="character" w:customStyle="1" w:styleId="CharSubdNo">
    <w:name w:val="CharSubdNo"/>
    <w:basedOn w:val="OPCCharBase"/>
    <w:uiPriority w:val="1"/>
    <w:qFormat/>
    <w:rsid w:val="00CE6D95"/>
  </w:style>
  <w:style w:type="character" w:customStyle="1" w:styleId="CharSubdText">
    <w:name w:val="CharSubdText"/>
    <w:basedOn w:val="OPCCharBase"/>
    <w:uiPriority w:val="1"/>
    <w:qFormat/>
    <w:rsid w:val="00CE6D95"/>
  </w:style>
  <w:style w:type="paragraph" w:customStyle="1" w:styleId="CTA--">
    <w:name w:val="CTA --"/>
    <w:basedOn w:val="OPCParaBase"/>
    <w:next w:val="Normal"/>
    <w:rsid w:val="00CE6D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6D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6D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6D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6D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6D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6D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6D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6D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6D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6D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6D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6D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6D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6D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6D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6D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6D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6D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6D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6D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6D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6D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6D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6D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6D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6D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6D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6D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6D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6D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E6D9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E6D9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6D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6D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6D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6D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6D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6D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6D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6D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6D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6D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6D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6D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6D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6D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6D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6D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6D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6D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6D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6D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6D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6D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6D9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6D9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E6D9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6D9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6D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6D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6D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6D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6D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6D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6D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6D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6D95"/>
    <w:rPr>
      <w:sz w:val="16"/>
    </w:rPr>
  </w:style>
  <w:style w:type="table" w:customStyle="1" w:styleId="CFlag">
    <w:name w:val="CFlag"/>
    <w:basedOn w:val="TableNormal"/>
    <w:uiPriority w:val="99"/>
    <w:rsid w:val="00CE6D9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E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E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E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E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E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4B125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4B12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2175"/>
    <w:rPr>
      <w:rFonts w:eastAsia="Times New Roman" w:cs="Times New Roman"/>
      <w:sz w:val="18"/>
      <w:lang w:eastAsia="en-AU"/>
    </w:rPr>
  </w:style>
  <w:style w:type="paragraph" w:customStyle="1" w:styleId="NotesHeading1">
    <w:name w:val="NotesHeading 1"/>
    <w:basedOn w:val="OPCParaBase"/>
    <w:next w:val="Normal"/>
    <w:rsid w:val="00CE6D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6D9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E6D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6D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E6D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6D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6D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6D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6D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CE6D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6D9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E6D9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CE6D95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CE6D9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CE6D9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6D9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6D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6D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E6D9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E6D9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E6D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CB"/>
    <w:rPr>
      <w:rFonts w:ascii="Tahoma" w:hAnsi="Tahoma" w:cs="Tahoma"/>
      <w:sz w:val="16"/>
      <w:szCs w:val="16"/>
    </w:rPr>
  </w:style>
  <w:style w:type="paragraph" w:customStyle="1" w:styleId="MadeunderText">
    <w:name w:val="MadeunderText"/>
    <w:basedOn w:val="OPCParaBase"/>
    <w:next w:val="Normal"/>
    <w:rsid w:val="00CE6D95"/>
    <w:pPr>
      <w:spacing w:before="240"/>
    </w:pPr>
    <w:rPr>
      <w:sz w:val="24"/>
      <w:szCs w:val="24"/>
    </w:rPr>
  </w:style>
  <w:style w:type="paragraph" w:customStyle="1" w:styleId="ShortTP1">
    <w:name w:val="ShortTP1"/>
    <w:basedOn w:val="ShortT"/>
    <w:link w:val="ShortTP1Char"/>
    <w:rsid w:val="003E237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E237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E237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E237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237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E237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E237C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3E237C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3E237C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3E237C"/>
  </w:style>
  <w:style w:type="character" w:customStyle="1" w:styleId="ShortTCPChar">
    <w:name w:val="ShortTCP Char"/>
    <w:basedOn w:val="ShortTChar"/>
    <w:link w:val="ShortTCP"/>
    <w:rsid w:val="003E237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E237C"/>
    <w:pPr>
      <w:spacing w:before="400"/>
    </w:pPr>
  </w:style>
  <w:style w:type="character" w:customStyle="1" w:styleId="ActNoCPChar">
    <w:name w:val="ActNoCP Char"/>
    <w:basedOn w:val="ActnoChar"/>
    <w:link w:val="ActNoCP"/>
    <w:rsid w:val="003E237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E23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11E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11E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11E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6D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E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E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E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E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E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6D95"/>
  </w:style>
  <w:style w:type="paragraph" w:customStyle="1" w:styleId="OPCParaBase">
    <w:name w:val="OPCParaBase"/>
    <w:link w:val="OPCParaBaseChar"/>
    <w:qFormat/>
    <w:rsid w:val="00CE6D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E6D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6D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6D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6D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6D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6D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6D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6D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6D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6D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E6D95"/>
  </w:style>
  <w:style w:type="paragraph" w:customStyle="1" w:styleId="Blocks">
    <w:name w:val="Blocks"/>
    <w:aliases w:val="bb"/>
    <w:basedOn w:val="OPCParaBase"/>
    <w:qFormat/>
    <w:rsid w:val="00CE6D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6D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6D95"/>
    <w:rPr>
      <w:i/>
    </w:rPr>
  </w:style>
  <w:style w:type="paragraph" w:customStyle="1" w:styleId="BoxList">
    <w:name w:val="BoxList"/>
    <w:aliases w:val="bl"/>
    <w:basedOn w:val="BoxText"/>
    <w:qFormat/>
    <w:rsid w:val="00CE6D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6D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6D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6D95"/>
    <w:pPr>
      <w:ind w:left="1985" w:hanging="851"/>
    </w:pPr>
  </w:style>
  <w:style w:type="character" w:customStyle="1" w:styleId="CharAmPartNo">
    <w:name w:val="CharAmPartNo"/>
    <w:basedOn w:val="OPCCharBase"/>
    <w:qFormat/>
    <w:rsid w:val="00CE6D95"/>
  </w:style>
  <w:style w:type="character" w:customStyle="1" w:styleId="CharAmPartText">
    <w:name w:val="CharAmPartText"/>
    <w:basedOn w:val="OPCCharBase"/>
    <w:qFormat/>
    <w:rsid w:val="00CE6D95"/>
  </w:style>
  <w:style w:type="character" w:customStyle="1" w:styleId="CharAmSchNo">
    <w:name w:val="CharAmSchNo"/>
    <w:basedOn w:val="OPCCharBase"/>
    <w:qFormat/>
    <w:rsid w:val="00CE6D95"/>
  </w:style>
  <w:style w:type="character" w:customStyle="1" w:styleId="CharAmSchText">
    <w:name w:val="CharAmSchText"/>
    <w:basedOn w:val="OPCCharBase"/>
    <w:qFormat/>
    <w:rsid w:val="00CE6D95"/>
  </w:style>
  <w:style w:type="character" w:customStyle="1" w:styleId="CharBoldItalic">
    <w:name w:val="CharBoldItalic"/>
    <w:basedOn w:val="OPCCharBase"/>
    <w:uiPriority w:val="1"/>
    <w:qFormat/>
    <w:rsid w:val="00CE6D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6D95"/>
  </w:style>
  <w:style w:type="character" w:customStyle="1" w:styleId="CharChapText">
    <w:name w:val="CharChapText"/>
    <w:basedOn w:val="OPCCharBase"/>
    <w:uiPriority w:val="1"/>
    <w:qFormat/>
    <w:rsid w:val="00CE6D95"/>
  </w:style>
  <w:style w:type="character" w:customStyle="1" w:styleId="CharDivNo">
    <w:name w:val="CharDivNo"/>
    <w:basedOn w:val="OPCCharBase"/>
    <w:uiPriority w:val="1"/>
    <w:qFormat/>
    <w:rsid w:val="00CE6D95"/>
  </w:style>
  <w:style w:type="character" w:customStyle="1" w:styleId="CharDivText">
    <w:name w:val="CharDivText"/>
    <w:basedOn w:val="OPCCharBase"/>
    <w:uiPriority w:val="1"/>
    <w:qFormat/>
    <w:rsid w:val="00CE6D95"/>
  </w:style>
  <w:style w:type="character" w:customStyle="1" w:styleId="CharItalic">
    <w:name w:val="CharItalic"/>
    <w:basedOn w:val="OPCCharBase"/>
    <w:uiPriority w:val="1"/>
    <w:qFormat/>
    <w:rsid w:val="00CE6D95"/>
    <w:rPr>
      <w:i/>
    </w:rPr>
  </w:style>
  <w:style w:type="character" w:customStyle="1" w:styleId="CharPartNo">
    <w:name w:val="CharPartNo"/>
    <w:basedOn w:val="OPCCharBase"/>
    <w:uiPriority w:val="1"/>
    <w:qFormat/>
    <w:rsid w:val="00CE6D95"/>
  </w:style>
  <w:style w:type="character" w:customStyle="1" w:styleId="CharPartText">
    <w:name w:val="CharPartText"/>
    <w:basedOn w:val="OPCCharBase"/>
    <w:uiPriority w:val="1"/>
    <w:qFormat/>
    <w:rsid w:val="00CE6D95"/>
  </w:style>
  <w:style w:type="character" w:customStyle="1" w:styleId="CharSectno">
    <w:name w:val="CharSectno"/>
    <w:basedOn w:val="OPCCharBase"/>
    <w:qFormat/>
    <w:rsid w:val="00CE6D95"/>
  </w:style>
  <w:style w:type="character" w:customStyle="1" w:styleId="CharSubdNo">
    <w:name w:val="CharSubdNo"/>
    <w:basedOn w:val="OPCCharBase"/>
    <w:uiPriority w:val="1"/>
    <w:qFormat/>
    <w:rsid w:val="00CE6D95"/>
  </w:style>
  <w:style w:type="character" w:customStyle="1" w:styleId="CharSubdText">
    <w:name w:val="CharSubdText"/>
    <w:basedOn w:val="OPCCharBase"/>
    <w:uiPriority w:val="1"/>
    <w:qFormat/>
    <w:rsid w:val="00CE6D95"/>
  </w:style>
  <w:style w:type="paragraph" w:customStyle="1" w:styleId="CTA--">
    <w:name w:val="CTA --"/>
    <w:basedOn w:val="OPCParaBase"/>
    <w:next w:val="Normal"/>
    <w:rsid w:val="00CE6D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6D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6D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6D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6D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6D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6D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6D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6D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6D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6D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6D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6D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6D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6D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6D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6D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6D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6D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6D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6D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6D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6D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6D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6D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6D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6D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6D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6D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6D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6D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E6D9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E6D9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6D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6D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6D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6D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6D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6D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6D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6D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6D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6D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6D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6D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6D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6D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6D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6D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6D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6D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6D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6D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6D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6D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6D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6D9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6D9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E6D9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6D9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6D9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6D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6D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6D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6D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6D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6D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6D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6D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6D95"/>
    <w:rPr>
      <w:sz w:val="16"/>
    </w:rPr>
  </w:style>
  <w:style w:type="table" w:customStyle="1" w:styleId="CFlag">
    <w:name w:val="CFlag"/>
    <w:basedOn w:val="TableNormal"/>
    <w:uiPriority w:val="99"/>
    <w:rsid w:val="00CE6D9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E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E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E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E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E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4B125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4B12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2175"/>
    <w:rPr>
      <w:rFonts w:eastAsia="Times New Roman" w:cs="Times New Roman"/>
      <w:sz w:val="18"/>
      <w:lang w:eastAsia="en-AU"/>
    </w:rPr>
  </w:style>
  <w:style w:type="paragraph" w:customStyle="1" w:styleId="NotesHeading1">
    <w:name w:val="NotesHeading 1"/>
    <w:basedOn w:val="OPCParaBase"/>
    <w:next w:val="Normal"/>
    <w:rsid w:val="00CE6D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6D9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E6D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6D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E6D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6D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6D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6D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6D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CE6D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6D9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E6D9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CE6D95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CE6D9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CE6D9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6D9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6D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6D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E6D9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E6D9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E6D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CB"/>
    <w:rPr>
      <w:rFonts w:ascii="Tahoma" w:hAnsi="Tahoma" w:cs="Tahoma"/>
      <w:sz w:val="16"/>
      <w:szCs w:val="16"/>
    </w:rPr>
  </w:style>
  <w:style w:type="paragraph" w:customStyle="1" w:styleId="MadeunderText">
    <w:name w:val="MadeunderText"/>
    <w:basedOn w:val="OPCParaBase"/>
    <w:next w:val="Normal"/>
    <w:rsid w:val="00CE6D95"/>
    <w:pPr>
      <w:spacing w:before="240"/>
    </w:pPr>
    <w:rPr>
      <w:sz w:val="24"/>
      <w:szCs w:val="24"/>
    </w:rPr>
  </w:style>
  <w:style w:type="paragraph" w:customStyle="1" w:styleId="ShortTP1">
    <w:name w:val="ShortTP1"/>
    <w:basedOn w:val="ShortT"/>
    <w:link w:val="ShortTP1Char"/>
    <w:rsid w:val="003E237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E237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E237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E237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237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E237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E237C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3E237C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3E237C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3E237C"/>
  </w:style>
  <w:style w:type="character" w:customStyle="1" w:styleId="ShortTCPChar">
    <w:name w:val="ShortTCP Char"/>
    <w:basedOn w:val="ShortTChar"/>
    <w:link w:val="ShortTCP"/>
    <w:rsid w:val="003E237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E237C"/>
    <w:pPr>
      <w:spacing w:before="400"/>
    </w:pPr>
  </w:style>
  <w:style w:type="character" w:customStyle="1" w:styleId="ActNoCPChar">
    <w:name w:val="ActNoCP Char"/>
    <w:basedOn w:val="ActnoChar"/>
    <w:link w:val="ActNoCP"/>
    <w:rsid w:val="003E237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E23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11E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11E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11E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5C7A-4193-4CEA-835E-4D696630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27</Pages>
  <Words>3627</Words>
  <Characters>20680</Characters>
  <Application>Microsoft Office Word</Application>
  <DocSecurity>0</DocSecurity>
  <PresentationFormat/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2013-05-23T03:29:00Z</cp:lastPrinted>
  <dcterms:created xsi:type="dcterms:W3CDTF">2014-02-11T04:42:00Z</dcterms:created>
  <dcterms:modified xsi:type="dcterms:W3CDTF">2014-02-11T04:44:00Z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Charities (Consequential Amendments and Transitional Provisions) Act 2013</vt:lpwstr>
  </property>
  <property fmtid="{D5CDD505-2E9C-101B-9397-08002B2CF9AE}" pid="4" name="Actno">
    <vt:lpwstr>No. 96, 2013</vt:lpwstr>
  </property>
  <property fmtid="{D5CDD505-2E9C-101B-9397-08002B2CF9AE}" pid="5" name="DoNotAsk">
    <vt:lpwstr>0</vt:lpwstr>
  </property>
  <property fmtid="{D5CDD505-2E9C-101B-9397-08002B2CF9AE}" pid="6" name="ChangedTitle">
    <vt:lpwstr/>
  </property>
  <property fmtid="{D5CDD505-2E9C-101B-9397-08002B2CF9AE}" pid="7" name="ID">
    <vt:lpwstr>OPC1669</vt:lpwstr>
  </property>
  <property fmtid="{D5CDD505-2E9C-101B-9397-08002B2CF9AE}" pid="8" name="Class">
    <vt:lpwstr/>
  </property>
  <property fmtid="{D5CDD505-2E9C-101B-9397-08002B2CF9AE}" pid="9" name="Type">
    <vt:lpwstr>BILL</vt:lpwstr>
  </property>
  <property fmtid="{D5CDD505-2E9C-101B-9397-08002B2CF9AE}" pid="10" name="DocType">
    <vt:lpwstr>AMD</vt:lpwstr>
  </property>
</Properties>
</file>