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8B" w:rsidRPr="00592AA3" w:rsidRDefault="00951F8B" w:rsidP="00951F8B">
      <w:pPr>
        <w:tabs>
          <w:tab w:val="right" w:pos="9072"/>
        </w:tabs>
        <w:spacing w:before="0"/>
        <w:ind w:right="91"/>
        <w:rPr>
          <w:rStyle w:val="AppendixCharChar"/>
        </w:rPr>
      </w:pPr>
    </w:p>
    <w:p w:rsidR="00951F8B" w:rsidRDefault="00951F8B" w:rsidP="00951F8B">
      <w:pPr>
        <w:tabs>
          <w:tab w:val="right" w:pos="7938"/>
        </w:tabs>
        <w:spacing w:before="0"/>
        <w:rPr>
          <w:sz w:val="16"/>
        </w:rPr>
      </w:pPr>
    </w:p>
    <w:p w:rsidR="00951F8B" w:rsidRDefault="00951F8B" w:rsidP="00951F8B">
      <w:pPr>
        <w:tabs>
          <w:tab w:val="right" w:pos="7938"/>
        </w:tabs>
        <w:spacing w:before="0"/>
        <w:rPr>
          <w:sz w:val="16"/>
        </w:rPr>
      </w:pPr>
    </w:p>
    <w:p w:rsidR="00951F8B" w:rsidRDefault="00951F8B" w:rsidP="00951F8B">
      <w:pPr>
        <w:spacing w:before="0"/>
        <w:ind w:left="142" w:right="91"/>
        <w:jc w:val="center"/>
      </w:pPr>
    </w:p>
    <w:p w:rsidR="00951F8B" w:rsidRDefault="00951F8B" w:rsidP="00951F8B">
      <w:pPr>
        <w:spacing w:before="0"/>
        <w:ind w:left="142" w:right="91"/>
        <w:jc w:val="center"/>
      </w:pPr>
    </w:p>
    <w:p w:rsidR="00951F8B" w:rsidRPr="00FB0B92" w:rsidRDefault="00951F8B" w:rsidP="00951F8B">
      <w:pPr>
        <w:spacing w:before="0"/>
        <w:ind w:left="142" w:right="91"/>
        <w:jc w:val="center"/>
        <w:rPr>
          <w:b/>
          <w:sz w:val="26"/>
          <w:szCs w:val="26"/>
        </w:rPr>
      </w:pPr>
      <w:r w:rsidRPr="00FB0B92">
        <w:rPr>
          <w:b/>
          <w:sz w:val="26"/>
          <w:szCs w:val="26"/>
        </w:rPr>
        <w:t>COMMONWEALTH OF AUSTRALIA</w:t>
      </w:r>
    </w:p>
    <w:p w:rsidR="00951F8B" w:rsidRPr="00FB0B92" w:rsidRDefault="00951F8B" w:rsidP="00951F8B">
      <w:pPr>
        <w:spacing w:before="0"/>
        <w:ind w:left="142" w:right="91"/>
        <w:jc w:val="center"/>
        <w:rPr>
          <w:sz w:val="26"/>
          <w:szCs w:val="26"/>
        </w:rPr>
      </w:pPr>
    </w:p>
    <w:p w:rsidR="00951F8B" w:rsidRPr="00FB0B92" w:rsidRDefault="00951F8B" w:rsidP="00951F8B">
      <w:pPr>
        <w:spacing w:before="0"/>
        <w:ind w:left="142" w:right="91"/>
        <w:jc w:val="center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b/>
          <w:i/>
          <w:sz w:val="26"/>
          <w:szCs w:val="26"/>
        </w:rPr>
      </w:pPr>
      <w:r w:rsidRPr="00FB0B92">
        <w:rPr>
          <w:b/>
          <w:i/>
          <w:sz w:val="26"/>
          <w:szCs w:val="26"/>
        </w:rPr>
        <w:t>The</w:t>
      </w:r>
      <w:r w:rsidRPr="00FB0B92">
        <w:rPr>
          <w:b/>
          <w:sz w:val="26"/>
          <w:szCs w:val="26"/>
        </w:rPr>
        <w:t xml:space="preserve"> </w:t>
      </w:r>
      <w:r w:rsidRPr="00FB0B92">
        <w:rPr>
          <w:b/>
          <w:i/>
          <w:sz w:val="26"/>
          <w:szCs w:val="26"/>
        </w:rPr>
        <w:t xml:space="preserve">Constitution </w:t>
      </w: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b/>
          <w:i/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b/>
          <w:i/>
          <w:sz w:val="26"/>
          <w:szCs w:val="26"/>
        </w:rPr>
      </w:pPr>
      <w:r w:rsidRPr="00FB0B92">
        <w:rPr>
          <w:b/>
          <w:sz w:val="26"/>
          <w:szCs w:val="26"/>
        </w:rPr>
        <w:t>ADMINISTRATIVE ARRANGEMENTS ORDER</w:t>
      </w: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jc w:val="center"/>
        <w:rPr>
          <w:sz w:val="26"/>
          <w:szCs w:val="26"/>
        </w:rPr>
      </w:pPr>
    </w:p>
    <w:p w:rsidR="00951F8B" w:rsidRPr="00FB0B92" w:rsidRDefault="00951F8B" w:rsidP="00951F8B">
      <w:pPr>
        <w:tabs>
          <w:tab w:val="right" w:leader="dot" w:pos="7938"/>
        </w:tabs>
        <w:spacing w:before="0" w:line="240" w:lineRule="exact"/>
        <w:ind w:left="142" w:right="91"/>
        <w:rPr>
          <w:sz w:val="26"/>
          <w:szCs w:val="26"/>
        </w:rPr>
      </w:pPr>
      <w:r w:rsidRPr="00FB0B92">
        <w:rPr>
          <w:sz w:val="26"/>
          <w:szCs w:val="26"/>
        </w:rPr>
        <w:t>I, QUENTIN ALICE LOUISE BRYCE, Governor-General of the Commonwealth of Australia, acting with the advice of the Federal Executive Council, order that the Administrative Arrangements Order made on 9</w:t>
      </w:r>
      <w:r w:rsidR="00FA493D">
        <w:rPr>
          <w:sz w:val="26"/>
          <w:szCs w:val="26"/>
        </w:rPr>
        <w:t> </w:t>
      </w:r>
      <w:r w:rsidRPr="00FB0B92">
        <w:rPr>
          <w:sz w:val="26"/>
          <w:szCs w:val="26"/>
        </w:rPr>
        <w:t>February 2012 be amended as set out in the Schedule.</w:t>
      </w: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567"/>
          <w:tab w:val="left" w:pos="1134"/>
        </w:tabs>
        <w:ind w:left="720" w:hanging="720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567"/>
          <w:tab w:val="left" w:pos="1134"/>
        </w:tabs>
        <w:ind w:left="4320"/>
        <w:rPr>
          <w:sz w:val="26"/>
          <w:szCs w:val="26"/>
        </w:rPr>
      </w:pPr>
      <w:r w:rsidRPr="00FB0B92">
        <w:rPr>
          <w:sz w:val="26"/>
          <w:szCs w:val="26"/>
        </w:rPr>
        <w:t xml:space="preserve">Signed and sealed with the Great Seal of Australia on </w:t>
      </w:r>
      <w:bookmarkStart w:id="0" w:name="_GoBack"/>
      <w:bookmarkEnd w:id="0"/>
      <w:r w:rsidR="00FA493D">
        <w:rPr>
          <w:sz w:val="26"/>
          <w:szCs w:val="26"/>
        </w:rPr>
        <w:t xml:space="preserve">25 March </w:t>
      </w:r>
      <w:r w:rsidRPr="00FB0B92">
        <w:rPr>
          <w:sz w:val="26"/>
          <w:szCs w:val="26"/>
        </w:rPr>
        <w:t>2013</w:t>
      </w:r>
    </w:p>
    <w:p w:rsidR="00951F8B" w:rsidRPr="00FB0B92" w:rsidRDefault="00951F8B" w:rsidP="00951F8B">
      <w:pPr>
        <w:tabs>
          <w:tab w:val="left" w:pos="567"/>
          <w:tab w:val="left" w:pos="1134"/>
        </w:tabs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5954"/>
        </w:tabs>
        <w:spacing w:before="0" w:line="240" w:lineRule="exact"/>
        <w:ind w:left="142" w:right="91"/>
        <w:rPr>
          <w:sz w:val="26"/>
          <w:szCs w:val="26"/>
        </w:rPr>
      </w:pPr>
      <w:r w:rsidRPr="00FB0B92">
        <w:rPr>
          <w:sz w:val="26"/>
          <w:szCs w:val="26"/>
        </w:rPr>
        <w:tab/>
        <w:t>Governor-General</w:t>
      </w: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  <w:r w:rsidRPr="00FB0B92">
        <w:rPr>
          <w:sz w:val="26"/>
          <w:szCs w:val="26"/>
        </w:rPr>
        <w:t>By Her Excellency’s Command</w:t>
      </w: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</w:p>
    <w:p w:rsidR="00951F8B" w:rsidRPr="00FB0B92" w:rsidRDefault="00951F8B" w:rsidP="00951F8B">
      <w:pPr>
        <w:tabs>
          <w:tab w:val="left" w:pos="7371"/>
        </w:tabs>
        <w:spacing w:before="0" w:line="240" w:lineRule="exact"/>
        <w:ind w:left="142" w:right="91"/>
        <w:rPr>
          <w:sz w:val="26"/>
          <w:szCs w:val="26"/>
        </w:rPr>
      </w:pPr>
      <w:r w:rsidRPr="00FB0B92">
        <w:rPr>
          <w:sz w:val="26"/>
          <w:szCs w:val="26"/>
        </w:rPr>
        <w:t>Prime Minister</w:t>
      </w:r>
    </w:p>
    <w:p w:rsidR="00951F8B" w:rsidRDefault="00951F8B">
      <w:pPr>
        <w:sectPr w:rsidR="00951F8B" w:rsidSect="00CB1328">
          <w:footerReference w:type="first" r:id="rId8"/>
          <w:pgSz w:w="11907" w:h="16840" w:code="9"/>
          <w:pgMar w:top="1134" w:right="1797" w:bottom="1134" w:left="1797" w:header="720" w:footer="720" w:gutter="0"/>
          <w:cols w:space="720"/>
          <w:docGrid w:linePitch="360"/>
        </w:sectPr>
      </w:pPr>
    </w:p>
    <w:p w:rsidR="00951F8B" w:rsidRDefault="00951F8B" w:rsidP="00951F8B">
      <w:pPr>
        <w:pStyle w:val="Title"/>
        <w:tabs>
          <w:tab w:val="left" w:pos="1418"/>
        </w:tabs>
        <w:rPr>
          <w:sz w:val="24"/>
        </w:rPr>
      </w:pPr>
      <w:r>
        <w:rPr>
          <w:sz w:val="24"/>
        </w:rPr>
        <w:lastRenderedPageBreak/>
        <w:t>SCHEDULE</w:t>
      </w: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</w:rPr>
      </w:pP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</w:rPr>
      </w:pPr>
      <w:r>
        <w:rPr>
          <w:b/>
        </w:rPr>
        <w:t xml:space="preserve">AMENDMENTS TO THE </w:t>
      </w: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</w:rPr>
      </w:pPr>
      <w:r>
        <w:rPr>
          <w:b/>
        </w:rPr>
        <w:t>ADMINISTRATIVE ARRANGEMENTS ORDER</w:t>
      </w: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</w:rPr>
      </w:pPr>
    </w:p>
    <w:p w:rsidR="00951F8B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</w:p>
    <w:p w:rsidR="00951F8B" w:rsidRPr="00C1757D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  <w:r w:rsidRPr="00C1757D">
        <w:rPr>
          <w:b/>
          <w:szCs w:val="24"/>
        </w:rPr>
        <w:t xml:space="preserve">PART </w:t>
      </w:r>
      <w:r>
        <w:rPr>
          <w:b/>
          <w:szCs w:val="24"/>
        </w:rPr>
        <w:t>4</w:t>
      </w:r>
      <w:r w:rsidRPr="00C1757D">
        <w:rPr>
          <w:b/>
          <w:szCs w:val="24"/>
        </w:rPr>
        <w:tab/>
        <w:t xml:space="preserve">THE DEPARTMENT OF </w:t>
      </w:r>
      <w:r>
        <w:rPr>
          <w:b/>
          <w:szCs w:val="24"/>
        </w:rPr>
        <w:t>CLIMATE CHANGE AND ENERGY EFFICIENCY</w:t>
      </w:r>
    </w:p>
    <w:p w:rsidR="00951F8B" w:rsidRPr="00C1757D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  <w:r w:rsidRPr="00C1757D">
        <w:rPr>
          <w:b/>
          <w:bCs/>
          <w:szCs w:val="24"/>
        </w:rPr>
        <w:tab/>
      </w:r>
    </w:p>
    <w:p w:rsidR="00951F8B" w:rsidRPr="00CC388B" w:rsidRDefault="00951F8B" w:rsidP="00951F8B">
      <w:pPr>
        <w:tabs>
          <w:tab w:val="left" w:pos="1418"/>
        </w:tabs>
        <w:spacing w:before="0"/>
        <w:ind w:left="2836" w:hanging="1418"/>
        <w:rPr>
          <w:szCs w:val="24"/>
        </w:rPr>
      </w:pPr>
      <w:r w:rsidRPr="00CC388B">
        <w:rPr>
          <w:szCs w:val="24"/>
        </w:rPr>
        <w:t>Delete the Part</w:t>
      </w:r>
    </w:p>
    <w:p w:rsidR="00951F8B" w:rsidRPr="00CC388B" w:rsidRDefault="00951F8B" w:rsidP="00951F8B">
      <w:pPr>
        <w:tabs>
          <w:tab w:val="left" w:pos="1418"/>
        </w:tabs>
        <w:spacing w:before="0"/>
        <w:rPr>
          <w:b/>
          <w:i/>
          <w:szCs w:val="24"/>
        </w:rPr>
      </w:pPr>
    </w:p>
    <w:p w:rsidR="00951F8B" w:rsidRPr="00AB46E2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  <w:r w:rsidRPr="00AB46E2">
        <w:rPr>
          <w:b/>
          <w:szCs w:val="24"/>
        </w:rPr>
        <w:t xml:space="preserve">PART </w:t>
      </w:r>
      <w:r>
        <w:rPr>
          <w:b/>
          <w:szCs w:val="24"/>
        </w:rPr>
        <w:t>13</w:t>
      </w:r>
      <w:r w:rsidRPr="00AB46E2">
        <w:rPr>
          <w:b/>
          <w:szCs w:val="24"/>
        </w:rPr>
        <w:tab/>
        <w:t xml:space="preserve">THE DEPARTMENT OF </w:t>
      </w:r>
      <w:r>
        <w:rPr>
          <w:b/>
          <w:szCs w:val="24"/>
        </w:rPr>
        <w:t>INDUSTRY, INNOVATION, CLIMATE CHANGE, SCIENCE, RESEARCH AND TERTIARY EDUCATION</w:t>
      </w:r>
    </w:p>
    <w:p w:rsidR="00951F8B" w:rsidRPr="00AB46E2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  <w:r w:rsidRPr="00AB46E2">
        <w:rPr>
          <w:b/>
          <w:bCs/>
          <w:szCs w:val="24"/>
        </w:rPr>
        <w:tab/>
      </w:r>
    </w:p>
    <w:p w:rsidR="00951F8B" w:rsidRPr="00AB46E2" w:rsidRDefault="00951F8B" w:rsidP="00951F8B">
      <w:pPr>
        <w:pStyle w:val="Heading2"/>
        <w:tabs>
          <w:tab w:val="left" w:pos="1418"/>
        </w:tabs>
        <w:rPr>
          <w:sz w:val="24"/>
          <w:szCs w:val="24"/>
        </w:rPr>
      </w:pPr>
      <w:r w:rsidRPr="00AB46E2">
        <w:rPr>
          <w:sz w:val="24"/>
          <w:szCs w:val="24"/>
        </w:rPr>
        <w:t>Matters dealt with by the Department</w:t>
      </w:r>
    </w:p>
    <w:p w:rsidR="00951F8B" w:rsidRPr="00AB46E2" w:rsidRDefault="00951F8B" w:rsidP="00951F8B">
      <w:pPr>
        <w:tabs>
          <w:tab w:val="left" w:pos="1418"/>
        </w:tabs>
        <w:spacing w:before="0"/>
        <w:jc w:val="center"/>
        <w:rPr>
          <w:b/>
          <w:i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</w:tblGrid>
      <w:tr w:rsidR="00951F8B" w:rsidRPr="00AB46E2" w:rsidTr="00841CFD">
        <w:tc>
          <w:tcPr>
            <w:tcW w:w="1418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 w:rsidRPr="00AB46E2"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Development and co-ordination of domestic and international climate change policy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 w:rsidRPr="002C0EA0">
              <w:rPr>
                <w:szCs w:val="24"/>
              </w:rPr>
              <w:t>International climate change negotiations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Design and implementation of emissions trading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Renewable energy target policy, regulation and co-ordination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 w:rsidRPr="002C0EA0">
              <w:rPr>
                <w:szCs w:val="24"/>
              </w:rPr>
              <w:t>Greenhouse emissions</w:t>
            </w:r>
            <w:r w:rsidRPr="00CC388B">
              <w:rPr>
                <w:szCs w:val="24"/>
              </w:rPr>
              <w:t xml:space="preserve"> </w:t>
            </w:r>
            <w:r>
              <w:rPr>
                <w:szCs w:val="24"/>
              </w:rPr>
              <w:t>and energy consumption reporting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Climate change adaptation strategy and co-ordination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Co-ordination of climate change science activities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</w:t>
            </w:r>
            <w:r w:rsidRPr="00AB46E2">
              <w:rPr>
                <w:szCs w:val="24"/>
              </w:rPr>
              <w:t>:</w:t>
            </w:r>
          </w:p>
        </w:tc>
        <w:tc>
          <w:tcPr>
            <w:tcW w:w="5953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ind w:left="181" w:hanging="181"/>
              <w:rPr>
                <w:szCs w:val="24"/>
              </w:rPr>
            </w:pPr>
            <w:r>
              <w:rPr>
                <w:szCs w:val="24"/>
              </w:rPr>
              <w:t>Renewable energy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Greenhouse gas abatement programs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Pr="00137427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 w:rsidRPr="00137427"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Pr="00137427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 w:rsidRPr="00137427">
              <w:rPr>
                <w:szCs w:val="24"/>
              </w:rPr>
              <w:t>Community and household climate action</w:t>
            </w:r>
          </w:p>
        </w:tc>
      </w:tr>
    </w:tbl>
    <w:p w:rsidR="00951F8B" w:rsidRDefault="00951F8B" w:rsidP="00951F8B">
      <w:pPr>
        <w:tabs>
          <w:tab w:val="left" w:pos="1418"/>
        </w:tabs>
        <w:spacing w:before="0"/>
        <w:rPr>
          <w:b/>
          <w:szCs w:val="24"/>
        </w:rPr>
      </w:pP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  <w:i/>
          <w:szCs w:val="24"/>
        </w:rPr>
      </w:pPr>
      <w:r w:rsidRPr="00CC388B">
        <w:rPr>
          <w:b/>
          <w:i/>
          <w:szCs w:val="24"/>
        </w:rPr>
        <w:t>Legislation administered by the Minister</w:t>
      </w:r>
    </w:p>
    <w:p w:rsidR="00951F8B" w:rsidRDefault="00951F8B" w:rsidP="00951F8B">
      <w:pPr>
        <w:tabs>
          <w:tab w:val="left" w:pos="1418"/>
        </w:tabs>
        <w:spacing w:before="0"/>
        <w:rPr>
          <w:b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</w:tblGrid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Pr="00F86F20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 w:rsidRPr="00F86F20">
              <w:rPr>
                <w:i/>
                <w:szCs w:val="24"/>
              </w:rPr>
              <w:t>Australian National Registry of Emissions Units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Pr="00F86F20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Carbon Credits (Carbon Farming Initiative)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(Charges-Customs)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(Charges-Excise)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(Unit Issue Charge-Auctions)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(Unit Issue Charge-Fixed Charge)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(Unit Shortfall Charge-General)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Clean Energy Regulator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Climate Change Authority Act 2011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 w:rsidRPr="002C0EA0">
              <w:rPr>
                <w:i/>
                <w:szCs w:val="24"/>
              </w:rPr>
              <w:t>National Greenhouse and Energy Reporting Act 2007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Renewable Energy (Electricity) Act 2000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Renewable Energy (Electricity) (Charge) Act 2000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Renewable Energy (Electricity) (Large-scale Generation Shortfall Charge) Act 2000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Renewable Energy (Electricity) (Small-scale Technology Shortfall Charge) Act 2010</w:t>
            </w:r>
          </w:p>
        </w:tc>
      </w:tr>
    </w:tbl>
    <w:p w:rsidR="00951F8B" w:rsidRPr="00AB46E2" w:rsidRDefault="00951F8B" w:rsidP="00951F8B">
      <w:pPr>
        <w:tabs>
          <w:tab w:val="left" w:pos="1418"/>
        </w:tabs>
        <w:spacing w:before="0"/>
        <w:rPr>
          <w:b/>
          <w:szCs w:val="24"/>
        </w:rPr>
      </w:pPr>
    </w:p>
    <w:p w:rsidR="00951F8B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</w:p>
    <w:p w:rsidR="00951F8B" w:rsidRPr="00AB46E2" w:rsidRDefault="00951F8B" w:rsidP="00951F8B">
      <w:pPr>
        <w:tabs>
          <w:tab w:val="left" w:pos="1418"/>
        </w:tabs>
        <w:spacing w:before="0"/>
        <w:ind w:left="1418" w:hanging="1418"/>
        <w:rPr>
          <w:b/>
          <w:szCs w:val="24"/>
        </w:rPr>
      </w:pPr>
      <w:r w:rsidRPr="00AB46E2">
        <w:rPr>
          <w:b/>
          <w:szCs w:val="24"/>
        </w:rPr>
        <w:lastRenderedPageBreak/>
        <w:t xml:space="preserve">PART </w:t>
      </w:r>
      <w:r>
        <w:rPr>
          <w:b/>
          <w:szCs w:val="24"/>
        </w:rPr>
        <w:t>1</w:t>
      </w:r>
      <w:r w:rsidRPr="00AB46E2">
        <w:rPr>
          <w:b/>
          <w:szCs w:val="24"/>
        </w:rPr>
        <w:t>7</w:t>
      </w:r>
      <w:r w:rsidRPr="00AB46E2">
        <w:rPr>
          <w:b/>
          <w:szCs w:val="24"/>
        </w:rPr>
        <w:tab/>
        <w:t xml:space="preserve">THE DEPARTMENT OF </w:t>
      </w:r>
      <w:r>
        <w:rPr>
          <w:b/>
          <w:szCs w:val="24"/>
        </w:rPr>
        <w:t>RESOURCES, ENERGY AND TOURISM</w:t>
      </w:r>
    </w:p>
    <w:p w:rsidR="00951F8B" w:rsidRDefault="00951F8B" w:rsidP="00951F8B">
      <w:pPr>
        <w:tabs>
          <w:tab w:val="left" w:pos="1418"/>
        </w:tabs>
        <w:spacing w:before="0"/>
        <w:rPr>
          <w:b/>
          <w:szCs w:val="24"/>
        </w:rPr>
      </w:pPr>
    </w:p>
    <w:p w:rsidR="00951F8B" w:rsidRPr="00AB46E2" w:rsidRDefault="00951F8B" w:rsidP="00951F8B">
      <w:pPr>
        <w:pStyle w:val="Heading2"/>
        <w:tabs>
          <w:tab w:val="left" w:pos="1418"/>
        </w:tabs>
        <w:rPr>
          <w:sz w:val="24"/>
          <w:szCs w:val="24"/>
        </w:rPr>
      </w:pPr>
      <w:r w:rsidRPr="00AB46E2">
        <w:rPr>
          <w:sz w:val="24"/>
          <w:szCs w:val="24"/>
        </w:rPr>
        <w:t>Matters dealt with by the Department</w:t>
      </w:r>
    </w:p>
    <w:p w:rsidR="00951F8B" w:rsidRPr="00AB46E2" w:rsidRDefault="00951F8B" w:rsidP="00951F8B">
      <w:pPr>
        <w:tabs>
          <w:tab w:val="left" w:pos="1418"/>
        </w:tabs>
        <w:spacing w:before="0"/>
        <w:jc w:val="center"/>
        <w:rPr>
          <w:b/>
          <w:i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</w:tblGrid>
      <w:tr w:rsidR="00951F8B" w:rsidRPr="00AB46E2" w:rsidTr="00841CFD">
        <w:tc>
          <w:tcPr>
            <w:tcW w:w="1418" w:type="dxa"/>
          </w:tcPr>
          <w:p w:rsidR="00951F8B" w:rsidRPr="00AB46E2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Energy efficiency</w:t>
            </w:r>
          </w:p>
        </w:tc>
      </w:tr>
    </w:tbl>
    <w:p w:rsidR="00951F8B" w:rsidRDefault="00951F8B" w:rsidP="00951F8B">
      <w:pPr>
        <w:tabs>
          <w:tab w:val="left" w:pos="1418"/>
        </w:tabs>
        <w:spacing w:before="0"/>
        <w:rPr>
          <w:b/>
          <w:szCs w:val="24"/>
        </w:rPr>
      </w:pP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  <w:i/>
          <w:szCs w:val="24"/>
        </w:rPr>
      </w:pPr>
      <w:r w:rsidRPr="00CC388B">
        <w:rPr>
          <w:b/>
          <w:i/>
          <w:szCs w:val="24"/>
        </w:rPr>
        <w:t>Legislation administered by the Minister</w:t>
      </w:r>
    </w:p>
    <w:p w:rsidR="00951F8B" w:rsidRDefault="00951F8B" w:rsidP="00951F8B">
      <w:pPr>
        <w:tabs>
          <w:tab w:val="left" w:pos="1418"/>
        </w:tabs>
        <w:spacing w:before="0"/>
        <w:jc w:val="center"/>
        <w:rPr>
          <w:b/>
          <w:i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</w:tblGrid>
      <w:tr w:rsidR="00951F8B" w:rsidRPr="00CC388B" w:rsidTr="00841CFD">
        <w:tc>
          <w:tcPr>
            <w:tcW w:w="1418" w:type="dxa"/>
          </w:tcPr>
          <w:p w:rsidR="00951F8B" w:rsidRPr="00CC38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 w:rsidRPr="00CC388B">
              <w:rPr>
                <w:szCs w:val="24"/>
              </w:rPr>
              <w:t>Add</w:t>
            </w:r>
            <w:r>
              <w:rPr>
                <w:szCs w:val="24"/>
              </w:rPr>
              <w:t>:</w:t>
            </w:r>
          </w:p>
        </w:tc>
        <w:tc>
          <w:tcPr>
            <w:tcW w:w="5953" w:type="dxa"/>
          </w:tcPr>
          <w:p w:rsidR="00951F8B" w:rsidRPr="00CC388B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 w:rsidRPr="00CC388B">
              <w:rPr>
                <w:i/>
                <w:szCs w:val="24"/>
              </w:rPr>
              <w:t>Building Energy Efficiency Disclosure Act 2010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Pr="002C0EA0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Greenhouse and Energy Minimum Standards Act 2012</w:t>
            </w:r>
          </w:p>
        </w:tc>
      </w:tr>
      <w:tr w:rsidR="00951F8B" w:rsidRPr="00AB46E2" w:rsidTr="00841CFD">
        <w:tc>
          <w:tcPr>
            <w:tcW w:w="1418" w:type="dxa"/>
          </w:tcPr>
          <w:p w:rsidR="00951F8B" w:rsidRDefault="00951F8B" w:rsidP="00951F8B">
            <w:pPr>
              <w:tabs>
                <w:tab w:val="left" w:pos="1418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Add:</w:t>
            </w:r>
          </w:p>
        </w:tc>
        <w:tc>
          <w:tcPr>
            <w:tcW w:w="5953" w:type="dxa"/>
          </w:tcPr>
          <w:p w:rsidR="00951F8B" w:rsidRPr="002C0EA0" w:rsidRDefault="00951F8B" w:rsidP="00951F8B">
            <w:pPr>
              <w:tabs>
                <w:tab w:val="left" w:pos="1418"/>
              </w:tabs>
              <w:spacing w:before="0"/>
              <w:rPr>
                <w:i/>
                <w:szCs w:val="24"/>
              </w:rPr>
            </w:pPr>
            <w:r>
              <w:rPr>
                <w:i/>
                <w:szCs w:val="24"/>
              </w:rPr>
              <w:t>Greenhouse and Energy Minimum Standards (Registration Fees) Act 2012</w:t>
            </w:r>
          </w:p>
        </w:tc>
      </w:tr>
    </w:tbl>
    <w:p w:rsidR="007B4041" w:rsidRDefault="007B4041" w:rsidP="00FA493D">
      <w:pPr>
        <w:tabs>
          <w:tab w:val="left" w:pos="1418"/>
        </w:tabs>
        <w:spacing w:before="0"/>
        <w:ind w:left="1418" w:hanging="1418"/>
      </w:pPr>
    </w:p>
    <w:sectPr w:rsidR="007B4041" w:rsidSect="00836A0F">
      <w:headerReference w:type="default" r:id="rId9"/>
      <w:pgSz w:w="11906" w:h="16838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C9" w:rsidRDefault="00FD0BC9">
      <w:pPr>
        <w:spacing w:before="0"/>
      </w:pPr>
      <w:r>
        <w:separator/>
      </w:r>
    </w:p>
  </w:endnote>
  <w:endnote w:type="continuationSeparator" w:id="0">
    <w:p w:rsidR="00FD0BC9" w:rsidRDefault="00FD0B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FA" w:rsidRDefault="00951F8B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62</w:t>
    </w:r>
    <w:r>
      <w:rPr>
        <w:noProof/>
      </w:rPr>
      <w:fldChar w:fldCharType="end"/>
    </w:r>
  </w:p>
  <w:p w:rsidR="00540AFA" w:rsidRDefault="00951F8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C9" w:rsidRDefault="00FD0BC9">
      <w:pPr>
        <w:spacing w:before="0"/>
      </w:pPr>
      <w:r>
        <w:separator/>
      </w:r>
    </w:p>
  </w:footnote>
  <w:footnote w:type="continuationSeparator" w:id="0">
    <w:p w:rsidR="00FD0BC9" w:rsidRDefault="00FD0B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49" w:rsidRDefault="00FD0BC9">
    <w:pPr>
      <w:pStyle w:val="Header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B07"/>
    <w:multiLevelType w:val="hybridMultilevel"/>
    <w:tmpl w:val="DFC6546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98"/>
    <w:rsid w:val="00001207"/>
    <w:rsid w:val="00037548"/>
    <w:rsid w:val="000400BA"/>
    <w:rsid w:val="00081C6C"/>
    <w:rsid w:val="000B2436"/>
    <w:rsid w:val="000B4CA0"/>
    <w:rsid w:val="000C1182"/>
    <w:rsid w:val="000C5A87"/>
    <w:rsid w:val="000D44BF"/>
    <w:rsid w:val="000D4F3C"/>
    <w:rsid w:val="000E1C81"/>
    <w:rsid w:val="000F0CE0"/>
    <w:rsid w:val="000F7F1E"/>
    <w:rsid w:val="001010B2"/>
    <w:rsid w:val="001102B5"/>
    <w:rsid w:val="0011110A"/>
    <w:rsid w:val="00117B0A"/>
    <w:rsid w:val="00124564"/>
    <w:rsid w:val="0013064E"/>
    <w:rsid w:val="00137EED"/>
    <w:rsid w:val="001443A7"/>
    <w:rsid w:val="00145180"/>
    <w:rsid w:val="0016252B"/>
    <w:rsid w:val="00163421"/>
    <w:rsid w:val="00180187"/>
    <w:rsid w:val="00184BEE"/>
    <w:rsid w:val="001911EF"/>
    <w:rsid w:val="001A40C5"/>
    <w:rsid w:val="001C6993"/>
    <w:rsid w:val="001D1AA4"/>
    <w:rsid w:val="001D6D3C"/>
    <w:rsid w:val="0023099D"/>
    <w:rsid w:val="002362A5"/>
    <w:rsid w:val="0023684A"/>
    <w:rsid w:val="0024287E"/>
    <w:rsid w:val="00256D44"/>
    <w:rsid w:val="00274379"/>
    <w:rsid w:val="002938C0"/>
    <w:rsid w:val="002A6927"/>
    <w:rsid w:val="002B1820"/>
    <w:rsid w:val="002B2066"/>
    <w:rsid w:val="002C0E2E"/>
    <w:rsid w:val="002C28CF"/>
    <w:rsid w:val="002C47D0"/>
    <w:rsid w:val="002E334E"/>
    <w:rsid w:val="002F7C7D"/>
    <w:rsid w:val="00302AC6"/>
    <w:rsid w:val="003163BF"/>
    <w:rsid w:val="0032004D"/>
    <w:rsid w:val="00332857"/>
    <w:rsid w:val="003375DB"/>
    <w:rsid w:val="003632CC"/>
    <w:rsid w:val="003A0C62"/>
    <w:rsid w:val="003A3ED4"/>
    <w:rsid w:val="003C6777"/>
    <w:rsid w:val="003D430D"/>
    <w:rsid w:val="003D6206"/>
    <w:rsid w:val="003D7F70"/>
    <w:rsid w:val="003E1368"/>
    <w:rsid w:val="00400CF2"/>
    <w:rsid w:val="004017BA"/>
    <w:rsid w:val="00401CD8"/>
    <w:rsid w:val="00405F0E"/>
    <w:rsid w:val="0041056A"/>
    <w:rsid w:val="00412647"/>
    <w:rsid w:val="00417CE1"/>
    <w:rsid w:val="00421B1B"/>
    <w:rsid w:val="00424A50"/>
    <w:rsid w:val="00426AF4"/>
    <w:rsid w:val="00430B0D"/>
    <w:rsid w:val="004543AF"/>
    <w:rsid w:val="0048047A"/>
    <w:rsid w:val="004951BF"/>
    <w:rsid w:val="00496AF4"/>
    <w:rsid w:val="004A40EB"/>
    <w:rsid w:val="004A4A34"/>
    <w:rsid w:val="004D58E5"/>
    <w:rsid w:val="004F2144"/>
    <w:rsid w:val="004F4B26"/>
    <w:rsid w:val="004F4B87"/>
    <w:rsid w:val="004F786E"/>
    <w:rsid w:val="005100C0"/>
    <w:rsid w:val="005129BB"/>
    <w:rsid w:val="00526849"/>
    <w:rsid w:val="0053635C"/>
    <w:rsid w:val="00541EFB"/>
    <w:rsid w:val="00546072"/>
    <w:rsid w:val="0057170D"/>
    <w:rsid w:val="00577B1B"/>
    <w:rsid w:val="00593031"/>
    <w:rsid w:val="005B2378"/>
    <w:rsid w:val="005B5AC8"/>
    <w:rsid w:val="005B75B6"/>
    <w:rsid w:val="005E5DFB"/>
    <w:rsid w:val="005F46D2"/>
    <w:rsid w:val="005F58A8"/>
    <w:rsid w:val="00601AC7"/>
    <w:rsid w:val="00607284"/>
    <w:rsid w:val="0061670F"/>
    <w:rsid w:val="00621CB1"/>
    <w:rsid w:val="006468C1"/>
    <w:rsid w:val="00670895"/>
    <w:rsid w:val="006B09E6"/>
    <w:rsid w:val="006B3768"/>
    <w:rsid w:val="006B7027"/>
    <w:rsid w:val="006C4F43"/>
    <w:rsid w:val="007131B0"/>
    <w:rsid w:val="00717387"/>
    <w:rsid w:val="00736C12"/>
    <w:rsid w:val="00737F15"/>
    <w:rsid w:val="007B4041"/>
    <w:rsid w:val="007C025C"/>
    <w:rsid w:val="007C13ED"/>
    <w:rsid w:val="007E6FEB"/>
    <w:rsid w:val="007F705D"/>
    <w:rsid w:val="008008DF"/>
    <w:rsid w:val="00800DC4"/>
    <w:rsid w:val="00803902"/>
    <w:rsid w:val="008041E6"/>
    <w:rsid w:val="00820D13"/>
    <w:rsid w:val="00823D56"/>
    <w:rsid w:val="008349AD"/>
    <w:rsid w:val="00851BE1"/>
    <w:rsid w:val="008639C6"/>
    <w:rsid w:val="00885A65"/>
    <w:rsid w:val="0089208F"/>
    <w:rsid w:val="00894539"/>
    <w:rsid w:val="00896289"/>
    <w:rsid w:val="008C166C"/>
    <w:rsid w:val="008C591E"/>
    <w:rsid w:val="008E1DFC"/>
    <w:rsid w:val="00924B70"/>
    <w:rsid w:val="00932488"/>
    <w:rsid w:val="00934456"/>
    <w:rsid w:val="00947010"/>
    <w:rsid w:val="00951F8B"/>
    <w:rsid w:val="00954052"/>
    <w:rsid w:val="009927F5"/>
    <w:rsid w:val="009959C8"/>
    <w:rsid w:val="009A36BB"/>
    <w:rsid w:val="009C00AB"/>
    <w:rsid w:val="009C34A9"/>
    <w:rsid w:val="009E519A"/>
    <w:rsid w:val="009F6F97"/>
    <w:rsid w:val="00A25972"/>
    <w:rsid w:val="00A81ABD"/>
    <w:rsid w:val="00A839CC"/>
    <w:rsid w:val="00AD0AE7"/>
    <w:rsid w:val="00AF66DB"/>
    <w:rsid w:val="00B042DB"/>
    <w:rsid w:val="00B07007"/>
    <w:rsid w:val="00B429B9"/>
    <w:rsid w:val="00B60642"/>
    <w:rsid w:val="00B76E61"/>
    <w:rsid w:val="00B8529D"/>
    <w:rsid w:val="00BB25A8"/>
    <w:rsid w:val="00BE30C3"/>
    <w:rsid w:val="00BF2662"/>
    <w:rsid w:val="00BF6B7F"/>
    <w:rsid w:val="00C05D2E"/>
    <w:rsid w:val="00C13CB1"/>
    <w:rsid w:val="00C150E0"/>
    <w:rsid w:val="00C314A1"/>
    <w:rsid w:val="00C407E9"/>
    <w:rsid w:val="00C513AE"/>
    <w:rsid w:val="00C55338"/>
    <w:rsid w:val="00C6298C"/>
    <w:rsid w:val="00C748D9"/>
    <w:rsid w:val="00C76684"/>
    <w:rsid w:val="00C87D19"/>
    <w:rsid w:val="00CB7F62"/>
    <w:rsid w:val="00CC171F"/>
    <w:rsid w:val="00CD3498"/>
    <w:rsid w:val="00CD3AFE"/>
    <w:rsid w:val="00CE7286"/>
    <w:rsid w:val="00D00239"/>
    <w:rsid w:val="00D127CA"/>
    <w:rsid w:val="00D20204"/>
    <w:rsid w:val="00D324E6"/>
    <w:rsid w:val="00D40837"/>
    <w:rsid w:val="00D52CE8"/>
    <w:rsid w:val="00D53C3A"/>
    <w:rsid w:val="00D737D5"/>
    <w:rsid w:val="00D75783"/>
    <w:rsid w:val="00D82D0B"/>
    <w:rsid w:val="00D837B5"/>
    <w:rsid w:val="00DA32DF"/>
    <w:rsid w:val="00DC741F"/>
    <w:rsid w:val="00DD0959"/>
    <w:rsid w:val="00DE1041"/>
    <w:rsid w:val="00DE3A39"/>
    <w:rsid w:val="00DE6ACE"/>
    <w:rsid w:val="00DF01F1"/>
    <w:rsid w:val="00DF762C"/>
    <w:rsid w:val="00E03E4C"/>
    <w:rsid w:val="00E27747"/>
    <w:rsid w:val="00E72DCC"/>
    <w:rsid w:val="00E739F0"/>
    <w:rsid w:val="00E8278D"/>
    <w:rsid w:val="00E9556A"/>
    <w:rsid w:val="00EA2F53"/>
    <w:rsid w:val="00EE4BA8"/>
    <w:rsid w:val="00EE4FEA"/>
    <w:rsid w:val="00EF07ED"/>
    <w:rsid w:val="00EF4596"/>
    <w:rsid w:val="00EF723E"/>
    <w:rsid w:val="00F06D6E"/>
    <w:rsid w:val="00F151B5"/>
    <w:rsid w:val="00F171F6"/>
    <w:rsid w:val="00F222BD"/>
    <w:rsid w:val="00F34A35"/>
    <w:rsid w:val="00F35B40"/>
    <w:rsid w:val="00F54CAD"/>
    <w:rsid w:val="00F73B12"/>
    <w:rsid w:val="00F76D44"/>
    <w:rsid w:val="00FA493D"/>
    <w:rsid w:val="00FA6F29"/>
    <w:rsid w:val="00FB029B"/>
    <w:rsid w:val="00FC3D82"/>
    <w:rsid w:val="00FD0BC9"/>
    <w:rsid w:val="00FD3CCD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498"/>
    <w:pPr>
      <w:spacing w:before="24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51F8B"/>
    <w:pPr>
      <w:keepNext/>
      <w:spacing w:before="0"/>
      <w:jc w:val="center"/>
      <w:outlineLvl w:val="1"/>
    </w:pPr>
    <w:rPr>
      <w:b/>
      <w:i/>
      <w:sz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1C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C28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8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51F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1F8B"/>
    <w:rPr>
      <w:sz w:val="24"/>
    </w:rPr>
  </w:style>
  <w:style w:type="paragraph" w:customStyle="1" w:styleId="Appendix">
    <w:name w:val="Appendix"/>
    <w:basedOn w:val="Normal"/>
    <w:link w:val="AppendixCharChar"/>
    <w:rsid w:val="00951F8B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951F8B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951F8B"/>
    <w:rPr>
      <w:b/>
      <w:i/>
      <w:sz w:val="26"/>
      <w:lang w:val="en-US"/>
    </w:rPr>
  </w:style>
  <w:style w:type="paragraph" w:styleId="Title">
    <w:name w:val="Title"/>
    <w:basedOn w:val="Normal"/>
    <w:link w:val="TitleChar"/>
    <w:qFormat/>
    <w:rsid w:val="00951F8B"/>
    <w:pPr>
      <w:spacing w:before="0"/>
      <w:jc w:val="center"/>
    </w:pPr>
    <w:rPr>
      <w:b/>
      <w:sz w:val="26"/>
      <w:lang w:val="en-US"/>
    </w:rPr>
  </w:style>
  <w:style w:type="character" w:customStyle="1" w:styleId="TitleChar">
    <w:name w:val="Title Char"/>
    <w:basedOn w:val="DefaultParagraphFont"/>
    <w:link w:val="Title"/>
    <w:rsid w:val="00951F8B"/>
    <w:rPr>
      <w:b/>
      <w:sz w:val="26"/>
      <w:lang w:val="en-US"/>
    </w:rPr>
  </w:style>
  <w:style w:type="paragraph" w:styleId="Header">
    <w:name w:val="header"/>
    <w:basedOn w:val="Normal"/>
    <w:link w:val="HeaderChar"/>
    <w:rsid w:val="00951F8B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951F8B"/>
    <w:rPr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401C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01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498"/>
    <w:pPr>
      <w:spacing w:before="24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51F8B"/>
    <w:pPr>
      <w:keepNext/>
      <w:spacing w:before="0"/>
      <w:jc w:val="center"/>
      <w:outlineLvl w:val="1"/>
    </w:pPr>
    <w:rPr>
      <w:b/>
      <w:i/>
      <w:sz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1C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C28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8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51F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1F8B"/>
    <w:rPr>
      <w:sz w:val="24"/>
    </w:rPr>
  </w:style>
  <w:style w:type="paragraph" w:customStyle="1" w:styleId="Appendix">
    <w:name w:val="Appendix"/>
    <w:basedOn w:val="Normal"/>
    <w:link w:val="AppendixCharChar"/>
    <w:rsid w:val="00951F8B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951F8B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951F8B"/>
    <w:rPr>
      <w:b/>
      <w:i/>
      <w:sz w:val="26"/>
      <w:lang w:val="en-US"/>
    </w:rPr>
  </w:style>
  <w:style w:type="paragraph" w:styleId="Title">
    <w:name w:val="Title"/>
    <w:basedOn w:val="Normal"/>
    <w:link w:val="TitleChar"/>
    <w:qFormat/>
    <w:rsid w:val="00951F8B"/>
    <w:pPr>
      <w:spacing w:before="0"/>
      <w:jc w:val="center"/>
    </w:pPr>
    <w:rPr>
      <w:b/>
      <w:sz w:val="26"/>
      <w:lang w:val="en-US"/>
    </w:rPr>
  </w:style>
  <w:style w:type="character" w:customStyle="1" w:styleId="TitleChar">
    <w:name w:val="Title Char"/>
    <w:basedOn w:val="DefaultParagraphFont"/>
    <w:link w:val="Title"/>
    <w:rsid w:val="00951F8B"/>
    <w:rPr>
      <w:b/>
      <w:sz w:val="26"/>
      <w:lang w:val="en-US"/>
    </w:rPr>
  </w:style>
  <w:style w:type="paragraph" w:styleId="Header">
    <w:name w:val="header"/>
    <w:basedOn w:val="Normal"/>
    <w:link w:val="HeaderChar"/>
    <w:rsid w:val="00951F8B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951F8B"/>
    <w:rPr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401C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0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60AEE60</Template>
  <TotalTime>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MINUTES - GENERAL</vt:lpstr>
    </vt:vector>
  </TitlesOfParts>
  <Company>Department of the Prime Minister and Cabinet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MINUTES - GENERAL</dc:title>
  <dc:creator>pmc073</dc:creator>
  <cp:lastModifiedBy>de Hoog, David</cp:lastModifiedBy>
  <cp:revision>7</cp:revision>
  <cp:lastPrinted>2013-02-20T02:16:00Z</cp:lastPrinted>
  <dcterms:created xsi:type="dcterms:W3CDTF">2013-02-20T02:16:00Z</dcterms:created>
  <dcterms:modified xsi:type="dcterms:W3CDTF">2013-03-26T08:53:00Z</dcterms:modified>
</cp:coreProperties>
</file>