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99" w:rsidRPr="00141674" w:rsidRDefault="00F03B99" w:rsidP="003A313A">
      <w:pPr>
        <w:spacing w:after="80"/>
        <w:jc w:val="center"/>
        <w:rPr>
          <w:rFonts w:ascii="Arial" w:hAnsi="Arial" w:cs="Arial"/>
          <w:b/>
          <w:sz w:val="18"/>
          <w:szCs w:val="18"/>
        </w:rPr>
      </w:pPr>
      <w:r w:rsidRPr="00141674">
        <w:rPr>
          <w:rFonts w:ascii="Arial" w:hAnsi="Arial" w:cs="Arial"/>
          <w:b/>
          <w:sz w:val="18"/>
          <w:szCs w:val="18"/>
        </w:rPr>
        <w:t>COMMISSIONER OF TAXATION</w:t>
      </w:r>
    </w:p>
    <w:p w:rsidR="00F03B99" w:rsidRDefault="00F03B99" w:rsidP="003A313A">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contacts" w:element="Sn">
          <w:r>
            <w:rPr>
              <w:rFonts w:ascii="Arial" w:hAnsi="Arial" w:cs="Arial"/>
              <w:sz w:val="18"/>
              <w:szCs w:val="18"/>
            </w:rPr>
            <w:t>Jordan</w:t>
          </w:r>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6"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tblPr>
      <w:tblGrid>
        <w:gridCol w:w="1728"/>
        <w:gridCol w:w="3780"/>
        <w:gridCol w:w="4140"/>
      </w:tblGrid>
      <w:tr w:rsidR="00F03B99" w:rsidRPr="00773255" w:rsidTr="00ED64B8">
        <w:tblPrEx>
          <w:tblCellMar>
            <w:top w:w="0" w:type="dxa"/>
            <w:bottom w:w="0" w:type="dxa"/>
          </w:tblCellMar>
        </w:tblPrEx>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F03B99" w:rsidRPr="00773255" w:rsidRDefault="00F03B99" w:rsidP="003A313A">
            <w:pPr>
              <w:pStyle w:val="Heading3"/>
              <w:keepLines/>
              <w:spacing w:before="40" w:after="40"/>
              <w:jc w:val="center"/>
              <w:rPr>
                <w:sz w:val="22"/>
                <w:szCs w:val="22"/>
              </w:rPr>
            </w:pPr>
            <w:r w:rsidRPr="00773255">
              <w:rPr>
                <w:sz w:val="22"/>
                <w:szCs w:val="22"/>
              </w:rPr>
              <w:t xml:space="preserve">NOTICE OF </w:t>
            </w:r>
            <w:r>
              <w:rPr>
                <w:sz w:val="22"/>
                <w:szCs w:val="22"/>
              </w:rPr>
              <w:t>RULINGS</w:t>
            </w:r>
          </w:p>
        </w:tc>
      </w:tr>
      <w:tr w:rsidR="00F03B99" w:rsidRPr="00773255" w:rsidTr="00ED64B8">
        <w:tblPrEx>
          <w:tblCellMar>
            <w:top w:w="0" w:type="dxa"/>
            <w:bottom w:w="0" w:type="dxa"/>
          </w:tblCellMar>
        </w:tblPrEx>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Brief Description</w:t>
            </w:r>
          </w:p>
        </w:tc>
      </w:tr>
      <w:tr w:rsidR="00F03B99" w:rsidRPr="00773255" w:rsidTr="00ED64B8">
        <w:tblPrEx>
          <w:tblCellMar>
            <w:top w:w="0" w:type="dxa"/>
            <w:bottom w:w="0" w:type="dxa"/>
          </w:tblCellMar>
        </w:tblPrEx>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rPr>
                <w:rFonts w:ascii="Arial" w:hAnsi="Arial" w:cs="Arial"/>
                <w:sz w:val="20"/>
              </w:rPr>
            </w:pPr>
            <w:r w:rsidRPr="00013ED1">
              <w:rPr>
                <w:rFonts w:ascii="Arial" w:hAnsi="Arial" w:cs="Arial"/>
                <w:sz w:val="20"/>
              </w:rPr>
              <w:t>CR 2013/54</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Fringe benefits tax:  employer clients of Mercurien Limited who use the BetterDriver telematics and reporting system for car log book records and for odometer records.</w:t>
            </w:r>
          </w:p>
          <w:p w:rsidR="00F03B99" w:rsidRPr="00013ED1" w:rsidRDefault="00F03B99" w:rsidP="003A313A">
            <w:pPr>
              <w:rPr>
                <w:rFonts w:ascii="Arial" w:hAnsi="Arial" w:cs="Arial"/>
                <w:sz w:val="20"/>
              </w:rPr>
            </w:pP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spacing w:after="120"/>
              <w:rPr>
                <w:rFonts w:ascii="Arial" w:hAnsi="Arial" w:cs="Arial"/>
                <w:sz w:val="20"/>
              </w:rPr>
            </w:pPr>
            <w:r w:rsidRPr="00013ED1">
              <w:rPr>
                <w:rFonts w:ascii="Arial" w:hAnsi="Arial" w:cs="Arial"/>
                <w:sz w:val="20"/>
              </w:rPr>
              <w:t>The Ruling sets out the Commissioner’s opinion for those employer clients of Mercurien Limited who use the BetterDriver telematics and reporting system for car log book record and odometer record keeping requirements.</w:t>
            </w:r>
          </w:p>
          <w:p w:rsidR="00F03B99" w:rsidRPr="00013ED1" w:rsidRDefault="00F03B99" w:rsidP="003A313A">
            <w:pPr>
              <w:spacing w:after="120"/>
              <w:rPr>
                <w:rFonts w:ascii="Arial" w:hAnsi="Arial" w:cs="Arial"/>
                <w:sz w:val="20"/>
              </w:rPr>
            </w:pPr>
            <w:r w:rsidRPr="00013ED1">
              <w:rPr>
                <w:rFonts w:ascii="Arial" w:hAnsi="Arial" w:cs="Arial"/>
                <w:sz w:val="20"/>
              </w:rPr>
              <w:t>The Ruling applies from 10 May 2013.</w:t>
            </w:r>
          </w:p>
        </w:tc>
      </w:tr>
      <w:tr w:rsidR="00F03B99" w:rsidRPr="00773255" w:rsidTr="00ED64B8">
        <w:tblPrEx>
          <w:tblCellMar>
            <w:top w:w="0" w:type="dxa"/>
            <w:bottom w:w="0" w:type="dxa"/>
          </w:tblCellMar>
        </w:tblPrEx>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CR 2013/55</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bookmarkStart w:id="0" w:name="GTopicHeader"/>
            <w:bookmarkStart w:id="1" w:name="OLE_LINK1"/>
            <w:r w:rsidRPr="00013ED1">
              <w:rPr>
                <w:rFonts w:ascii="Arial" w:hAnsi="Arial" w:cs="Arial"/>
                <w:sz w:val="20"/>
              </w:rPr>
              <w:t xml:space="preserve">Income tax:  </w:t>
            </w:r>
            <w:bookmarkEnd w:id="0"/>
            <w:smartTag w:uri="urn:schemas-microsoft-com:office:smarttags" w:element="country-region">
              <w:smartTag w:uri="urn:schemas-microsoft-com:office:smarttags" w:element="place">
                <w:r w:rsidRPr="00013ED1">
                  <w:rPr>
                    <w:rFonts w:ascii="Arial" w:hAnsi="Arial" w:cs="Arial"/>
                    <w:sz w:val="20"/>
                  </w:rPr>
                  <w:t>Australia</w:t>
                </w:r>
              </w:smartTag>
            </w:smartTag>
            <w:r w:rsidRPr="00013ED1">
              <w:rPr>
                <w:rFonts w:ascii="Arial" w:hAnsi="Arial" w:cs="Arial"/>
                <w:sz w:val="20"/>
              </w:rPr>
              <w:t xml:space="preserve"> and New Zealand Banking Group Limited – ANZ Capital Notes</w:t>
            </w:r>
            <w:bookmarkEnd w:id="1"/>
          </w:p>
          <w:p w:rsidR="00F03B99" w:rsidRPr="00013ED1" w:rsidRDefault="00F03B99" w:rsidP="003A313A">
            <w:pPr>
              <w:pStyle w:val="Header"/>
              <w:rPr>
                <w:rFonts w:ascii="Arial" w:hAnsi="Arial" w:cs="Arial"/>
                <w:sz w:val="20"/>
              </w:rPr>
            </w:pP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spacing w:after="120"/>
              <w:rPr>
                <w:rFonts w:ascii="Arial" w:hAnsi="Arial" w:cs="Arial"/>
                <w:sz w:val="20"/>
              </w:rPr>
            </w:pPr>
            <w:r w:rsidRPr="00013ED1">
              <w:rPr>
                <w:rFonts w:ascii="Arial" w:hAnsi="Arial" w:cs="Arial"/>
                <w:sz w:val="20"/>
              </w:rPr>
              <w:t>The Ruling sets out the Commissioner’s opinion for investors who are allotted non</w:t>
            </w:r>
            <w:r w:rsidRPr="00013ED1">
              <w:rPr>
                <w:rFonts w:ascii="Arial" w:hAnsi="Arial" w:cs="Arial"/>
                <w:sz w:val="20"/>
              </w:rPr>
              <w:noBreakHyphen/>
              <w:t xml:space="preserve">cumulative, convertible, transferable, redeemable, subordinated, perpetual, unsecured notes issued by </w:t>
            </w:r>
            <w:smartTag w:uri="urn:schemas-microsoft-com:office:smarttags" w:element="country-region">
              <w:smartTag w:uri="urn:schemas-microsoft-com:office:smarttags" w:element="place">
                <w:r w:rsidRPr="00013ED1">
                  <w:rPr>
                    <w:rFonts w:ascii="Arial" w:hAnsi="Arial" w:cs="Arial"/>
                    <w:sz w:val="20"/>
                  </w:rPr>
                  <w:t>Australia</w:t>
                </w:r>
              </w:smartTag>
            </w:smartTag>
            <w:r w:rsidRPr="00013ED1">
              <w:rPr>
                <w:rFonts w:ascii="Arial" w:hAnsi="Arial" w:cs="Arial"/>
                <w:sz w:val="20"/>
              </w:rPr>
              <w:t xml:space="preserve"> and New Zealand Banking Group Limited.</w:t>
            </w:r>
          </w:p>
          <w:p w:rsidR="00F03B99" w:rsidRPr="00013ED1" w:rsidRDefault="00F03B99" w:rsidP="003A313A">
            <w:pPr>
              <w:spacing w:after="120"/>
              <w:rPr>
                <w:rFonts w:ascii="Arial" w:hAnsi="Arial" w:cs="Arial"/>
                <w:sz w:val="20"/>
              </w:rPr>
            </w:pPr>
            <w:r w:rsidRPr="00013ED1">
              <w:rPr>
                <w:rFonts w:ascii="Arial" w:hAnsi="Arial" w:cs="Arial"/>
                <w:sz w:val="20"/>
              </w:rPr>
              <w:t>The Ruling applies from 1 July 2013 to 30 June 2024.</w:t>
            </w:r>
          </w:p>
        </w:tc>
      </w:tr>
    </w:tbl>
    <w:p w:rsidR="00F03B99" w:rsidRDefault="00F03B99" w:rsidP="003A313A">
      <w:pPr>
        <w:spacing w:after="0"/>
        <w:rPr>
          <w:rFonts w:ascii="Arial" w:hAnsi="Arial" w:cs="Arial"/>
          <w:sz w:val="18"/>
          <w:szCs w:val="18"/>
        </w:rPr>
      </w:pPr>
    </w:p>
    <w:tbl>
      <w:tblPr>
        <w:tblW w:w="9648" w:type="dxa"/>
        <w:tblLayout w:type="fixed"/>
        <w:tblLook w:val="0000"/>
      </w:tblPr>
      <w:tblGrid>
        <w:gridCol w:w="1728"/>
        <w:gridCol w:w="3780"/>
        <w:gridCol w:w="4140"/>
      </w:tblGrid>
      <w:tr w:rsidR="00F03B99" w:rsidRPr="00773255" w:rsidTr="00ED64B8">
        <w:tblPrEx>
          <w:tblCellMar>
            <w:top w:w="0" w:type="dxa"/>
            <w:bottom w:w="0" w:type="dxa"/>
          </w:tblCellMar>
        </w:tblPrEx>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F03B99" w:rsidRPr="00773255" w:rsidRDefault="00F03B99" w:rsidP="003A313A">
            <w:pPr>
              <w:pStyle w:val="Heading3"/>
              <w:keepLines/>
              <w:spacing w:before="40" w:after="40"/>
              <w:jc w:val="center"/>
              <w:rPr>
                <w:sz w:val="22"/>
                <w:szCs w:val="22"/>
              </w:rPr>
            </w:pPr>
            <w:r w:rsidRPr="00773255">
              <w:rPr>
                <w:sz w:val="22"/>
                <w:szCs w:val="22"/>
              </w:rPr>
              <w:t xml:space="preserve">NOTICE OF </w:t>
            </w:r>
            <w:r>
              <w:rPr>
                <w:sz w:val="22"/>
                <w:szCs w:val="22"/>
              </w:rPr>
              <w:t>ADDENDA</w:t>
            </w:r>
          </w:p>
        </w:tc>
      </w:tr>
      <w:tr w:rsidR="00F03B99" w:rsidRPr="00773255" w:rsidTr="00ED64B8">
        <w:tblPrEx>
          <w:tblCellMar>
            <w:top w:w="0" w:type="dxa"/>
            <w:bottom w:w="0" w:type="dxa"/>
          </w:tblCellMar>
        </w:tblPrEx>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Brief Description</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MT 2008/2</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keepNext/>
              <w:spacing w:after="120"/>
              <w:rPr>
                <w:rFonts w:ascii="Arial" w:hAnsi="Arial" w:cs="Arial"/>
                <w:sz w:val="20"/>
              </w:rPr>
            </w:pPr>
            <w:r w:rsidRPr="00013ED1">
              <w:rPr>
                <w:rFonts w:ascii="Arial" w:hAnsi="Arial" w:cs="Arial"/>
                <w:sz w:val="20"/>
              </w:rPr>
              <w:t>Shortfall penalties:  administrative penalty for taking a position that is not reasonably arguable</w:t>
            </w:r>
          </w:p>
          <w:p w:rsidR="00F03B99" w:rsidRPr="00013ED1" w:rsidRDefault="00F03B99" w:rsidP="003A313A">
            <w:pPr>
              <w:pStyle w:val="Header"/>
              <w:rPr>
                <w:rFonts w:ascii="Arial" w:hAnsi="Arial" w:cs="Arial"/>
                <w:sz w:val="20"/>
              </w:rPr>
            </w:pP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spacing w:after="120"/>
              <w:rPr>
                <w:rFonts w:ascii="Arial" w:hAnsi="Arial" w:cs="Arial"/>
                <w:sz w:val="20"/>
              </w:rPr>
            </w:pPr>
            <w:r w:rsidRPr="00013ED1">
              <w:rPr>
                <w:rFonts w:ascii="Arial" w:hAnsi="Arial" w:cs="Arial"/>
                <w:sz w:val="20"/>
              </w:rPr>
              <w:t>The Addendum amends</w:t>
            </w:r>
            <w:r>
              <w:rPr>
                <w:rFonts w:ascii="Arial" w:hAnsi="Arial" w:cs="Arial"/>
                <w:sz w:val="20"/>
              </w:rPr>
              <w:t xml:space="preserve"> Miscellaneous Taxation Ruling</w:t>
            </w:r>
            <w:r w:rsidRPr="00013ED1">
              <w:rPr>
                <w:rFonts w:ascii="Arial" w:hAnsi="Arial" w:cs="Arial"/>
                <w:sz w:val="20"/>
              </w:rPr>
              <w:t xml:space="preserve"> </w:t>
            </w:r>
            <w:r>
              <w:rPr>
                <w:rFonts w:ascii="Arial" w:hAnsi="Arial" w:cs="Arial"/>
                <w:sz w:val="20"/>
              </w:rPr>
              <w:t>MT 2008/2</w:t>
            </w:r>
            <w:r w:rsidRPr="00013ED1">
              <w:rPr>
                <w:rFonts w:ascii="Arial" w:hAnsi="Arial" w:cs="Arial"/>
                <w:sz w:val="20"/>
              </w:rPr>
              <w:t xml:space="preserve"> to recognise that the lack of reasonably arguable position shortfall penalty contained in Division 284 of Schedule 1 to the </w:t>
            </w:r>
            <w:r w:rsidRPr="00F125FF">
              <w:rPr>
                <w:rFonts w:ascii="Arial" w:hAnsi="Arial" w:cs="Arial"/>
                <w:i/>
                <w:sz w:val="20"/>
              </w:rPr>
              <w:t>Taxation Administration Act 1953</w:t>
            </w:r>
            <w:r>
              <w:rPr>
                <w:rFonts w:ascii="Arial" w:hAnsi="Arial" w:cs="Arial"/>
                <w:sz w:val="20"/>
              </w:rPr>
              <w:t xml:space="preserve"> (T</w:t>
            </w:r>
            <w:r w:rsidRPr="00013ED1">
              <w:rPr>
                <w:rFonts w:ascii="Arial" w:hAnsi="Arial" w:cs="Arial"/>
                <w:sz w:val="20"/>
              </w:rPr>
              <w:t>AA</w:t>
            </w:r>
            <w:r>
              <w:rPr>
                <w:rFonts w:ascii="Arial" w:hAnsi="Arial" w:cs="Arial"/>
                <w:sz w:val="20"/>
              </w:rPr>
              <w:t>)</w:t>
            </w:r>
            <w:r w:rsidRPr="00013ED1">
              <w:rPr>
                <w:rFonts w:ascii="Arial" w:hAnsi="Arial" w:cs="Arial"/>
                <w:sz w:val="20"/>
              </w:rPr>
              <w:t xml:space="preserve"> applies to petroleum resource rent tax with effect from the 1 July 2012. This follows the amendments to the TAA made by </w:t>
            </w:r>
            <w:r w:rsidRPr="00013ED1">
              <w:rPr>
                <w:rFonts w:ascii="Arial" w:hAnsi="Arial" w:cs="Arial"/>
                <w:i/>
                <w:sz w:val="20"/>
              </w:rPr>
              <w:t>Tax and Superannuation Laws Amendment (2013 Measures No. 1) Act 2013</w:t>
            </w:r>
            <w:r w:rsidRPr="00013ED1">
              <w:rPr>
                <w:rFonts w:ascii="Arial" w:hAnsi="Arial" w:cs="Arial"/>
                <w:sz w:val="20"/>
              </w:rPr>
              <w:t>.</w:t>
            </w:r>
          </w:p>
          <w:p w:rsidR="00F03B99" w:rsidRPr="00013ED1" w:rsidRDefault="00F03B99" w:rsidP="003A313A">
            <w:pPr>
              <w:spacing w:after="120"/>
              <w:rPr>
                <w:rFonts w:ascii="Arial" w:hAnsi="Arial" w:cs="Arial"/>
                <w:sz w:val="20"/>
              </w:rPr>
            </w:pPr>
            <w:r w:rsidRPr="00013ED1">
              <w:rPr>
                <w:rFonts w:ascii="Arial" w:hAnsi="Arial" w:cs="Arial"/>
                <w:sz w:val="20"/>
              </w:rPr>
              <w:t>The Addendum applies on and from 1 July 2012, the day of effect of the amendments applying the reasonably arguable position penalty to petroleum resource rent tax.</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GSTR 2004/1</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spacing w:after="120"/>
              <w:rPr>
                <w:rFonts w:ascii="Arial" w:hAnsi="Arial" w:cs="Arial"/>
                <w:sz w:val="20"/>
              </w:rPr>
            </w:pPr>
            <w:r w:rsidRPr="00013ED1">
              <w:rPr>
                <w:rFonts w:ascii="Arial" w:hAnsi="Arial" w:cs="Arial"/>
                <w:sz w:val="20"/>
              </w:rPr>
              <w:t>Goods and services tax:  reduced credit acquisitions</w:t>
            </w:r>
          </w:p>
          <w:p w:rsidR="00F03B99" w:rsidRPr="00013ED1" w:rsidRDefault="00F03B99" w:rsidP="003A313A">
            <w:pPr>
              <w:pStyle w:val="Header"/>
              <w:rPr>
                <w:rFonts w:ascii="Arial" w:hAnsi="Arial" w:cs="Arial"/>
                <w:sz w:val="20"/>
              </w:rPr>
            </w:pP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spacing w:after="120"/>
              <w:rPr>
                <w:rFonts w:ascii="Arial" w:hAnsi="Arial" w:cs="Arial"/>
                <w:sz w:val="20"/>
              </w:rPr>
            </w:pPr>
            <w:r w:rsidRPr="00013ED1">
              <w:rPr>
                <w:rFonts w:ascii="Arial" w:hAnsi="Arial" w:cs="Arial"/>
                <w:sz w:val="20"/>
              </w:rPr>
              <w:t xml:space="preserve">The Addendum amends Goods and Services Tax Ruling GSTR 2004/1 to reflect amendments made to the </w:t>
            </w:r>
            <w:r w:rsidRPr="00013ED1">
              <w:rPr>
                <w:rFonts w:ascii="Arial" w:hAnsi="Arial" w:cs="Arial"/>
                <w:i/>
                <w:sz w:val="20"/>
              </w:rPr>
              <w:t>A New Tax System (Goods and Services Tax) Regulations 1999</w:t>
            </w:r>
            <w:r w:rsidRPr="00013ED1">
              <w:rPr>
                <w:rFonts w:ascii="Arial" w:hAnsi="Arial" w:cs="Arial"/>
                <w:sz w:val="20"/>
              </w:rPr>
              <w:t xml:space="preserve"> by the </w:t>
            </w:r>
            <w:r w:rsidRPr="00013ED1">
              <w:rPr>
                <w:rFonts w:ascii="Arial" w:hAnsi="Arial" w:cs="Arial"/>
                <w:i/>
                <w:sz w:val="20"/>
              </w:rPr>
              <w:t>A New Tax System (Goods and Services Tax) Amendment Regulation 2012 (No. 1)</w:t>
            </w:r>
            <w:r w:rsidRPr="00013ED1">
              <w:rPr>
                <w:rFonts w:ascii="Arial" w:hAnsi="Arial" w:cs="Arial"/>
                <w:sz w:val="20"/>
              </w:rPr>
              <w:t>.</w:t>
            </w:r>
          </w:p>
          <w:p w:rsidR="00F03B99" w:rsidRPr="00013ED1" w:rsidRDefault="00F03B99" w:rsidP="003A313A">
            <w:pPr>
              <w:spacing w:after="120"/>
              <w:rPr>
                <w:rFonts w:ascii="Arial" w:hAnsi="Arial" w:cs="Arial"/>
                <w:sz w:val="20"/>
              </w:rPr>
            </w:pPr>
            <w:r w:rsidRPr="00013ED1">
              <w:rPr>
                <w:rFonts w:ascii="Arial" w:hAnsi="Arial" w:cs="Arial"/>
                <w:sz w:val="20"/>
              </w:rPr>
              <w:t>The Addendum also makes other minor amendments.</w:t>
            </w:r>
          </w:p>
          <w:p w:rsidR="00F03B99" w:rsidRPr="00013ED1" w:rsidRDefault="00F03B99" w:rsidP="003A313A">
            <w:pPr>
              <w:spacing w:after="120"/>
              <w:rPr>
                <w:rFonts w:ascii="Arial" w:hAnsi="Arial" w:cs="Arial"/>
                <w:sz w:val="20"/>
              </w:rPr>
            </w:pPr>
            <w:r w:rsidRPr="00013ED1">
              <w:rPr>
                <w:rFonts w:ascii="Arial" w:hAnsi="Arial" w:cs="Arial"/>
                <w:sz w:val="20"/>
              </w:rPr>
              <w:t>The Addendum applies on and from 1 July 2012.</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TR 2005/5</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spacing w:after="120"/>
              <w:rPr>
                <w:rFonts w:ascii="Arial" w:hAnsi="Arial" w:cs="Arial"/>
                <w:sz w:val="20"/>
              </w:rPr>
            </w:pPr>
            <w:r w:rsidRPr="00013ED1">
              <w:rPr>
                <w:rFonts w:ascii="Arial" w:hAnsi="Arial" w:cs="Arial"/>
                <w:sz w:val="20"/>
              </w:rPr>
              <w:t xml:space="preserve">Income tax:  </w:t>
            </w:r>
            <w:bookmarkStart w:id="2" w:name="#top"/>
            <w:bookmarkEnd w:id="2"/>
            <w:r w:rsidRPr="00013ED1">
              <w:rPr>
                <w:rFonts w:ascii="Arial" w:hAnsi="Arial" w:cs="Arial"/>
                <w:bCs/>
                <w:sz w:val="20"/>
              </w:rPr>
              <w:t xml:space="preserve">ascertaining the right to tax United States (US) and United Kingdom (UK) resident financial institutions under the </w:t>
            </w:r>
            <w:smartTag w:uri="urn:schemas-microsoft-com:office:smarttags" w:element="country-region">
              <w:r w:rsidRPr="00013ED1">
                <w:rPr>
                  <w:rFonts w:ascii="Arial" w:hAnsi="Arial" w:cs="Arial"/>
                  <w:bCs/>
                  <w:sz w:val="20"/>
                </w:rPr>
                <w:t>US</w:t>
              </w:r>
            </w:smartTag>
            <w:r w:rsidRPr="00013ED1">
              <w:rPr>
                <w:rFonts w:ascii="Arial" w:hAnsi="Arial" w:cs="Arial"/>
                <w:bCs/>
                <w:sz w:val="20"/>
              </w:rPr>
              <w:t xml:space="preserve"> and the UK Taxation Conventions in respect of interest income arising in </w:t>
            </w:r>
            <w:smartTag w:uri="urn:schemas-microsoft-com:office:smarttags" w:element="country-region">
              <w:smartTag w:uri="urn:schemas-microsoft-com:office:smarttags" w:element="place">
                <w:r w:rsidRPr="00013ED1">
                  <w:rPr>
                    <w:rFonts w:ascii="Arial" w:hAnsi="Arial" w:cs="Arial"/>
                    <w:bCs/>
                    <w:sz w:val="20"/>
                  </w:rPr>
                  <w:t>Australia</w:t>
                </w:r>
              </w:smartTag>
            </w:smartTag>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spacing w:after="120"/>
              <w:rPr>
                <w:rFonts w:ascii="Arial" w:hAnsi="Arial" w:cs="Arial"/>
                <w:sz w:val="20"/>
              </w:rPr>
            </w:pPr>
            <w:r w:rsidRPr="00013ED1">
              <w:rPr>
                <w:rFonts w:ascii="Arial" w:hAnsi="Arial" w:cs="Arial"/>
                <w:sz w:val="20"/>
              </w:rPr>
              <w:t xml:space="preserve">The Addendum amends Taxation Ruling TR 2005/5 to take into account the removal of </w:t>
            </w:r>
            <w:smartTag w:uri="urn:schemas-microsoft-com:office:smarttags" w:element="country-region">
              <w:smartTag w:uri="urn:schemas-microsoft-com:office:smarttags" w:element="place">
                <w:r w:rsidRPr="00013ED1">
                  <w:rPr>
                    <w:rFonts w:ascii="Arial" w:hAnsi="Arial" w:cs="Arial"/>
                    <w:sz w:val="20"/>
                  </w:rPr>
                  <w:t>Australia</w:t>
                </w:r>
              </w:smartTag>
            </w:smartTag>
            <w:r w:rsidRPr="00013ED1">
              <w:rPr>
                <w:rFonts w:ascii="Arial" w:hAnsi="Arial" w:cs="Arial"/>
                <w:sz w:val="20"/>
              </w:rPr>
              <w:t xml:space="preserve">’s double tax treaties from the </w:t>
            </w:r>
            <w:r w:rsidRPr="00013ED1">
              <w:rPr>
                <w:rFonts w:ascii="Arial" w:hAnsi="Arial" w:cs="Arial"/>
                <w:i/>
                <w:iCs/>
                <w:sz w:val="20"/>
              </w:rPr>
              <w:t>International Tax Agreements Act 1953</w:t>
            </w:r>
            <w:r w:rsidRPr="00013ED1">
              <w:rPr>
                <w:rFonts w:ascii="Arial" w:hAnsi="Arial" w:cs="Arial"/>
                <w:sz w:val="20"/>
              </w:rPr>
              <w:t>.</w:t>
            </w:r>
            <w:r w:rsidRPr="00013ED1">
              <w:rPr>
                <w:rFonts w:ascii="Arial" w:hAnsi="Arial" w:cs="Arial"/>
                <w:iCs/>
                <w:sz w:val="20"/>
              </w:rPr>
              <w:t xml:space="preserve"> It also</w:t>
            </w:r>
            <w:r w:rsidRPr="00013ED1">
              <w:rPr>
                <w:rFonts w:ascii="Arial" w:hAnsi="Arial" w:cs="Arial"/>
                <w:sz w:val="20"/>
              </w:rPr>
              <w:t xml:space="preserve"> reflects the change to the UK Financial Services Authority, which has now become two separate regulatory authorities and its website is no longer updated. The list of </w:t>
            </w:r>
            <w:smartTag w:uri="urn:schemas-microsoft-com:office:smarttags" w:element="country-region">
              <w:smartTag w:uri="urn:schemas-microsoft-com:office:smarttags" w:element="place">
                <w:r w:rsidRPr="00013ED1">
                  <w:rPr>
                    <w:rFonts w:ascii="Arial" w:hAnsi="Arial" w:cs="Arial"/>
                    <w:sz w:val="20"/>
                  </w:rPr>
                  <w:t>UK</w:t>
                </w:r>
              </w:smartTag>
            </w:smartTag>
            <w:r w:rsidRPr="00013ED1">
              <w:rPr>
                <w:rFonts w:ascii="Arial" w:hAnsi="Arial" w:cs="Arial"/>
                <w:sz w:val="20"/>
              </w:rPr>
              <w:t xml:space="preserve"> banks is now published by the Prudential Regulation Authority which is part of the Bank of England. The Addendum also updates references to the US Convention.</w:t>
            </w:r>
          </w:p>
          <w:p w:rsidR="00F03B99" w:rsidRPr="00013ED1" w:rsidRDefault="00F03B99" w:rsidP="003A313A">
            <w:pPr>
              <w:spacing w:after="120"/>
              <w:rPr>
                <w:rFonts w:ascii="Arial" w:hAnsi="Arial" w:cs="Arial"/>
                <w:sz w:val="20"/>
              </w:rPr>
            </w:pPr>
            <w:r w:rsidRPr="00013ED1">
              <w:rPr>
                <w:rFonts w:ascii="Arial" w:hAnsi="Arial" w:cs="Arial"/>
                <w:sz w:val="20"/>
              </w:rPr>
              <w:t>The Addendum applies on and from 1 April 2013.</w:t>
            </w:r>
          </w:p>
        </w:tc>
      </w:tr>
    </w:tbl>
    <w:p w:rsidR="00F03B99" w:rsidRDefault="00F03B99" w:rsidP="003A313A">
      <w:pPr>
        <w:spacing w:after="0"/>
        <w:rPr>
          <w:rFonts w:ascii="Arial" w:hAnsi="Arial" w:cs="Arial"/>
          <w:sz w:val="18"/>
          <w:szCs w:val="18"/>
        </w:rPr>
      </w:pPr>
    </w:p>
    <w:tbl>
      <w:tblPr>
        <w:tblW w:w="9648" w:type="dxa"/>
        <w:tblLayout w:type="fixed"/>
        <w:tblLook w:val="0000"/>
      </w:tblPr>
      <w:tblGrid>
        <w:gridCol w:w="1728"/>
        <w:gridCol w:w="3780"/>
        <w:gridCol w:w="4140"/>
      </w:tblGrid>
      <w:tr w:rsidR="00F03B99" w:rsidRPr="00773255" w:rsidTr="00ED64B8">
        <w:tblPrEx>
          <w:tblCellMar>
            <w:top w:w="0" w:type="dxa"/>
            <w:bottom w:w="0" w:type="dxa"/>
          </w:tblCellMar>
        </w:tblPrEx>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F03B99" w:rsidRPr="00773255" w:rsidRDefault="00F03B99" w:rsidP="003A313A">
            <w:pPr>
              <w:pStyle w:val="Heading3"/>
              <w:keepLines/>
              <w:spacing w:before="40" w:after="40"/>
              <w:jc w:val="center"/>
              <w:rPr>
                <w:sz w:val="22"/>
                <w:szCs w:val="22"/>
              </w:rPr>
            </w:pPr>
            <w:r w:rsidRPr="00773255">
              <w:rPr>
                <w:sz w:val="22"/>
                <w:szCs w:val="22"/>
              </w:rPr>
              <w:t>NOTICE OF</w:t>
            </w:r>
            <w:r>
              <w:rPr>
                <w:sz w:val="22"/>
                <w:szCs w:val="22"/>
              </w:rPr>
              <w:t xml:space="preserve"> ADDENDUM TO WITHDRAWAL</w:t>
            </w:r>
          </w:p>
        </w:tc>
      </w:tr>
      <w:tr w:rsidR="00F03B99" w:rsidRPr="00773255" w:rsidTr="00ED64B8">
        <w:tblPrEx>
          <w:tblCellMar>
            <w:top w:w="0" w:type="dxa"/>
            <w:bottom w:w="0" w:type="dxa"/>
          </w:tblCellMar>
        </w:tblPrEx>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Brief Description</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 2006/49</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keepNext/>
              <w:spacing w:after="240"/>
              <w:rPr>
                <w:rFonts w:ascii="Arial" w:hAnsi="Arial" w:cs="Arial"/>
                <w:color w:val="000000"/>
                <w:sz w:val="20"/>
              </w:rPr>
            </w:pPr>
            <w:r w:rsidRPr="00013ED1">
              <w:rPr>
                <w:rFonts w:ascii="Arial" w:hAnsi="Arial" w:cs="Arial"/>
                <w:color w:val="000000"/>
                <w:sz w:val="20"/>
              </w:rPr>
              <w:t>Income tax:  Australian South Sea Pearl Project 2006 (Retail)</w:t>
            </w:r>
          </w:p>
          <w:p w:rsidR="00F03B99" w:rsidRPr="00013ED1" w:rsidRDefault="00F03B99" w:rsidP="003A313A">
            <w:pPr>
              <w:pStyle w:val="Header"/>
              <w:rPr>
                <w:rFonts w:ascii="Arial" w:hAnsi="Arial" w:cs="Arial"/>
                <w:sz w:val="20"/>
              </w:rPr>
            </w:pP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spacing w:after="120"/>
              <w:rPr>
                <w:rFonts w:ascii="Arial" w:hAnsi="Arial" w:cs="Arial"/>
                <w:color w:val="000000"/>
                <w:sz w:val="20"/>
              </w:rPr>
            </w:pPr>
            <w:r w:rsidRPr="003A313A">
              <w:rPr>
                <w:rFonts w:ascii="Arial" w:hAnsi="Arial" w:cs="Arial"/>
                <w:sz w:val="20"/>
              </w:rPr>
              <w:t>The</w:t>
            </w:r>
            <w:r w:rsidRPr="00013ED1">
              <w:rPr>
                <w:rFonts w:ascii="Arial" w:hAnsi="Arial" w:cs="Arial"/>
                <w:color w:val="000000"/>
                <w:sz w:val="20"/>
              </w:rPr>
              <w:t xml:space="preserve"> Addendum amends Product Ruling PR 2006/49W to provide information about the consequences of a material difference having occurred in relation to the Project. </w:t>
            </w:r>
          </w:p>
          <w:p w:rsidR="00F03B99" w:rsidRPr="00013ED1" w:rsidRDefault="00F03B99" w:rsidP="003A313A">
            <w:pPr>
              <w:spacing w:after="120"/>
              <w:rPr>
                <w:rFonts w:ascii="Arial" w:hAnsi="Arial" w:cs="Arial"/>
                <w:sz w:val="20"/>
              </w:rPr>
            </w:pPr>
            <w:r w:rsidRPr="003A313A">
              <w:rPr>
                <w:rFonts w:ascii="Arial" w:hAnsi="Arial" w:cs="Arial"/>
                <w:sz w:val="20"/>
              </w:rPr>
              <w:t>The</w:t>
            </w:r>
            <w:r w:rsidRPr="00013ED1">
              <w:rPr>
                <w:rFonts w:ascii="Arial" w:hAnsi="Arial" w:cs="Arial"/>
                <w:color w:val="000000"/>
                <w:sz w:val="20"/>
              </w:rPr>
              <w:t xml:space="preserve"> Addendum applies on and from 24 July 2013.</w:t>
            </w:r>
            <w:r w:rsidRPr="00013ED1">
              <w:rPr>
                <w:rFonts w:ascii="Arial" w:hAnsi="Arial" w:cs="Arial"/>
                <w:color w:val="000000"/>
                <w:sz w:val="20"/>
              </w:rPr>
              <w:fldChar w:fldCharType="begin"/>
            </w:r>
            <w:r w:rsidRPr="00013ED1">
              <w:rPr>
                <w:rFonts w:ascii="Arial" w:hAnsi="Arial" w:cs="Arial"/>
                <w:color w:val="000000"/>
                <w:sz w:val="20"/>
              </w:rPr>
              <w:instrText xml:space="preserve"> insertappropriatedatee.g.today/dateoftheruling \* MERGEFORMAT </w:instrText>
            </w:r>
            <w:r w:rsidRPr="00013ED1">
              <w:rPr>
                <w:rFonts w:ascii="Arial" w:hAnsi="Arial" w:cs="Arial"/>
                <w:color w:val="000000"/>
                <w:sz w:val="20"/>
              </w:rPr>
              <w:fldChar w:fldCharType="end"/>
            </w:r>
          </w:p>
        </w:tc>
      </w:tr>
    </w:tbl>
    <w:p w:rsidR="00F03B99" w:rsidRDefault="00F03B99" w:rsidP="003A313A">
      <w:pPr>
        <w:spacing w:after="0"/>
        <w:rPr>
          <w:rFonts w:ascii="Arial" w:hAnsi="Arial" w:cs="Arial"/>
          <w:sz w:val="18"/>
          <w:szCs w:val="18"/>
        </w:rPr>
      </w:pPr>
    </w:p>
    <w:tbl>
      <w:tblPr>
        <w:tblW w:w="9648" w:type="dxa"/>
        <w:tblLayout w:type="fixed"/>
        <w:tblLook w:val="0000"/>
      </w:tblPr>
      <w:tblGrid>
        <w:gridCol w:w="1728"/>
        <w:gridCol w:w="3780"/>
        <w:gridCol w:w="4140"/>
      </w:tblGrid>
      <w:tr w:rsidR="00F03B99" w:rsidRPr="00773255" w:rsidTr="00ED64B8">
        <w:tblPrEx>
          <w:tblCellMar>
            <w:top w:w="0" w:type="dxa"/>
            <w:bottom w:w="0" w:type="dxa"/>
          </w:tblCellMar>
        </w:tblPrEx>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F03B99" w:rsidRPr="00773255" w:rsidRDefault="00F03B99" w:rsidP="003A313A">
            <w:pPr>
              <w:pStyle w:val="Heading3"/>
              <w:keepLines/>
              <w:spacing w:before="40" w:after="40"/>
              <w:jc w:val="center"/>
              <w:rPr>
                <w:sz w:val="22"/>
                <w:szCs w:val="22"/>
              </w:rPr>
            </w:pPr>
            <w:r w:rsidRPr="00773255">
              <w:rPr>
                <w:sz w:val="22"/>
                <w:szCs w:val="22"/>
              </w:rPr>
              <w:t>NOTICE OF</w:t>
            </w:r>
            <w:r>
              <w:rPr>
                <w:sz w:val="22"/>
                <w:szCs w:val="22"/>
              </w:rPr>
              <w:t xml:space="preserve"> WITHDRAWALS</w:t>
            </w:r>
          </w:p>
        </w:tc>
      </w:tr>
      <w:tr w:rsidR="00F03B99" w:rsidRPr="00773255" w:rsidTr="00ED64B8">
        <w:tblPrEx>
          <w:tblCellMar>
            <w:top w:w="0" w:type="dxa"/>
            <w:bottom w:w="0" w:type="dxa"/>
          </w:tblCellMar>
        </w:tblPrEx>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F03B99" w:rsidRPr="00773255" w:rsidRDefault="00F03B99" w:rsidP="003A313A">
            <w:pPr>
              <w:pStyle w:val="Heading3"/>
              <w:keepLines/>
              <w:spacing w:before="40" w:after="40"/>
              <w:jc w:val="center"/>
              <w:rPr>
                <w:sz w:val="22"/>
                <w:szCs w:val="22"/>
              </w:rPr>
            </w:pPr>
            <w:r w:rsidRPr="00773255">
              <w:rPr>
                <w:sz w:val="22"/>
                <w:szCs w:val="22"/>
              </w:rPr>
              <w:t>Brief Description</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 2007/21</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Income tax:  Arafura Pearl Project 2007</w:t>
            </w: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Product Ruling PR 2007/21 is withdrawn with effect from today.</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 2007/83</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Income tax:  Arafura Pearl Project 2008</w:t>
            </w: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Product Ruling PR 2007/83 is withdrawn with effect from today.</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 2009/16</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color w:val="000000"/>
                <w:sz w:val="20"/>
              </w:rPr>
              <w:t>Income tax:  Arafura Pearl Project 2009</w:t>
            </w: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Product</w:t>
            </w:r>
            <w:r w:rsidRPr="00013ED1">
              <w:rPr>
                <w:rFonts w:ascii="Arial" w:hAnsi="Arial" w:cs="Arial"/>
                <w:color w:val="000000"/>
                <w:sz w:val="20"/>
              </w:rPr>
              <w:t xml:space="preserve"> </w:t>
            </w:r>
            <w:r w:rsidRPr="00013ED1">
              <w:rPr>
                <w:rFonts w:ascii="Arial" w:hAnsi="Arial" w:cs="Arial"/>
                <w:sz w:val="20"/>
              </w:rPr>
              <w:t>Ruling</w:t>
            </w:r>
            <w:r w:rsidRPr="00013ED1">
              <w:rPr>
                <w:rFonts w:ascii="Arial" w:hAnsi="Arial" w:cs="Arial"/>
                <w:color w:val="000000"/>
                <w:sz w:val="20"/>
              </w:rPr>
              <w:t xml:space="preserve"> PR 2009/16 is withdrawn with effect from today.</w:t>
            </w:r>
          </w:p>
        </w:tc>
      </w:tr>
      <w:tr w:rsidR="00F03B99" w:rsidRPr="00C51D3C" w:rsidTr="00ED64B8">
        <w:tblPrEx>
          <w:tblCellMar>
            <w:top w:w="0" w:type="dxa"/>
            <w:bottom w:w="0" w:type="dxa"/>
          </w:tblCellMar>
        </w:tblPrEx>
        <w:trPr>
          <w:cantSplit/>
          <w:trHeight w:val="72"/>
        </w:trPr>
        <w:tc>
          <w:tcPr>
            <w:tcW w:w="1728"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 2009/55</w:t>
            </w:r>
          </w:p>
        </w:tc>
        <w:tc>
          <w:tcPr>
            <w:tcW w:w="378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color w:val="000000"/>
                <w:sz w:val="20"/>
              </w:rPr>
            </w:pPr>
            <w:r w:rsidRPr="00013ED1">
              <w:rPr>
                <w:rFonts w:ascii="Arial" w:hAnsi="Arial" w:cs="Arial"/>
                <w:sz w:val="20"/>
              </w:rPr>
              <w:t>Income tax:  Arafura Pearl Project 2010</w:t>
            </w:r>
          </w:p>
        </w:tc>
        <w:tc>
          <w:tcPr>
            <w:tcW w:w="4140" w:type="dxa"/>
            <w:tcBorders>
              <w:top w:val="single" w:sz="6" w:space="0" w:color="auto"/>
              <w:left w:val="single" w:sz="6" w:space="0" w:color="auto"/>
              <w:bottom w:val="single" w:sz="6" w:space="0" w:color="auto"/>
              <w:right w:val="single" w:sz="6" w:space="0" w:color="auto"/>
            </w:tcBorders>
          </w:tcPr>
          <w:p w:rsidR="00F03B99" w:rsidRPr="00013ED1" w:rsidRDefault="00F03B99" w:rsidP="003A313A">
            <w:pPr>
              <w:pStyle w:val="Header"/>
              <w:rPr>
                <w:rFonts w:ascii="Arial" w:hAnsi="Arial" w:cs="Arial"/>
                <w:sz w:val="20"/>
              </w:rPr>
            </w:pPr>
            <w:r w:rsidRPr="00013ED1">
              <w:rPr>
                <w:rFonts w:ascii="Arial" w:hAnsi="Arial" w:cs="Arial"/>
                <w:sz w:val="20"/>
              </w:rPr>
              <w:t>Product Ruling PR 2009/55 is withdrawn with effect from today.</w:t>
            </w:r>
          </w:p>
        </w:tc>
      </w:tr>
    </w:tbl>
    <w:p w:rsidR="00F03B99" w:rsidRPr="00321AA1" w:rsidRDefault="00F03B99" w:rsidP="003A313A"/>
    <w:sectPr w:rsidR="00F03B99" w:rsidRPr="00321AA1" w:rsidSect="003A313A">
      <w:headerReference w:type="first" r:id="rId7"/>
      <w:type w:val="continuous"/>
      <w:pgSz w:w="11906" w:h="16838" w:code="9"/>
      <w:pgMar w:top="1134" w:right="1134" w:bottom="899"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B99" w:rsidRDefault="00F03B99" w:rsidP="003A707F">
      <w:pPr>
        <w:spacing w:after="0" w:line="240" w:lineRule="auto"/>
      </w:pPr>
      <w:r>
        <w:separator/>
      </w:r>
    </w:p>
  </w:endnote>
  <w:endnote w:type="continuationSeparator" w:id="0">
    <w:p w:rsidR="00F03B99" w:rsidRDefault="00F03B99"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B99" w:rsidRDefault="00F03B99" w:rsidP="003A707F">
      <w:pPr>
        <w:spacing w:after="0" w:line="240" w:lineRule="auto"/>
      </w:pPr>
      <w:r>
        <w:separator/>
      </w:r>
    </w:p>
  </w:footnote>
  <w:footnote w:type="continuationSeparator" w:id="0">
    <w:p w:rsidR="00F03B99" w:rsidRDefault="00F03B99"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35"/>
      <w:gridCol w:w="4435"/>
      <w:gridCol w:w="3979"/>
    </w:tblGrid>
    <w:tr w:rsidR="00F03B99" w:rsidRPr="0081339D" w:rsidTr="0095650D">
      <w:trPr>
        <w:trHeight w:val="984"/>
      </w:trPr>
      <w:tc>
        <w:tcPr>
          <w:tcW w:w="1263" w:type="dxa"/>
          <w:tcBorders>
            <w:top w:val="single" w:sz="4" w:space="0" w:color="auto"/>
            <w:left w:val="nil"/>
            <w:bottom w:val="single" w:sz="4" w:space="0" w:color="auto"/>
            <w:right w:val="nil"/>
          </w:tcBorders>
        </w:tcPr>
        <w:p w:rsidR="00F03B99" w:rsidRPr="0081339D" w:rsidRDefault="00F03B99" w:rsidP="00840A06">
          <w:pPr>
            <w:spacing w:before="60" w:after="0"/>
            <w:ind w:left="-51"/>
            <w:rPr>
              <w:rFonts w:ascii="Arial" w:hAnsi="Arial"/>
              <w:sz w:val="12"/>
            </w:rPr>
          </w:pPr>
          <w:bookmarkStart w:id="3" w:name="OLE_LINK2"/>
          <w:r w:rsidRPr="00713A4B">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F03B99" w:rsidRPr="0081339D" w:rsidRDefault="00F03B99" w:rsidP="00840A06">
          <w:pPr>
            <w:spacing w:before="60" w:after="0" w:line="460" w:lineRule="exact"/>
            <w:rPr>
              <w:rFonts w:ascii="Arial" w:hAnsi="Arial" w:cs="Arial"/>
              <w:b/>
              <w:spacing w:val="-2"/>
              <w:sz w:val="44"/>
              <w:szCs w:val="44"/>
            </w:rPr>
          </w:pPr>
          <w:r w:rsidRPr="0081339D">
            <w:rPr>
              <w:rFonts w:ascii="Arial" w:hAnsi="Arial" w:cs="Arial"/>
              <w:b/>
              <w:spacing w:val="-2"/>
              <w:sz w:val="44"/>
              <w:szCs w:val="44"/>
            </w:rPr>
            <w:t>Commonwealth</w:t>
          </w:r>
          <w:r w:rsidRPr="0081339D">
            <w:rPr>
              <w:rFonts w:ascii="Arial" w:hAnsi="Arial" w:cs="Arial"/>
              <w:b/>
              <w:spacing w:val="-2"/>
              <w:sz w:val="44"/>
              <w:szCs w:val="44"/>
            </w:rPr>
            <w:br/>
            <w:t xml:space="preserve">of </w:t>
          </w:r>
          <w:smartTag w:uri="urn:schemas-microsoft-com:office:smarttags" w:element="country-region">
            <w:smartTag w:uri="urn:schemas-microsoft-com:office:smarttags" w:element="place">
              <w:r w:rsidRPr="0081339D">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F03B99" w:rsidRPr="0081339D" w:rsidRDefault="00F03B99" w:rsidP="00840A06">
          <w:pPr>
            <w:spacing w:before="180" w:after="0" w:line="800" w:lineRule="exact"/>
            <w:jc w:val="right"/>
            <w:rPr>
              <w:rFonts w:ascii="Arial" w:hAnsi="Arial" w:cs="Arial"/>
              <w:b/>
              <w:sz w:val="100"/>
              <w:szCs w:val="100"/>
            </w:rPr>
          </w:pPr>
          <w:r w:rsidRPr="0081339D">
            <w:rPr>
              <w:rFonts w:ascii="Arial" w:hAnsi="Arial" w:cs="Arial"/>
              <w:b/>
              <w:sz w:val="100"/>
              <w:szCs w:val="100"/>
            </w:rPr>
            <w:t>Gazette</w:t>
          </w:r>
        </w:p>
      </w:tc>
    </w:tr>
    <w:tr w:rsidR="00F03B99" w:rsidRPr="0081339D" w:rsidTr="00840A06">
      <w:trPr>
        <w:trHeight w:val="340"/>
      </w:trPr>
      <w:tc>
        <w:tcPr>
          <w:tcW w:w="5698" w:type="dxa"/>
          <w:gridSpan w:val="2"/>
          <w:tcBorders>
            <w:top w:val="single" w:sz="4" w:space="0" w:color="auto"/>
            <w:left w:val="nil"/>
            <w:bottom w:val="single" w:sz="4" w:space="0" w:color="auto"/>
            <w:right w:val="nil"/>
          </w:tcBorders>
          <w:vAlign w:val="bottom"/>
        </w:tcPr>
        <w:p w:rsidR="00F03B99" w:rsidRPr="0081339D" w:rsidRDefault="00F03B99" w:rsidP="00840A06">
          <w:pPr>
            <w:spacing w:after="0"/>
            <w:ind w:left="-51"/>
            <w:rPr>
              <w:rFonts w:ascii="Arial" w:hAnsi="Arial" w:cs="Arial"/>
              <w:sz w:val="14"/>
              <w:szCs w:val="14"/>
            </w:rPr>
          </w:pPr>
          <w:bookmarkStart w:id="4" w:name="GazNo"/>
          <w:bookmarkEnd w:id="4"/>
          <w:r w:rsidRPr="0081339D">
            <w:rPr>
              <w:rFonts w:ascii="Arial" w:hAnsi="Arial" w:cs="Arial"/>
              <w:sz w:val="14"/>
              <w:szCs w:val="14"/>
            </w:rPr>
            <w:t xml:space="preserve">Published by the Commonwealth of </w:t>
          </w:r>
          <w:smartTag w:uri="urn:schemas-microsoft-com:office:smarttags" w:element="country-region">
            <w:smartTag w:uri="urn:schemas-microsoft-com:office:smarttags" w:element="place">
              <w:r w:rsidRPr="0081339D">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F03B99" w:rsidRPr="0081339D" w:rsidRDefault="00F03B99" w:rsidP="00840A06">
          <w:pPr>
            <w:spacing w:after="0"/>
            <w:jc w:val="right"/>
            <w:rPr>
              <w:rFonts w:ascii="Arial" w:hAnsi="Arial" w:cs="Arial"/>
              <w:b/>
              <w:sz w:val="24"/>
              <w:szCs w:val="24"/>
            </w:rPr>
          </w:pPr>
          <w:r w:rsidRPr="0081339D">
            <w:rPr>
              <w:rFonts w:ascii="Arial" w:hAnsi="Arial" w:cs="Arial"/>
              <w:b/>
              <w:sz w:val="24"/>
              <w:szCs w:val="24"/>
            </w:rPr>
            <w:t>GOVERNMENT NOTICES</w:t>
          </w:r>
        </w:p>
      </w:tc>
    </w:tr>
    <w:bookmarkEnd w:id="3"/>
  </w:tbl>
  <w:p w:rsidR="00F03B99" w:rsidRPr="003A707F" w:rsidRDefault="00F03B99" w:rsidP="00F40885">
    <w:pPr>
      <w:pStyle w:val="Header"/>
      <w:rPr>
        <w:sz w:val="2"/>
        <w:szCs w:val="2"/>
      </w:rPr>
    </w:pPr>
  </w:p>
  <w:p w:rsidR="00F03B99" w:rsidRPr="00F40885" w:rsidRDefault="00F03B99">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F6C"/>
    <w:rsid w:val="00013ED1"/>
    <w:rsid w:val="000E1F2B"/>
    <w:rsid w:val="00141674"/>
    <w:rsid w:val="001B23E2"/>
    <w:rsid w:val="001C2AAD"/>
    <w:rsid w:val="001F6E54"/>
    <w:rsid w:val="00280BCD"/>
    <w:rsid w:val="00321AA1"/>
    <w:rsid w:val="003A313A"/>
    <w:rsid w:val="003A707F"/>
    <w:rsid w:val="003B0EC1"/>
    <w:rsid w:val="003B573B"/>
    <w:rsid w:val="003F2CBD"/>
    <w:rsid w:val="00424B97"/>
    <w:rsid w:val="004B1C69"/>
    <w:rsid w:val="004B2753"/>
    <w:rsid w:val="004E1AC9"/>
    <w:rsid w:val="00520873"/>
    <w:rsid w:val="00573D44"/>
    <w:rsid w:val="00713A4B"/>
    <w:rsid w:val="00773255"/>
    <w:rsid w:val="00795D73"/>
    <w:rsid w:val="0081339D"/>
    <w:rsid w:val="00840A06"/>
    <w:rsid w:val="008439B7"/>
    <w:rsid w:val="0087253F"/>
    <w:rsid w:val="008E4F6C"/>
    <w:rsid w:val="009539C7"/>
    <w:rsid w:val="0095650D"/>
    <w:rsid w:val="00A00F21"/>
    <w:rsid w:val="00A84FD4"/>
    <w:rsid w:val="00B84226"/>
    <w:rsid w:val="00C064A3"/>
    <w:rsid w:val="00C51D3C"/>
    <w:rsid w:val="00C63C4E"/>
    <w:rsid w:val="00D77A88"/>
    <w:rsid w:val="00DE0FA4"/>
    <w:rsid w:val="00ED64B8"/>
    <w:rsid w:val="00F03B99"/>
    <w:rsid w:val="00F125FF"/>
    <w:rsid w:val="00F40885"/>
    <w:rsid w:val="00F86CE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contacts" w:name="Sn"/>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C9"/>
    <w:pPr>
      <w:spacing w:after="200" w:line="276" w:lineRule="auto"/>
    </w:pPr>
    <w:rPr>
      <w:lang w:eastAsia="en-US"/>
    </w:rPr>
  </w:style>
  <w:style w:type="paragraph" w:styleId="Heading3">
    <w:name w:val="heading 3"/>
    <w:basedOn w:val="Normal"/>
    <w:next w:val="Normal"/>
    <w:link w:val="Heading3Char"/>
    <w:uiPriority w:val="99"/>
    <w:qFormat/>
    <w:locked/>
    <w:rsid w:val="003A313A"/>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96D0B"/>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1 Char,Header Char Char Char,Header Char1 Char Char Char,Header Char Char Char Char Char,Header Char2 Char Char Char,Header Char Char1 Char Char Char,Header Char1 Char Char1 Char Char Char,Header Char2 Char,Header Char2"/>
    <w:basedOn w:val="Normal"/>
    <w:link w:val="HeaderChar"/>
    <w:uiPriority w:val="99"/>
    <w:rsid w:val="003A707F"/>
    <w:pPr>
      <w:tabs>
        <w:tab w:val="center" w:pos="4513"/>
        <w:tab w:val="right" w:pos="9026"/>
      </w:tabs>
      <w:spacing w:after="0" w:line="240" w:lineRule="auto"/>
    </w:pPr>
  </w:style>
  <w:style w:type="character" w:customStyle="1" w:styleId="HeaderChar">
    <w:name w:val="Header Char"/>
    <w:aliases w:val="Header Char1 Char Char,Header Char Char Char Char,Header Char1 Char Char Char Char,Header Char Char Char Char Char Char,Header Char2 Char Char Char Char,Header Char Char1 Char Char Char Char,Header Char1 Char Char1 Char Char Cha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customStyle="1" w:styleId="HeaderCharChar">
    <w:name w:val="Header Char Char"/>
    <w:aliases w:val="Header Char1 Char Char1,Header Char Char Char Char1,Header Char1 Char Char Char Char1,Header Char Char Char Char Char Char1,Header Char2 Char Char Char Char1,Header Char Char1 Char Char Char Char1"/>
    <w:basedOn w:val="DefaultParagraphFont"/>
    <w:uiPriority w:val="99"/>
    <w:rsid w:val="003A313A"/>
    <w:rPr>
      <w:rFonts w:cs="Times New Roman"/>
      <w:sz w:val="24"/>
      <w:lang w:val="en-AU" w:eastAsia="en-AU" w:bidi="ar-SA"/>
    </w:rPr>
  </w:style>
  <w:style w:type="character" w:styleId="Hyperlink">
    <w:name w:val="Hyperlink"/>
    <w:basedOn w:val="DefaultParagraphFont"/>
    <w:uiPriority w:val="99"/>
    <w:rsid w:val="003A31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ato.gov.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597</Words>
  <Characters>3407</Characters>
  <Application>Microsoft Office Outlook</Application>
  <DocSecurity>0</DocSecurity>
  <Lines>0</Lines>
  <Paragraphs>0</Paragraphs>
  <ScaleCrop>false</ScaleCrop>
  <Company>Office of Parliamentary Counsel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OF TAXATION</dc:title>
  <dc:subject/>
  <dc:creator>Miller, Kelli</dc:creator>
  <cp:keywords/>
  <dc:description/>
  <cp:lastModifiedBy>ubb9n</cp:lastModifiedBy>
  <cp:revision>2</cp:revision>
  <cp:lastPrinted>2013-06-24T01:35:00Z</cp:lastPrinted>
  <dcterms:created xsi:type="dcterms:W3CDTF">2013-07-19T02:57:00Z</dcterms:created>
  <dcterms:modified xsi:type="dcterms:W3CDTF">2013-07-19T02:57:00Z</dcterms:modified>
</cp:coreProperties>
</file>