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75" w:rsidRDefault="00856875" w:rsidP="00506843">
      <w:pPr>
        <w:spacing w:after="0" w:line="240" w:lineRule="auto"/>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06843" w:rsidTr="007541B6">
        <w:tc>
          <w:tcPr>
            <w:tcW w:w="5000" w:type="pct"/>
          </w:tcPr>
          <w:p w:rsidR="00506843" w:rsidRDefault="00506843" w:rsidP="007541B6">
            <w:pPr>
              <w:pStyle w:val="Header"/>
              <w:spacing w:before="60" w:after="60"/>
              <w:jc w:val="right"/>
              <w:rPr>
                <w:rFonts w:ascii="Arial Narrow" w:hAnsi="Arial Narrow" w:cs="Times New Roman"/>
                <w:spacing w:val="40"/>
              </w:rPr>
            </w:pPr>
            <w:r w:rsidRPr="007867BE">
              <w:rPr>
                <w:rFonts w:ascii="Arial Narrow" w:hAnsi="Arial Narrow" w:cs="Times New Roman"/>
                <w:spacing w:val="40"/>
              </w:rPr>
              <w:t>M</w:t>
            </w:r>
            <w:r>
              <w:rPr>
                <w:rFonts w:ascii="Arial Narrow" w:hAnsi="Arial Narrow" w:cs="Times New Roman"/>
                <w:spacing w:val="40"/>
              </w:rPr>
              <w:t>01123</w:t>
            </w:r>
          </w:p>
        </w:tc>
      </w:tr>
      <w:tr w:rsidR="00506843" w:rsidTr="007541B6">
        <w:trPr>
          <w:trHeight w:val="70"/>
        </w:trPr>
        <w:tc>
          <w:tcPr>
            <w:tcW w:w="5000" w:type="pct"/>
          </w:tcPr>
          <w:p w:rsidR="00506843" w:rsidRDefault="00506843" w:rsidP="007541B6">
            <w:pPr>
              <w:pStyle w:val="Header"/>
              <w:spacing w:before="60" w:after="60"/>
              <w:rPr>
                <w:rFonts w:ascii="Arial Narrow" w:hAnsi="Arial Narrow" w:cs="Times New Roman"/>
                <w:spacing w:val="40"/>
              </w:rPr>
            </w:pPr>
            <w:r w:rsidRPr="008E1E2A">
              <w:rPr>
                <w:rFonts w:ascii="Arial Narrow" w:hAnsi="Arial Narrow" w:cs="Times New Roman"/>
                <w:noProof/>
                <w:spacing w:val="40"/>
                <w:lang w:eastAsia="en-AU"/>
              </w:rPr>
              <w:drawing>
                <wp:inline distT="0" distB="0" distL="0" distR="0">
                  <wp:extent cx="3867150" cy="638175"/>
                  <wp:effectExtent l="19050" t="0" r="0" b="0"/>
                  <wp:docPr id="2" name="Picture 1" descr="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logo-inline.png"/>
                          <pic:cNvPicPr>
                            <a:picLocks noChangeAspect="1" noChangeArrowheads="1"/>
                          </pic:cNvPicPr>
                        </pic:nvPicPr>
                        <pic:blipFill>
                          <a:blip r:embed="rId9" cstate="print"/>
                          <a:srcRect/>
                          <a:stretch>
                            <a:fillRect/>
                          </a:stretch>
                        </pic:blipFill>
                        <pic:spPr bwMode="auto">
                          <a:xfrm>
                            <a:off x="0" y="0"/>
                            <a:ext cx="3867150" cy="638175"/>
                          </a:xfrm>
                          <a:prstGeom prst="rect">
                            <a:avLst/>
                          </a:prstGeom>
                          <a:noFill/>
                          <a:ln w="9525">
                            <a:noFill/>
                            <a:miter lim="800000"/>
                            <a:headEnd/>
                            <a:tailEnd/>
                          </a:ln>
                        </pic:spPr>
                      </pic:pic>
                    </a:graphicData>
                  </a:graphic>
                </wp:inline>
              </w:drawing>
            </w:r>
          </w:p>
        </w:tc>
      </w:tr>
    </w:tbl>
    <w:p w:rsidR="00506843" w:rsidRDefault="00506843" w:rsidP="00424B97">
      <w:pPr>
        <w:rPr>
          <w:noProof/>
        </w:rPr>
      </w:pPr>
    </w:p>
    <w:p w:rsidR="00506843" w:rsidRPr="00AC290C" w:rsidRDefault="00506843" w:rsidP="00506843">
      <w:pPr>
        <w:spacing w:after="0" w:line="240" w:lineRule="auto"/>
        <w:ind w:right="-188"/>
        <w:rPr>
          <w:rFonts w:ascii="Arial" w:hAnsi="Arial" w:cs="Arial"/>
          <w:b/>
          <w:i/>
          <w:sz w:val="32"/>
          <w:szCs w:val="32"/>
        </w:rPr>
      </w:pPr>
      <w:r w:rsidRPr="00AC290C">
        <w:rPr>
          <w:rFonts w:ascii="Arial" w:hAnsi="Arial" w:cs="Arial"/>
          <w:b/>
          <w:i/>
          <w:sz w:val="32"/>
          <w:szCs w:val="32"/>
        </w:rPr>
        <w:t>Maritime Transport and Offshore Facilities Security Act 2003</w:t>
      </w:r>
    </w:p>
    <w:p w:rsidR="00506843" w:rsidRPr="001E422B" w:rsidRDefault="00506843" w:rsidP="00506843">
      <w:pPr>
        <w:spacing w:after="0" w:line="240" w:lineRule="auto"/>
        <w:ind w:right="354"/>
        <w:rPr>
          <w:rStyle w:val="Strong"/>
          <w:rFonts w:ascii="MS SANS SERIF" w:hAnsi="MS SANS SERIF"/>
          <w:caps/>
          <w:color w:val="000000"/>
          <w:szCs w:val="24"/>
        </w:rPr>
      </w:pPr>
    </w:p>
    <w:p w:rsidR="00506843" w:rsidRPr="00D5402A" w:rsidRDefault="00506843" w:rsidP="00506843">
      <w:pPr>
        <w:pBdr>
          <w:bottom w:val="single" w:sz="4" w:space="1" w:color="auto"/>
        </w:pBdr>
        <w:spacing w:after="0" w:line="240" w:lineRule="auto"/>
        <w:ind w:right="354"/>
        <w:rPr>
          <w:rStyle w:val="Strong"/>
          <w:caps/>
          <w:color w:val="000000"/>
          <w:sz w:val="36"/>
          <w:szCs w:val="36"/>
        </w:rPr>
      </w:pPr>
      <w:r w:rsidRPr="00C67CFD">
        <w:rPr>
          <w:rStyle w:val="Strong"/>
          <w:caps/>
          <w:color w:val="000000"/>
          <w:sz w:val="36"/>
          <w:szCs w:val="36"/>
        </w:rPr>
        <w:t>Notice of declaration</w:t>
      </w:r>
      <w:r>
        <w:rPr>
          <w:rStyle w:val="Strong"/>
          <w:caps/>
          <w:color w:val="000000"/>
          <w:sz w:val="36"/>
          <w:szCs w:val="36"/>
        </w:rPr>
        <w:t xml:space="preserve"> of security </w:t>
      </w:r>
      <w:r w:rsidRPr="00D5402A">
        <w:rPr>
          <w:rStyle w:val="Strong"/>
          <w:caps/>
          <w:color w:val="000000"/>
          <w:sz w:val="36"/>
          <w:szCs w:val="36"/>
        </w:rPr>
        <w:t>regulated port – PORT of NORFOLK ISLAND</w:t>
      </w:r>
    </w:p>
    <w:p w:rsidR="00506843" w:rsidRPr="00D5402A" w:rsidRDefault="00506843" w:rsidP="00506843">
      <w:pPr>
        <w:pBdr>
          <w:bottom w:val="single" w:sz="4" w:space="1" w:color="auto"/>
        </w:pBdr>
        <w:spacing w:after="0" w:line="240" w:lineRule="auto"/>
        <w:ind w:right="354"/>
        <w:rPr>
          <w:bCs/>
          <w:caps/>
          <w:color w:val="000000"/>
          <w:szCs w:val="24"/>
        </w:rPr>
      </w:pPr>
    </w:p>
    <w:p w:rsidR="00506843" w:rsidRPr="00D5402A" w:rsidRDefault="00506843" w:rsidP="00506843">
      <w:pPr>
        <w:spacing w:after="0" w:line="240" w:lineRule="auto"/>
        <w:ind w:right="354"/>
      </w:pPr>
    </w:p>
    <w:p w:rsidR="00506843" w:rsidRPr="00D5402A" w:rsidRDefault="00506843" w:rsidP="00506843">
      <w:pPr>
        <w:spacing w:after="0" w:line="240" w:lineRule="auto"/>
      </w:pPr>
      <w:r w:rsidRPr="00D5402A">
        <w:t xml:space="preserve">I, </w:t>
      </w:r>
      <w:r w:rsidRPr="00D5402A">
        <w:rPr>
          <w:b/>
        </w:rPr>
        <w:t>MICHAEL WILLIAM ROWE</w:t>
      </w:r>
      <w:r w:rsidRPr="00D5402A">
        <w:t xml:space="preserve">, Regional Director, Transport Security Operations, Office of Transport Security, under subsection 13(1) of the </w:t>
      </w:r>
      <w:r w:rsidRPr="00D5402A">
        <w:rPr>
          <w:i/>
        </w:rPr>
        <w:t>Maritime Transport and Offshore Facilities Security Act 2003</w:t>
      </w:r>
      <w:r w:rsidRPr="00D5402A">
        <w:t xml:space="preserve"> (the Act):</w:t>
      </w:r>
    </w:p>
    <w:p w:rsidR="00506843" w:rsidRPr="00D5402A" w:rsidRDefault="00506843" w:rsidP="00506843">
      <w:pPr>
        <w:spacing w:after="0" w:line="240" w:lineRule="auto"/>
        <w:ind w:right="352"/>
        <w:rPr>
          <w:szCs w:val="24"/>
        </w:rPr>
      </w:pPr>
    </w:p>
    <w:p w:rsidR="00506843" w:rsidRPr="00D5402A" w:rsidRDefault="00506843" w:rsidP="00506843">
      <w:pPr>
        <w:spacing w:after="0" w:line="240" w:lineRule="auto"/>
        <w:ind w:right="352"/>
      </w:pPr>
      <w:r w:rsidRPr="00D5402A">
        <w:rPr>
          <w:b/>
        </w:rPr>
        <w:t>REVOKE</w:t>
      </w:r>
      <w:r w:rsidRPr="00D5402A">
        <w:t xml:space="preserve"> the declaration of the security regulated port of Port of Norfolk Island published in the </w:t>
      </w:r>
      <w:r w:rsidRPr="00D5402A">
        <w:rPr>
          <w:i/>
        </w:rPr>
        <w:t xml:space="preserve">Gazette </w:t>
      </w:r>
      <w:r>
        <w:rPr>
          <w:i/>
        </w:rPr>
        <w:t>(</w:t>
      </w:r>
      <w:r w:rsidRPr="00D5402A">
        <w:rPr>
          <w:i/>
        </w:rPr>
        <w:t>No. GN37, 20 September 2006</w:t>
      </w:r>
      <w:r>
        <w:rPr>
          <w:i/>
        </w:rPr>
        <w:t>)</w:t>
      </w:r>
      <w:r w:rsidRPr="00D5402A">
        <w:t>; and</w:t>
      </w:r>
    </w:p>
    <w:p w:rsidR="00506843" w:rsidRPr="001E422B" w:rsidRDefault="00506843" w:rsidP="00506843">
      <w:pPr>
        <w:spacing w:after="0" w:line="240" w:lineRule="auto"/>
        <w:ind w:right="352"/>
        <w:rPr>
          <w:szCs w:val="24"/>
        </w:rPr>
      </w:pPr>
    </w:p>
    <w:p w:rsidR="00506843" w:rsidRDefault="00506843" w:rsidP="00506843">
      <w:pPr>
        <w:spacing w:after="0" w:line="240" w:lineRule="auto"/>
        <w:ind w:right="352"/>
      </w:pPr>
      <w:r w:rsidRPr="0027200B">
        <w:rPr>
          <w:b/>
        </w:rPr>
        <w:t>DECLARE</w:t>
      </w:r>
      <w:r>
        <w:t xml:space="preserve"> that the area of the port of </w:t>
      </w:r>
      <w:r w:rsidRPr="00570744">
        <w:t xml:space="preserve">Port of Norfolk Island </w:t>
      </w:r>
      <w:r>
        <w:t>intended for use either wholly or partly in connection with the movement, loading, unloading, maintenance or provisioning of security regulated ships, the boundaries of which are shown on the attached map and descriptions, to be a security regulated port.</w:t>
      </w:r>
    </w:p>
    <w:p w:rsidR="00506843" w:rsidRDefault="00506843" w:rsidP="00506843">
      <w:pPr>
        <w:spacing w:after="0" w:line="240" w:lineRule="auto"/>
        <w:ind w:right="354"/>
      </w:pPr>
      <w:bookmarkStart w:id="0" w:name="_GoBack"/>
      <w:bookmarkEnd w:id="0"/>
    </w:p>
    <w:p w:rsidR="00506843" w:rsidRDefault="00506843" w:rsidP="00506843">
      <w:pPr>
        <w:pStyle w:val="Text"/>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506843" w:rsidRDefault="00506843" w:rsidP="00506843">
      <w:pPr>
        <w:spacing w:after="0" w:line="240" w:lineRule="auto"/>
        <w:ind w:right="354"/>
      </w:pPr>
    </w:p>
    <w:p w:rsidR="00506843" w:rsidRDefault="00506843" w:rsidP="00506843">
      <w:pPr>
        <w:pStyle w:val="Text"/>
        <w:tabs>
          <w:tab w:val="left" w:pos="2835"/>
        </w:tabs>
        <w:spacing w:after="0"/>
        <w:rPr>
          <w:rFonts w:ascii="Times New Roman" w:hAnsi="Times New Roman"/>
          <w:kern w:val="0"/>
        </w:rPr>
      </w:pPr>
    </w:p>
    <w:p w:rsidR="00506843" w:rsidRPr="000D5663" w:rsidRDefault="00506843" w:rsidP="00506843">
      <w:pPr>
        <w:pStyle w:val="Text"/>
        <w:spacing w:after="0"/>
        <w:rPr>
          <w:rFonts w:ascii="Times New Roman" w:hAnsi="Times New Roman"/>
          <w:kern w:val="0"/>
          <w:szCs w:val="24"/>
        </w:rPr>
      </w:pPr>
      <w:r>
        <w:rPr>
          <w:rFonts w:ascii="Times New Roman" w:hAnsi="Times New Roman"/>
          <w:kern w:val="0"/>
        </w:rPr>
        <w:t>Date:</w:t>
      </w:r>
      <w:r>
        <w:rPr>
          <w:rFonts w:ascii="Times New Roman" w:hAnsi="Times New Roman"/>
          <w:kern w:val="0"/>
        </w:rPr>
        <w:tab/>
      </w:r>
      <w:r w:rsidR="00104A77">
        <w:rPr>
          <w:rFonts w:ascii="Times New Roman" w:hAnsi="Times New Roman"/>
          <w:kern w:val="0"/>
        </w:rPr>
        <w:tab/>
      </w:r>
      <w:r>
        <w:rPr>
          <w:rFonts w:ascii="Times New Roman" w:hAnsi="Times New Roman"/>
          <w:kern w:val="0"/>
        </w:rPr>
        <w:t xml:space="preserve">10  </w:t>
      </w:r>
      <w:r w:rsidR="00104A77">
        <w:rPr>
          <w:rFonts w:ascii="Times New Roman" w:hAnsi="Times New Roman"/>
          <w:kern w:val="0"/>
        </w:rPr>
        <w:t xml:space="preserve">  </w:t>
      </w:r>
      <w:r>
        <w:rPr>
          <w:rFonts w:ascii="Times New Roman" w:hAnsi="Times New Roman"/>
          <w:kern w:val="0"/>
        </w:rPr>
        <w:t>July 2013</w:t>
      </w:r>
    </w:p>
    <w:p w:rsidR="00506843" w:rsidRDefault="00506843" w:rsidP="00506843">
      <w:pPr>
        <w:pStyle w:val="Text"/>
        <w:spacing w:after="0"/>
        <w:ind w:right="-46"/>
        <w:rPr>
          <w:rFonts w:ascii="Times New Roman" w:hAnsi="Times New Roman"/>
        </w:rPr>
      </w:pPr>
    </w:p>
    <w:p w:rsidR="00506843" w:rsidRDefault="00506843" w:rsidP="00506843">
      <w:pPr>
        <w:spacing w:after="0" w:line="240" w:lineRule="auto"/>
        <w:ind w:right="354"/>
      </w:pPr>
    </w:p>
    <w:p w:rsidR="00506843" w:rsidRDefault="00506843" w:rsidP="00506843">
      <w:pPr>
        <w:spacing w:after="0" w:line="240" w:lineRule="auto"/>
        <w:ind w:right="354"/>
      </w:pPr>
    </w:p>
    <w:p w:rsidR="00506843" w:rsidRDefault="00506843" w:rsidP="00506843">
      <w:pPr>
        <w:pStyle w:val="text0"/>
        <w:spacing w:after="0"/>
        <w:outlineLvl w:val="0"/>
        <w:rPr>
          <w:rFonts w:ascii="Times New Roman" w:hAnsi="Times New Roman"/>
          <w:highlight w:val="yellow"/>
        </w:rPr>
      </w:pPr>
    </w:p>
    <w:p w:rsidR="00506843" w:rsidRDefault="00506843" w:rsidP="00506843">
      <w:pPr>
        <w:pStyle w:val="text0"/>
        <w:spacing w:after="0"/>
        <w:outlineLvl w:val="0"/>
        <w:rPr>
          <w:rFonts w:ascii="Times New Roman" w:hAnsi="Times New Roman"/>
          <w:highlight w:val="yellow"/>
        </w:rPr>
      </w:pPr>
    </w:p>
    <w:p w:rsidR="00506843" w:rsidRPr="003A6FD4" w:rsidRDefault="00506843" w:rsidP="00506843">
      <w:pPr>
        <w:pStyle w:val="text0"/>
        <w:spacing w:after="0"/>
        <w:outlineLvl w:val="0"/>
        <w:rPr>
          <w:rFonts w:ascii="Times New Roman" w:hAnsi="Times New Roman"/>
          <w:kern w:val="0"/>
        </w:rPr>
      </w:pPr>
      <w:r>
        <w:rPr>
          <w:rFonts w:ascii="Times New Roman" w:hAnsi="Times New Roman"/>
        </w:rPr>
        <w:t>Michael Rowe</w:t>
      </w:r>
    </w:p>
    <w:p w:rsidR="00506843" w:rsidRDefault="00506843" w:rsidP="00506843">
      <w:pPr>
        <w:spacing w:after="0" w:line="240" w:lineRule="auto"/>
      </w:pPr>
      <w:r>
        <w:t>Delegate of the Secretary of the</w:t>
      </w:r>
    </w:p>
    <w:p w:rsidR="00506843" w:rsidRPr="003A6FD4" w:rsidRDefault="00506843" w:rsidP="00506843">
      <w:pPr>
        <w:spacing w:after="0" w:line="240" w:lineRule="auto"/>
      </w:pPr>
      <w:r>
        <w:t>Department of Infrastructure and Transport</w:t>
      </w:r>
    </w:p>
    <w:p w:rsidR="00506843" w:rsidRDefault="00506843" w:rsidP="00506843">
      <w:pPr>
        <w:rPr>
          <w:sz w:val="20"/>
        </w:rPr>
      </w:pPr>
    </w:p>
    <w:p w:rsidR="00506843" w:rsidRDefault="00506843" w:rsidP="00506843">
      <w:pPr>
        <w:rPr>
          <w:sz w:val="20"/>
        </w:rPr>
      </w:pPr>
    </w:p>
    <w:p w:rsidR="00104A77" w:rsidRDefault="00104A77" w:rsidP="00506843">
      <w:pPr>
        <w:rPr>
          <w:sz w:val="20"/>
        </w:rPr>
      </w:pPr>
    </w:p>
    <w:p w:rsidR="00506843" w:rsidRDefault="00506843" w:rsidP="00506843">
      <w:pPr>
        <w:rPr>
          <w:sz w:val="20"/>
        </w:rPr>
      </w:pPr>
      <w:r w:rsidRPr="00462AC1">
        <w:rPr>
          <w:sz w:val="20"/>
        </w:rPr>
        <w:t>Note:</w:t>
      </w:r>
    </w:p>
    <w:p w:rsidR="00506843" w:rsidRPr="00884830" w:rsidRDefault="00506843" w:rsidP="00506843">
      <w:pPr>
        <w:pStyle w:val="ListParagraph"/>
        <w:numPr>
          <w:ilvl w:val="0"/>
          <w:numId w:val="1"/>
        </w:numPr>
        <w:spacing w:after="0" w:line="240" w:lineRule="auto"/>
        <w:rPr>
          <w:sz w:val="20"/>
        </w:rPr>
      </w:pPr>
      <w:r w:rsidRPr="00884830">
        <w:rPr>
          <w:i/>
          <w:sz w:val="20"/>
        </w:rPr>
        <w:t>Gazette</w:t>
      </w:r>
      <w:r w:rsidRPr="00884830">
        <w:rPr>
          <w:sz w:val="20"/>
        </w:rPr>
        <w:t xml:space="preserve"> means the </w:t>
      </w:r>
      <w:r w:rsidRPr="00884830">
        <w:rPr>
          <w:i/>
          <w:sz w:val="20"/>
        </w:rPr>
        <w:t>Commonwealth of Australia Gazette</w:t>
      </w:r>
    </w:p>
    <w:p w:rsidR="00506843" w:rsidRPr="00985F67" w:rsidRDefault="00506843" w:rsidP="00506843">
      <w:pPr>
        <w:pStyle w:val="ListParagraph"/>
        <w:numPr>
          <w:ilvl w:val="0"/>
          <w:numId w:val="1"/>
        </w:numPr>
        <w:spacing w:after="0" w:line="240" w:lineRule="auto"/>
      </w:pPr>
      <w:r w:rsidRPr="00CE6906">
        <w:rPr>
          <w:sz w:val="20"/>
        </w:rPr>
        <w:t xml:space="preserve">This Notice remains in force until otherwise revoked in writing and upon subsequent publication in the </w:t>
      </w:r>
      <w:r w:rsidRPr="00CE6906">
        <w:rPr>
          <w:i/>
          <w:sz w:val="20"/>
        </w:rPr>
        <w:t>Gazette</w:t>
      </w:r>
      <w:r w:rsidRPr="00CE6906">
        <w:rPr>
          <w:sz w:val="20"/>
        </w:rPr>
        <w:t>.</w:t>
      </w:r>
    </w:p>
    <w:p w:rsidR="004B2753" w:rsidRDefault="00506843" w:rsidP="00424B97">
      <w:r w:rsidRPr="00506843">
        <w:rPr>
          <w:noProof/>
          <w:lang w:eastAsia="en-AU"/>
        </w:rPr>
        <w:lastRenderedPageBreak/>
        <w:drawing>
          <wp:inline distT="0" distB="0" distL="0" distR="0">
            <wp:extent cx="6141728" cy="8982075"/>
            <wp:effectExtent l="0" t="0" r="0" b="0"/>
            <wp:docPr id="6" name="Picture 6" descr="This is a map of Port of Norfolk Island which has been declared a security regulated port. The map shows the boundaries of the security regulated port for the purposes of section 13 of the Maritime Transport and Offshore Facilities Security Ac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lethyn\Desktop\Uploads\Untitled Extract Page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438" t="14022" r="19520" b="18728"/>
                    <a:stretch/>
                  </pic:blipFill>
                  <pic:spPr bwMode="auto">
                    <a:xfrm>
                      <a:off x="0" y="0"/>
                      <a:ext cx="6141832" cy="8982228"/>
                    </a:xfrm>
                    <a:prstGeom prst="rect">
                      <a:avLst/>
                    </a:prstGeom>
                    <a:noFill/>
                    <a:ln>
                      <a:noFill/>
                    </a:ln>
                    <a:extLst>
                      <a:ext uri="{53640926-AAD7-44D8-BBD7-CCE9431645EC}">
                        <a14:shadowObscured xmlns:a14="http://schemas.microsoft.com/office/drawing/2010/main"/>
                      </a:ext>
                    </a:extLst>
                  </pic:spPr>
                </pic:pic>
              </a:graphicData>
            </a:graphic>
          </wp:inline>
        </w:drawing>
      </w:r>
    </w:p>
    <w:p w:rsidR="00506843" w:rsidRPr="00C60D48" w:rsidRDefault="00506843" w:rsidP="00506843">
      <w:pPr>
        <w:pStyle w:val="Default"/>
      </w:pPr>
      <w:r w:rsidRPr="00C60D48">
        <w:rPr>
          <w:b/>
          <w:bCs/>
        </w:rPr>
        <w:lastRenderedPageBreak/>
        <w:t xml:space="preserve">SECURITY REGULATED PORT BOUNDARY DESCRIPTION </w:t>
      </w:r>
    </w:p>
    <w:p w:rsidR="00506843" w:rsidRDefault="00506843" w:rsidP="00506843">
      <w:pPr>
        <w:pStyle w:val="Default"/>
        <w:rPr>
          <w:b/>
          <w:bCs/>
        </w:rPr>
      </w:pPr>
    </w:p>
    <w:p w:rsidR="00506843" w:rsidRPr="00C60D48" w:rsidRDefault="00506843" w:rsidP="00506843">
      <w:pPr>
        <w:pStyle w:val="Default"/>
      </w:pPr>
      <w:r w:rsidRPr="00C60D48">
        <w:rPr>
          <w:b/>
          <w:bCs/>
        </w:rPr>
        <w:t xml:space="preserve">Description of Port of Norfolk Island </w:t>
      </w:r>
    </w:p>
    <w:p w:rsidR="00506843" w:rsidRPr="00C60D48" w:rsidRDefault="00506843" w:rsidP="00506843">
      <w:pPr>
        <w:pStyle w:val="Default"/>
      </w:pPr>
      <w:r w:rsidRPr="00C60D48">
        <w:t xml:space="preserve">State / Territory: Territory of Norfolk Island </w:t>
      </w:r>
    </w:p>
    <w:p w:rsidR="00506843" w:rsidRDefault="00506843" w:rsidP="00506843">
      <w:pPr>
        <w:pStyle w:val="Default"/>
      </w:pPr>
      <w:r>
        <w:t xml:space="preserve">Map Number: </w:t>
      </w:r>
      <w:proofErr w:type="spellStart"/>
      <w:r>
        <w:t>Geocat</w:t>
      </w:r>
      <w:proofErr w:type="spellEnd"/>
      <w:r>
        <w:t xml:space="preserve"> 70298 </w:t>
      </w:r>
    </w:p>
    <w:p w:rsidR="00506843" w:rsidRDefault="00506843" w:rsidP="00506843">
      <w:pPr>
        <w:pStyle w:val="Default"/>
      </w:pPr>
    </w:p>
    <w:p w:rsidR="00506843" w:rsidRPr="00C60D48" w:rsidRDefault="00506843" w:rsidP="00506843">
      <w:pPr>
        <w:pStyle w:val="Default"/>
      </w:pPr>
      <w:r w:rsidRPr="00C60D48">
        <w:t xml:space="preserve">The Security Regulated Port of Norfolk Island is all that area of land and water contained within and bounded by a line commencing at a point in the South Pacific Ocean north-west of Norfolk Island at the point of intersection of the parallel of latitude 28° 59’ 30”south with the meridian of longitude 167° 54’ 30” east; </w:t>
      </w:r>
    </w:p>
    <w:p w:rsidR="00506843" w:rsidRDefault="00506843" w:rsidP="00506843">
      <w:pPr>
        <w:pStyle w:val="Default"/>
        <w:jc w:val="both"/>
      </w:pPr>
    </w:p>
    <w:p w:rsidR="00506843" w:rsidRPr="00C60D48" w:rsidRDefault="00506843" w:rsidP="00506843">
      <w:pPr>
        <w:pStyle w:val="Default"/>
        <w:jc w:val="both"/>
      </w:pPr>
      <w:proofErr w:type="gramStart"/>
      <w:r w:rsidRPr="00C60D48">
        <w:t>thence</w:t>
      </w:r>
      <w:proofErr w:type="gramEnd"/>
      <w:r w:rsidRPr="00C60D48">
        <w:t xml:space="preserve"> east along that parallel of latitude to its point of intersection with the meridian of longitude 168° 00’ 00”east; </w:t>
      </w:r>
    </w:p>
    <w:p w:rsidR="00506843" w:rsidRDefault="00506843" w:rsidP="00506843">
      <w:pPr>
        <w:pStyle w:val="Default"/>
        <w:jc w:val="both"/>
      </w:pPr>
    </w:p>
    <w:p w:rsidR="00506843" w:rsidRPr="00C60D48" w:rsidRDefault="00506843" w:rsidP="00506843">
      <w:pPr>
        <w:pStyle w:val="Default"/>
        <w:jc w:val="both"/>
      </w:pPr>
      <w:proofErr w:type="gramStart"/>
      <w:r w:rsidRPr="00C60D48">
        <w:t>thence</w:t>
      </w:r>
      <w:proofErr w:type="gramEnd"/>
      <w:r w:rsidRPr="00C60D48">
        <w:t xml:space="preserve"> south along that meridian to its point of intersection with the parallel of latitude 29° 04’ 00”south; </w:t>
      </w:r>
    </w:p>
    <w:p w:rsidR="00506843" w:rsidRDefault="00506843" w:rsidP="00506843">
      <w:pPr>
        <w:pStyle w:val="Default"/>
        <w:jc w:val="both"/>
      </w:pPr>
    </w:p>
    <w:p w:rsidR="00506843" w:rsidRPr="00C60D48" w:rsidRDefault="00506843" w:rsidP="00506843">
      <w:pPr>
        <w:pStyle w:val="Default"/>
        <w:jc w:val="both"/>
      </w:pPr>
      <w:proofErr w:type="gramStart"/>
      <w:r w:rsidRPr="00C60D48">
        <w:t>thence</w:t>
      </w:r>
      <w:proofErr w:type="gramEnd"/>
      <w:r w:rsidRPr="00C60D48">
        <w:t xml:space="preserve"> west along that parallel of latitude to its point of intersection with the meridian of longitude 167° 54’ 30” east; </w:t>
      </w:r>
    </w:p>
    <w:p w:rsidR="00506843" w:rsidRDefault="00506843" w:rsidP="00506843">
      <w:pPr>
        <w:pStyle w:val="Default"/>
        <w:jc w:val="both"/>
      </w:pPr>
    </w:p>
    <w:p w:rsidR="00506843" w:rsidRPr="00C60D48" w:rsidRDefault="00506843" w:rsidP="00506843">
      <w:pPr>
        <w:pStyle w:val="Default"/>
        <w:jc w:val="both"/>
      </w:pPr>
      <w:proofErr w:type="gramStart"/>
      <w:r w:rsidRPr="00C60D48">
        <w:t>thence</w:t>
      </w:r>
      <w:proofErr w:type="gramEnd"/>
      <w:r w:rsidRPr="00C60D48">
        <w:t xml:space="preserve"> north along that meridian of longitude to the point of commencement. </w:t>
      </w:r>
    </w:p>
    <w:p w:rsidR="00506843" w:rsidRDefault="00506843" w:rsidP="00506843">
      <w:pPr>
        <w:pStyle w:val="Default"/>
        <w:rPr>
          <w:b/>
          <w:bCs/>
        </w:rPr>
      </w:pPr>
    </w:p>
    <w:p w:rsidR="00506843" w:rsidRPr="00C60D48" w:rsidRDefault="00506843" w:rsidP="00506843">
      <w:pPr>
        <w:pStyle w:val="Default"/>
      </w:pPr>
      <w:r w:rsidRPr="00C60D48">
        <w:rPr>
          <w:b/>
          <w:bCs/>
        </w:rPr>
        <w:t xml:space="preserve">Notes: </w:t>
      </w:r>
    </w:p>
    <w:p w:rsidR="00506843" w:rsidRPr="00C60D48" w:rsidRDefault="00506843" w:rsidP="00506843">
      <w:pPr>
        <w:pStyle w:val="Default"/>
        <w:ind w:left="360" w:hanging="360"/>
      </w:pPr>
      <w:r w:rsidRPr="00C60D48">
        <w:t xml:space="preserve">1. All coordinates are in reference to the WGS 84 geodetic datum. </w:t>
      </w:r>
    </w:p>
    <w:p w:rsidR="00506843" w:rsidRPr="00C60D48" w:rsidRDefault="00506843" w:rsidP="00506843">
      <w:pPr>
        <w:pStyle w:val="Default"/>
        <w:ind w:left="284" w:hanging="284"/>
      </w:pPr>
      <w:r w:rsidRPr="00C60D48">
        <w:t>2. This description should be read in conjunction with the S</w:t>
      </w:r>
      <w:r>
        <w:t xml:space="preserve">ecurity Regulated Port Boundary </w:t>
      </w:r>
      <w:r w:rsidRPr="00C60D48">
        <w:t xml:space="preserve">map. In the event of an inconsistency between the written description and the map, the former prevails. </w:t>
      </w:r>
    </w:p>
    <w:p w:rsidR="00506843" w:rsidRPr="00C60D48" w:rsidRDefault="00506843" w:rsidP="00506843">
      <w:pPr>
        <w:pStyle w:val="Default"/>
        <w:ind w:left="284" w:hanging="284"/>
      </w:pPr>
      <w:r w:rsidRPr="00C60D48">
        <w:t>3. This description and the associated maps have been compiled from information provided in February 2010 by the Office of Transport Security, Departmen</w:t>
      </w:r>
      <w:r>
        <w:t>t of Infrastructure and Transport.</w:t>
      </w:r>
    </w:p>
    <w:p w:rsidR="00506843" w:rsidRPr="00424B97" w:rsidRDefault="00506843" w:rsidP="00424B97"/>
    <w:sectPr w:rsidR="00506843"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D3" w:rsidRDefault="00452AD3" w:rsidP="003A707F">
      <w:pPr>
        <w:spacing w:after="0" w:line="240" w:lineRule="auto"/>
      </w:pPr>
      <w:r>
        <w:separator/>
      </w:r>
    </w:p>
  </w:endnote>
  <w:endnote w:type="continuationSeparator" w:id="0">
    <w:p w:rsidR="00452AD3" w:rsidRDefault="00452AD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D3" w:rsidRDefault="00452AD3" w:rsidP="003A707F">
      <w:pPr>
        <w:spacing w:after="0" w:line="240" w:lineRule="auto"/>
      </w:pPr>
      <w:r>
        <w:separator/>
      </w:r>
    </w:p>
  </w:footnote>
  <w:footnote w:type="continuationSeparator" w:id="0">
    <w:p w:rsidR="00452AD3" w:rsidRDefault="00452AD3"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634074" w:rsidP="00840A06">
          <w:pPr>
            <w:spacing w:before="60" w:after="0"/>
            <w:ind w:left="-51"/>
            <w:rPr>
              <w:rFonts w:ascii="Arial" w:hAnsi="Arial"/>
              <w:sz w:val="12"/>
            </w:rPr>
          </w:pPr>
          <w:bookmarkStart w:id="1"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a14="http://schemas.microsoft.com/office/drawing/2010/main"/>
                          </a:ext>
                        </a:extLst>
                      </pic:spPr>
                    </pic:pic>
                  </a:graphicData>
                </a:graphic>
              </wp:anchor>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E4F6C"/>
    <w:rsid w:val="000B7A55"/>
    <w:rsid w:val="000E1F2B"/>
    <w:rsid w:val="00104A77"/>
    <w:rsid w:val="001C2AAD"/>
    <w:rsid w:val="001F6E54"/>
    <w:rsid w:val="00280BCD"/>
    <w:rsid w:val="003A707F"/>
    <w:rsid w:val="003B0EC1"/>
    <w:rsid w:val="003B573B"/>
    <w:rsid w:val="003F2CBD"/>
    <w:rsid w:val="00424B97"/>
    <w:rsid w:val="00452AD3"/>
    <w:rsid w:val="004B2753"/>
    <w:rsid w:val="00506843"/>
    <w:rsid w:val="00520873"/>
    <w:rsid w:val="00573D44"/>
    <w:rsid w:val="00634074"/>
    <w:rsid w:val="00840A06"/>
    <w:rsid w:val="008439B7"/>
    <w:rsid w:val="00856875"/>
    <w:rsid w:val="0087253F"/>
    <w:rsid w:val="008D3C1B"/>
    <w:rsid w:val="008E4F6C"/>
    <w:rsid w:val="009539C7"/>
    <w:rsid w:val="009F321E"/>
    <w:rsid w:val="00A00F21"/>
    <w:rsid w:val="00AA45EA"/>
    <w:rsid w:val="00B84226"/>
    <w:rsid w:val="00C63C4E"/>
    <w:rsid w:val="00D229E5"/>
    <w:rsid w:val="00D77A88"/>
    <w:rsid w:val="00E4762B"/>
    <w:rsid w:val="00ED5B0A"/>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4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0684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06843"/>
    <w:rPr>
      <w:b/>
      <w:bCs/>
    </w:rPr>
  </w:style>
  <w:style w:type="paragraph" w:customStyle="1" w:styleId="Text">
    <w:name w:val="Text"/>
    <w:basedOn w:val="Normal"/>
    <w:rsid w:val="00506843"/>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506843"/>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506843"/>
    <w:pPr>
      <w:ind w:left="720"/>
      <w:contextualSpacing/>
    </w:pPr>
  </w:style>
  <w:style w:type="paragraph" w:customStyle="1" w:styleId="Default">
    <w:name w:val="Default"/>
    <w:rsid w:val="0050684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1AAB-1016-441C-BCF0-ABAF5FDD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4</cp:revision>
  <cp:lastPrinted>2013-08-02T06:29:00Z</cp:lastPrinted>
  <dcterms:created xsi:type="dcterms:W3CDTF">2013-08-09T01:43:00Z</dcterms:created>
  <dcterms:modified xsi:type="dcterms:W3CDTF">2013-08-11T23:37:00Z</dcterms:modified>
</cp:coreProperties>
</file>