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5" w:rsidRDefault="00856875" w:rsidP="00424B97">
      <w:pPr>
        <w:rPr>
          <w:noProof/>
        </w:rPr>
      </w:pPr>
    </w:p>
    <w:p w:rsidR="00BC2D70" w:rsidRPr="00AC7C97" w:rsidRDefault="00BC2D70" w:rsidP="00BC2D70">
      <w:pPr>
        <w:spacing w:before="0"/>
        <w:jc w:val="center"/>
        <w:rPr>
          <w:b/>
          <w:szCs w:val="22"/>
        </w:rPr>
      </w:pPr>
      <w:bookmarkStart w:id="0" w:name="_GoBack"/>
      <w:bookmarkEnd w:id="0"/>
      <w:r w:rsidRPr="00AC7C97">
        <w:rPr>
          <w:b/>
          <w:szCs w:val="22"/>
        </w:rPr>
        <w:t>COMMONWEALTH OF AUSTRALIA</w:t>
      </w:r>
    </w:p>
    <w:p w:rsidR="00BC2D70" w:rsidRPr="00AC7C97" w:rsidRDefault="00BC2D70" w:rsidP="00BC2D70">
      <w:pPr>
        <w:spacing w:before="0"/>
        <w:jc w:val="center"/>
        <w:rPr>
          <w:b/>
          <w:szCs w:val="22"/>
        </w:rPr>
      </w:pPr>
    </w:p>
    <w:p w:rsidR="00BC2D70" w:rsidRPr="00AC7C97" w:rsidRDefault="00BC2D70" w:rsidP="00BC2D70">
      <w:pPr>
        <w:spacing w:before="0"/>
        <w:jc w:val="center"/>
        <w:rPr>
          <w:b/>
          <w:i/>
          <w:szCs w:val="22"/>
        </w:rPr>
      </w:pPr>
      <w:r w:rsidRPr="00AC7C97">
        <w:rPr>
          <w:b/>
          <w:i/>
          <w:szCs w:val="22"/>
        </w:rPr>
        <w:t>Australian Capital Territory (Planning and Land Management) Act 1988</w:t>
      </w:r>
    </w:p>
    <w:p w:rsidR="00BC2D70" w:rsidRPr="00AC7C97" w:rsidRDefault="00BC2D70" w:rsidP="00BC2D70">
      <w:pPr>
        <w:spacing w:before="0"/>
        <w:jc w:val="center"/>
        <w:rPr>
          <w:b/>
          <w:i/>
          <w:szCs w:val="22"/>
        </w:rPr>
      </w:pPr>
      <w:r w:rsidRPr="00AC7C97">
        <w:rPr>
          <w:b/>
          <w:i/>
          <w:szCs w:val="22"/>
        </w:rPr>
        <w:t>Acts Interpretation Act 1901</w:t>
      </w:r>
    </w:p>
    <w:p w:rsidR="00BC2D70" w:rsidRPr="00AC7C97" w:rsidRDefault="00BC2D70" w:rsidP="00BC2D70">
      <w:pPr>
        <w:spacing w:before="200"/>
        <w:jc w:val="center"/>
        <w:rPr>
          <w:b/>
          <w:szCs w:val="22"/>
        </w:rPr>
      </w:pPr>
      <w:r w:rsidRPr="00AC7C97">
        <w:rPr>
          <w:b/>
          <w:szCs w:val="22"/>
        </w:rPr>
        <w:t>Revocation of Declaration of National Land</w:t>
      </w:r>
    </w:p>
    <w:p w:rsidR="00BC2D70" w:rsidRPr="00AC7C97" w:rsidRDefault="00BC2D70" w:rsidP="00BC2D70">
      <w:pPr>
        <w:spacing w:before="200"/>
        <w:rPr>
          <w:b/>
          <w:szCs w:val="22"/>
        </w:rPr>
      </w:pPr>
    </w:p>
    <w:p w:rsidR="00BC2D70" w:rsidRPr="00AC7C97" w:rsidRDefault="00BC2D70" w:rsidP="00BC2D70">
      <w:pPr>
        <w:pStyle w:val="Level11fo"/>
        <w:spacing w:before="200"/>
        <w:ind w:left="0"/>
        <w:rPr>
          <w:szCs w:val="22"/>
        </w:rPr>
      </w:pPr>
      <w:r w:rsidRPr="00AC7C97">
        <w:rPr>
          <w:szCs w:val="22"/>
        </w:rPr>
        <w:t xml:space="preserve">I, MARK DREYFUS, Special Minister of State, make this Notice of Revocation pursuant to subsection 27(1) of the </w:t>
      </w:r>
      <w:r w:rsidRPr="00AC7C97">
        <w:rPr>
          <w:i/>
          <w:szCs w:val="22"/>
        </w:rPr>
        <w:t>Australian Capital Territory (Planning and Land Management) Act 1988</w:t>
      </w:r>
      <w:r w:rsidRPr="00AC7C97">
        <w:rPr>
          <w:szCs w:val="22"/>
        </w:rPr>
        <w:t xml:space="preserve"> and subsection 33(3) of the </w:t>
      </w:r>
      <w:r w:rsidRPr="00AC7C97">
        <w:rPr>
          <w:i/>
          <w:szCs w:val="22"/>
        </w:rPr>
        <w:t xml:space="preserve">Acts Interpretation Act 1901 </w:t>
      </w:r>
      <w:r w:rsidRPr="00AC7C97">
        <w:rPr>
          <w:szCs w:val="22"/>
        </w:rPr>
        <w:t>in respect of the specified area of land shown hatched on the attached Map 1 and detailed in the Schedule below.</w:t>
      </w:r>
    </w:p>
    <w:p w:rsidR="00BC2D70" w:rsidRPr="00AC7C97" w:rsidRDefault="00BC2D70" w:rsidP="00BC2D70">
      <w:pPr>
        <w:pStyle w:val="Level11fo"/>
        <w:spacing w:before="200"/>
        <w:ind w:left="0" w:hanging="11"/>
        <w:rPr>
          <w:szCs w:val="22"/>
        </w:rPr>
      </w:pPr>
      <w:r w:rsidRPr="00AC7C97">
        <w:rPr>
          <w:szCs w:val="22"/>
        </w:rPr>
        <w:t>Schedule</w:t>
      </w:r>
    </w:p>
    <w:tbl>
      <w:tblPr>
        <w:tblW w:w="0" w:type="auto"/>
        <w:tblInd w:w="10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2694"/>
        <w:gridCol w:w="1641"/>
        <w:gridCol w:w="1701"/>
        <w:gridCol w:w="3261"/>
      </w:tblGrid>
      <w:tr w:rsidR="00BC2D70" w:rsidRPr="00AC7C97" w:rsidTr="00833FA4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rPr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rPr>
                <w:szCs w:val="22"/>
              </w:rPr>
            </w:pPr>
          </w:p>
        </w:tc>
      </w:tr>
      <w:tr w:rsidR="00BC2D70" w:rsidRPr="00AC7C97" w:rsidTr="00833FA4">
        <w:trPr>
          <w:cantSplit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D70" w:rsidRPr="00AC7C97" w:rsidRDefault="00BC2D70" w:rsidP="00833FA4">
            <w:pPr>
              <w:spacing w:before="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Division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spacing w:before="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spacing w:before="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Block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D70" w:rsidRPr="00AC7C97" w:rsidRDefault="00BC2D70" w:rsidP="00833FA4">
            <w:pPr>
              <w:spacing w:before="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Map</w:t>
            </w:r>
          </w:p>
        </w:tc>
      </w:tr>
      <w:tr w:rsidR="00BC2D70" w:rsidRPr="00AC7C97" w:rsidTr="00833FA4">
        <w:trPr>
          <w:trHeight w:val="3027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D70" w:rsidRPr="00AC7C97" w:rsidRDefault="00BC2D70" w:rsidP="00833FA4">
            <w:pPr>
              <w:spacing w:before="120"/>
              <w:ind w:left="318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ind w:left="318"/>
              <w:rPr>
                <w:szCs w:val="22"/>
              </w:rPr>
            </w:pPr>
            <w:r w:rsidRPr="00AC7C97">
              <w:rPr>
                <w:szCs w:val="22"/>
              </w:rPr>
              <w:t>Campbell</w:t>
            </w:r>
          </w:p>
          <w:p w:rsidR="00BC2D70" w:rsidRPr="00AC7C97" w:rsidRDefault="00BC2D70" w:rsidP="00833FA4">
            <w:pPr>
              <w:spacing w:before="120"/>
              <w:ind w:left="318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ind w:left="318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ind w:left="318"/>
              <w:rPr>
                <w:szCs w:val="22"/>
              </w:rPr>
            </w:pPr>
            <w:r w:rsidRPr="00AC7C97">
              <w:rPr>
                <w:szCs w:val="22"/>
              </w:rPr>
              <w:t>Pialligo</w:t>
            </w:r>
          </w:p>
          <w:p w:rsidR="00BC2D70" w:rsidRPr="00AC7C97" w:rsidRDefault="00BC2D70" w:rsidP="00833FA4">
            <w:pPr>
              <w:ind w:left="318"/>
              <w:rPr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120</w:t>
            </w: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6</w:t>
            </w:r>
          </w:p>
          <w:p w:rsidR="00BC2D70" w:rsidRPr="00AC7C97" w:rsidRDefault="00BC2D70" w:rsidP="00833FA4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2D70" w:rsidRPr="00AC7C97" w:rsidRDefault="00BC2D70" w:rsidP="00833FA4">
            <w:pPr>
              <w:tabs>
                <w:tab w:val="left" w:pos="93"/>
              </w:tabs>
              <w:spacing w:before="120"/>
              <w:rPr>
                <w:szCs w:val="22"/>
              </w:rPr>
            </w:pPr>
          </w:p>
          <w:p w:rsidR="00BC2D70" w:rsidRPr="00AC7C97" w:rsidRDefault="00BC2D70" w:rsidP="00833FA4">
            <w:pPr>
              <w:tabs>
                <w:tab w:val="left" w:pos="93"/>
              </w:tabs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5</w:t>
            </w:r>
          </w:p>
          <w:p w:rsidR="00BC2D70" w:rsidRPr="00AC7C97" w:rsidRDefault="00BC2D70" w:rsidP="00833FA4">
            <w:pPr>
              <w:tabs>
                <w:tab w:val="left" w:pos="495"/>
              </w:tabs>
              <w:spacing w:before="120"/>
              <w:rPr>
                <w:szCs w:val="22"/>
              </w:rPr>
            </w:pPr>
          </w:p>
          <w:p w:rsidR="00BC2D70" w:rsidRPr="00AC7C97" w:rsidRDefault="00BC2D70" w:rsidP="00833FA4">
            <w:pPr>
              <w:tabs>
                <w:tab w:val="left" w:pos="495"/>
              </w:tabs>
              <w:spacing w:before="120"/>
              <w:rPr>
                <w:szCs w:val="22"/>
              </w:rPr>
            </w:pPr>
          </w:p>
          <w:p w:rsidR="00BC2D70" w:rsidRPr="00AC7C97" w:rsidRDefault="00BC2D70" w:rsidP="00833FA4">
            <w:pPr>
              <w:tabs>
                <w:tab w:val="left" w:pos="495"/>
              </w:tabs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7</w:t>
            </w:r>
          </w:p>
          <w:p w:rsidR="00BC2D70" w:rsidRPr="00AC7C97" w:rsidRDefault="00BC2D70" w:rsidP="00833FA4">
            <w:pPr>
              <w:tabs>
                <w:tab w:val="left" w:pos="420"/>
              </w:tabs>
              <w:rPr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Map 1</w:t>
            </w:r>
          </w:p>
          <w:p w:rsidR="00BC2D70" w:rsidRPr="00AC7C97" w:rsidRDefault="00BC2D70" w:rsidP="00833FA4">
            <w:pPr>
              <w:spacing w:before="120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rPr>
                <w:szCs w:val="22"/>
              </w:rPr>
            </w:pPr>
          </w:p>
          <w:p w:rsidR="00BC2D70" w:rsidRPr="00AC7C97" w:rsidRDefault="00BC2D70" w:rsidP="00833FA4">
            <w:pPr>
              <w:spacing w:before="120"/>
              <w:jc w:val="center"/>
              <w:rPr>
                <w:szCs w:val="22"/>
              </w:rPr>
            </w:pPr>
            <w:r w:rsidRPr="00AC7C97">
              <w:rPr>
                <w:szCs w:val="22"/>
              </w:rPr>
              <w:t>Map 1</w:t>
            </w:r>
          </w:p>
          <w:p w:rsidR="00BC2D70" w:rsidRPr="00AC7C97" w:rsidRDefault="00BC2D70" w:rsidP="00833FA4">
            <w:pPr>
              <w:spacing w:before="120"/>
              <w:rPr>
                <w:szCs w:val="22"/>
              </w:rPr>
            </w:pPr>
          </w:p>
        </w:tc>
      </w:tr>
    </w:tbl>
    <w:p w:rsidR="00BC2D70" w:rsidRPr="00AC7C97" w:rsidRDefault="00BC2D70" w:rsidP="00AC7C97">
      <w:pPr>
        <w:pStyle w:val="Level11fo"/>
        <w:spacing w:before="200" w:after="600"/>
        <w:ind w:left="0"/>
        <w:rPr>
          <w:szCs w:val="22"/>
        </w:rPr>
      </w:pPr>
      <w:r w:rsidRPr="00AC7C97">
        <w:rPr>
          <w:b/>
          <w:szCs w:val="22"/>
        </w:rPr>
        <w:t>Map source:</w:t>
      </w:r>
      <w:r w:rsidRPr="00AC7C97">
        <w:rPr>
          <w:szCs w:val="22"/>
        </w:rPr>
        <w:t xml:space="preserve">  Both blocks can be visualized on the ACT Government’s web mapping service (</w:t>
      </w:r>
      <w:proofErr w:type="spellStart"/>
      <w:r w:rsidRPr="00AC7C97">
        <w:rPr>
          <w:szCs w:val="22"/>
        </w:rPr>
        <w:t>ACTMAPi</w:t>
      </w:r>
      <w:proofErr w:type="spellEnd"/>
      <w:r w:rsidRPr="00AC7C97">
        <w:rPr>
          <w:szCs w:val="22"/>
        </w:rPr>
        <w:t>).  Data defining the parcels is stored in the Digital Cadastral Database, maintained by the Office of the Surveyor-General, Regulation and Services Division, Environment and Sustainable Development Directorate, ACT Government.</w:t>
      </w:r>
    </w:p>
    <w:p w:rsidR="00BC2D70" w:rsidRPr="00AC7C97" w:rsidRDefault="00BC2D70" w:rsidP="00BC2D70">
      <w:pPr>
        <w:pStyle w:val="Level11fo"/>
        <w:spacing w:before="0"/>
        <w:ind w:left="0"/>
        <w:rPr>
          <w:b/>
          <w:szCs w:val="22"/>
        </w:rPr>
      </w:pPr>
    </w:p>
    <w:p w:rsidR="00BC2D70" w:rsidRPr="00AC7C97" w:rsidRDefault="00BC2D70" w:rsidP="00BC2D70">
      <w:pPr>
        <w:pStyle w:val="Level11fo"/>
        <w:spacing w:before="0"/>
        <w:ind w:left="0"/>
        <w:rPr>
          <w:b/>
          <w:szCs w:val="22"/>
        </w:rPr>
      </w:pPr>
    </w:p>
    <w:p w:rsidR="00BC2D70" w:rsidRPr="00AC7C97" w:rsidRDefault="00BC2D70" w:rsidP="00BC2D70">
      <w:pPr>
        <w:pStyle w:val="Level11fo"/>
        <w:spacing w:before="0"/>
        <w:ind w:left="0"/>
        <w:rPr>
          <w:b/>
          <w:szCs w:val="22"/>
        </w:rPr>
      </w:pPr>
      <w:r w:rsidRPr="00AC7C97">
        <w:rPr>
          <w:b/>
          <w:szCs w:val="22"/>
        </w:rPr>
        <w:t>___________________________________________</w:t>
      </w:r>
    </w:p>
    <w:p w:rsidR="00BC2D70" w:rsidRPr="00AC7C97" w:rsidRDefault="00BC2D70" w:rsidP="00BC2D70">
      <w:pPr>
        <w:pStyle w:val="Level11fo"/>
        <w:spacing w:before="100"/>
        <w:ind w:left="0" w:hanging="11"/>
        <w:rPr>
          <w:szCs w:val="22"/>
        </w:rPr>
      </w:pPr>
      <w:r w:rsidRPr="00AC7C97">
        <w:rPr>
          <w:szCs w:val="22"/>
        </w:rPr>
        <w:t xml:space="preserve">MARK DREYFUS, </w:t>
      </w:r>
    </w:p>
    <w:p w:rsidR="00BC2D70" w:rsidRPr="00AC7C97" w:rsidRDefault="00BC2D70" w:rsidP="00BC2D70">
      <w:pPr>
        <w:pStyle w:val="Level11fo"/>
        <w:spacing w:before="100"/>
        <w:ind w:left="0"/>
        <w:rPr>
          <w:szCs w:val="22"/>
        </w:rPr>
      </w:pPr>
      <w:r w:rsidRPr="00AC7C97">
        <w:rPr>
          <w:szCs w:val="22"/>
        </w:rPr>
        <w:t>Special Minister of State</w:t>
      </w:r>
    </w:p>
    <w:p w:rsidR="00BC2D70" w:rsidRPr="00AC7C97" w:rsidRDefault="00BC2D70" w:rsidP="00BC2D70">
      <w:pPr>
        <w:pStyle w:val="Level11fo"/>
        <w:spacing w:before="100"/>
        <w:ind w:left="0"/>
        <w:rPr>
          <w:szCs w:val="22"/>
        </w:rPr>
      </w:pPr>
    </w:p>
    <w:p w:rsidR="00BC2D70" w:rsidRPr="00AC7C97" w:rsidRDefault="00BC2D70" w:rsidP="00BC2D70">
      <w:pPr>
        <w:pStyle w:val="Level11fo"/>
        <w:spacing w:before="100"/>
        <w:ind w:left="0"/>
        <w:rPr>
          <w:szCs w:val="22"/>
        </w:rPr>
      </w:pPr>
      <w:r w:rsidRPr="00AC7C97">
        <w:rPr>
          <w:b/>
          <w:szCs w:val="22"/>
          <w:u w:val="single"/>
        </w:rPr>
        <w:br/>
      </w:r>
      <w:r w:rsidRPr="00AC7C97">
        <w:rPr>
          <w:szCs w:val="22"/>
        </w:rPr>
        <w:t xml:space="preserve"> </w:t>
      </w:r>
      <w:r w:rsidRPr="00AC7C97">
        <w:rPr>
          <w:szCs w:val="22"/>
        </w:rPr>
        <w:br/>
      </w:r>
    </w:p>
    <w:p w:rsidR="00BC2D70" w:rsidRPr="00AC7C97" w:rsidRDefault="00986F5B" w:rsidP="00BC2D70">
      <w:pPr>
        <w:pStyle w:val="Level11fo"/>
        <w:spacing w:before="100"/>
        <w:ind w:left="0" w:hanging="11"/>
        <w:rPr>
          <w:szCs w:val="22"/>
        </w:rPr>
      </w:pPr>
      <w:r>
        <w:rPr>
          <w:szCs w:val="22"/>
        </w:rPr>
        <w:t>Dated this 20</w:t>
      </w:r>
      <w:r w:rsidR="007965C2" w:rsidRPr="007965C2">
        <w:rPr>
          <w:szCs w:val="22"/>
          <w:vertAlign w:val="superscript"/>
        </w:rPr>
        <w:t>th</w:t>
      </w:r>
      <w:r w:rsidR="007965C2">
        <w:rPr>
          <w:szCs w:val="22"/>
        </w:rPr>
        <w:t xml:space="preserve"> </w:t>
      </w:r>
      <w:r>
        <w:rPr>
          <w:szCs w:val="22"/>
        </w:rPr>
        <w:t xml:space="preserve"> day of August</w:t>
      </w:r>
      <w:r w:rsidR="007965C2">
        <w:rPr>
          <w:szCs w:val="22"/>
        </w:rPr>
        <w:t xml:space="preserve"> </w:t>
      </w:r>
      <w:r w:rsidR="00BC2D70" w:rsidRPr="00AC7C97">
        <w:rPr>
          <w:szCs w:val="22"/>
        </w:rPr>
        <w:t>2013</w:t>
      </w:r>
    </w:p>
    <w:p w:rsidR="004B2753" w:rsidRPr="00AC7C97" w:rsidRDefault="00986F5B" w:rsidP="00424B97">
      <w:pPr>
        <w:rPr>
          <w:szCs w:val="22"/>
        </w:rPr>
      </w:pPr>
      <w:r>
        <w:rPr>
          <w:noProof/>
          <w:sz w:val="24"/>
          <w:lang w:eastAsia="en-AU"/>
        </w:rPr>
        <w:drawing>
          <wp:inline distT="0" distB="0" distL="0" distR="0">
            <wp:extent cx="6047105" cy="8558530"/>
            <wp:effectExtent l="19050" t="0" r="0" b="0"/>
            <wp:docPr id="2" name="Picture 1" descr="130802 Revocation of National Land in Campbell and Piall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802 Revocation of National Land in Campbell and Pialli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85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753" w:rsidRPr="00AC7C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D3" w:rsidRDefault="00452AD3" w:rsidP="003A707F">
      <w:r>
        <w:separator/>
      </w:r>
    </w:p>
  </w:endnote>
  <w:endnote w:type="continuationSeparator" w:id="0">
    <w:p w:rsidR="00452AD3" w:rsidRDefault="00452AD3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D3" w:rsidRDefault="00452AD3" w:rsidP="003A707F">
      <w:r>
        <w:separator/>
      </w:r>
    </w:p>
  </w:footnote>
  <w:footnote w:type="continuationSeparator" w:id="0">
    <w:p w:rsidR="00452AD3" w:rsidRDefault="00452AD3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07870"/>
    <w:rsid w:val="00280BCD"/>
    <w:rsid w:val="002B3C30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634074"/>
    <w:rsid w:val="00653C3D"/>
    <w:rsid w:val="007965C2"/>
    <w:rsid w:val="00840A06"/>
    <w:rsid w:val="008439B7"/>
    <w:rsid w:val="00844804"/>
    <w:rsid w:val="00856875"/>
    <w:rsid w:val="0087253F"/>
    <w:rsid w:val="008D3C1B"/>
    <w:rsid w:val="008E4F6C"/>
    <w:rsid w:val="009539C7"/>
    <w:rsid w:val="00986F5B"/>
    <w:rsid w:val="009F321E"/>
    <w:rsid w:val="00A00F21"/>
    <w:rsid w:val="00AC7C97"/>
    <w:rsid w:val="00B84226"/>
    <w:rsid w:val="00BC2D70"/>
    <w:rsid w:val="00BD692D"/>
    <w:rsid w:val="00C63C4E"/>
    <w:rsid w:val="00D229E5"/>
    <w:rsid w:val="00D77A88"/>
    <w:rsid w:val="00ED5B0A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70"/>
    <w:pPr>
      <w:spacing w:before="240"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Level11fo">
    <w:name w:val="Level 1.1fo"/>
    <w:basedOn w:val="Normal"/>
    <w:rsid w:val="00BC2D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1052-29B7-44DE-83AA-585E08EC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YEEVIO</cp:lastModifiedBy>
  <cp:revision>9</cp:revision>
  <cp:lastPrinted>2013-08-02T06:29:00Z</cp:lastPrinted>
  <dcterms:created xsi:type="dcterms:W3CDTF">2013-08-22T03:27:00Z</dcterms:created>
  <dcterms:modified xsi:type="dcterms:W3CDTF">2013-09-09T06:59:00Z</dcterms:modified>
</cp:coreProperties>
</file>