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BF4" w:rsidRDefault="00A42BF4">
      <w:pPr>
        <w:rPr>
          <w:sz w:val="28"/>
          <w:szCs w:val="28"/>
        </w:rP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0pt;margin-top:12.2pt;width:104.1pt;height:86.25pt;z-index:251658240" fillcolor="window">
            <v:imagedata r:id="rId7" o:title=""/>
            <w10:wrap type="square" side="right"/>
          </v:shape>
        </w:pict>
      </w:r>
      <w:r>
        <w:rPr>
          <w:rFonts w:ascii="Arial" w:hAnsi="Arial" w:cs="Arial"/>
        </w:rPr>
        <w:br w:type="textWrapping" w:clear="all"/>
      </w:r>
    </w:p>
    <w:p w:rsidR="00A42BF4" w:rsidRDefault="00A42BF4">
      <w:pPr>
        <w:jc w:val="center"/>
        <w:rPr>
          <w:rFonts w:ascii="Arial" w:hAnsi="Arial" w:cs="Arial"/>
          <w:spacing w:val="-5"/>
          <w:sz w:val="36"/>
        </w:rPr>
      </w:pPr>
      <w:r>
        <w:rPr>
          <w:rFonts w:ascii="Arial" w:hAnsi="Arial" w:cs="Arial"/>
          <w:spacing w:val="-5"/>
          <w:sz w:val="36"/>
        </w:rPr>
        <w:t xml:space="preserve">Specialist Medical </w:t>
      </w:r>
      <w:r>
        <w:rPr>
          <w:rFonts w:ascii="Arial" w:hAnsi="Arial" w:cs="Arial"/>
          <w:spacing w:val="-15"/>
          <w:sz w:val="36"/>
        </w:rPr>
        <w:t>Re</w:t>
      </w:r>
      <w:r>
        <w:rPr>
          <w:rFonts w:ascii="Arial" w:hAnsi="Arial" w:cs="Arial"/>
          <w:spacing w:val="-5"/>
          <w:sz w:val="36"/>
        </w:rPr>
        <w:t>view Council</w:t>
      </w:r>
    </w:p>
    <w:p w:rsidR="00A42BF4" w:rsidRDefault="00A42BF4">
      <w:pPr>
        <w:jc w:val="center"/>
        <w:rPr>
          <w:rFonts w:ascii="Arial" w:hAnsi="Arial" w:cs="Arial"/>
        </w:rPr>
      </w:pPr>
    </w:p>
    <w:p w:rsidR="00A42BF4" w:rsidRDefault="00A42BF4">
      <w:pPr>
        <w:pStyle w:val="Heading7"/>
        <w:rPr>
          <w:rFonts w:ascii="Arial" w:hAnsi="Arial"/>
          <w:sz w:val="28"/>
        </w:rPr>
      </w:pPr>
      <w:r>
        <w:rPr>
          <w:rFonts w:ascii="Arial" w:hAnsi="Arial"/>
          <w:sz w:val="28"/>
        </w:rPr>
        <w:t>Declarations</w:t>
      </w:r>
    </w:p>
    <w:p w:rsidR="00A42BF4" w:rsidRDefault="00A42BF4">
      <w:pPr>
        <w:jc w:val="center"/>
        <w:rPr>
          <w:rFonts w:ascii="Arial" w:hAnsi="Arial" w:cs="Arial"/>
        </w:rPr>
      </w:pPr>
    </w:p>
    <w:p w:rsidR="00A42BF4" w:rsidRDefault="00A42BF4">
      <w:pPr>
        <w:pStyle w:val="BodyText"/>
        <w:jc w:val="center"/>
        <w:rPr>
          <w:rFonts w:ascii="Arial" w:hAnsi="Arial"/>
          <w:i/>
          <w:sz w:val="24"/>
          <w:szCs w:val="24"/>
        </w:rPr>
      </w:pPr>
      <w:r>
        <w:rPr>
          <w:rFonts w:ascii="Arial" w:hAnsi="Arial"/>
          <w:i/>
          <w:sz w:val="24"/>
          <w:szCs w:val="24"/>
        </w:rPr>
        <w:t>Section 196W</w:t>
      </w:r>
      <w:r>
        <w:rPr>
          <w:rFonts w:ascii="Arial" w:hAnsi="Arial"/>
          <w:i/>
          <w:sz w:val="24"/>
          <w:szCs w:val="24"/>
        </w:rPr>
        <w:br/>
        <w:t>Veterans’ Entitlements Act 1986</w:t>
      </w:r>
    </w:p>
    <w:p w:rsidR="00A42BF4" w:rsidRDefault="00A42BF4">
      <w:pPr>
        <w:jc w:val="center"/>
        <w:rPr>
          <w:rFonts w:ascii="Arial" w:hAnsi="Arial" w:cs="Arial"/>
        </w:rPr>
      </w:pPr>
    </w:p>
    <w:p w:rsidR="00A42BF4" w:rsidRDefault="00A42BF4">
      <w:pPr>
        <w:pBdr>
          <w:top w:val="single" w:sz="12" w:space="1" w:color="auto"/>
        </w:pBdr>
        <w:spacing w:after="0"/>
        <w:ind w:left="3119" w:right="3119"/>
        <w:jc w:val="center"/>
        <w:rPr>
          <w:rFonts w:ascii="Arial" w:hAnsi="Arial" w:cs="Arial"/>
        </w:rPr>
      </w:pPr>
    </w:p>
    <w:p w:rsidR="00A42BF4" w:rsidRDefault="00A42BF4">
      <w:pPr>
        <w:spacing w:after="0"/>
        <w:jc w:val="center"/>
        <w:rPr>
          <w:rFonts w:ascii="Arial" w:hAnsi="Arial" w:cs="Arial"/>
          <w:b/>
        </w:rPr>
      </w:pPr>
      <w:r>
        <w:rPr>
          <w:rFonts w:ascii="Arial" w:hAnsi="Arial" w:cs="Arial"/>
          <w:b/>
        </w:rPr>
        <w:t xml:space="preserve">Re: Statements of Principles concerning Malignant Neoplasm of the Brain </w:t>
      </w:r>
    </w:p>
    <w:p w:rsidR="00A42BF4" w:rsidRDefault="00A42BF4">
      <w:pPr>
        <w:spacing w:after="0"/>
        <w:jc w:val="center"/>
        <w:rPr>
          <w:rFonts w:ascii="Arial" w:hAnsi="Arial" w:cs="Arial"/>
          <w:b/>
        </w:rPr>
      </w:pPr>
      <w:r>
        <w:rPr>
          <w:rFonts w:ascii="Arial" w:hAnsi="Arial" w:cs="Arial"/>
          <w:b/>
        </w:rPr>
        <w:t xml:space="preserve">Nos. 58 and 59 of 2008 as amended by </w:t>
      </w:r>
    </w:p>
    <w:p w:rsidR="00A42BF4" w:rsidRDefault="00A42BF4">
      <w:pPr>
        <w:spacing w:after="0"/>
        <w:jc w:val="center"/>
        <w:rPr>
          <w:rFonts w:ascii="Arial" w:hAnsi="Arial" w:cs="Arial"/>
          <w:b/>
        </w:rPr>
      </w:pPr>
      <w:r>
        <w:rPr>
          <w:rFonts w:ascii="Arial" w:hAnsi="Arial" w:cs="Arial"/>
          <w:b/>
        </w:rPr>
        <w:t xml:space="preserve">Amendment Statements of Principles Nos. 37 and 38 of 2011 </w:t>
      </w:r>
    </w:p>
    <w:p w:rsidR="00A42BF4" w:rsidRDefault="00A42BF4">
      <w:pPr>
        <w:spacing w:after="0"/>
        <w:jc w:val="center"/>
        <w:rPr>
          <w:rFonts w:ascii="Arial" w:hAnsi="Arial" w:cs="Arial"/>
          <w:b/>
        </w:rPr>
      </w:pPr>
    </w:p>
    <w:p w:rsidR="00A42BF4" w:rsidRDefault="00A42BF4">
      <w:pPr>
        <w:ind w:left="1701" w:right="1701"/>
        <w:jc w:val="center"/>
        <w:rPr>
          <w:rFonts w:ascii="Arial" w:hAnsi="Arial" w:cs="Arial"/>
        </w:rPr>
      </w:pPr>
      <w:r>
        <w:rPr>
          <w:rFonts w:ascii="Arial" w:hAnsi="Arial" w:cs="Arial"/>
        </w:rPr>
        <w:t>Request for Review Declaration No. 20</w:t>
      </w:r>
    </w:p>
    <w:p w:rsidR="00A42BF4" w:rsidRDefault="00A42BF4">
      <w:pPr>
        <w:pBdr>
          <w:top w:val="single" w:sz="4" w:space="1" w:color="auto"/>
        </w:pBdr>
        <w:ind w:left="1701" w:right="1701"/>
        <w:jc w:val="center"/>
      </w:pPr>
    </w:p>
    <w:p w:rsidR="00A42BF4" w:rsidRDefault="00A42BF4">
      <w:pPr>
        <w:pStyle w:val="NumberLevel1"/>
        <w:numPr>
          <w:ilvl w:val="0"/>
          <w:numId w:val="3"/>
        </w:numPr>
        <w:tabs>
          <w:tab w:val="clear" w:pos="1080"/>
          <w:tab w:val="num" w:pos="709"/>
        </w:tabs>
        <w:ind w:left="709" w:hanging="709"/>
        <w:rPr>
          <w:sz w:val="22"/>
          <w:szCs w:val="22"/>
        </w:rPr>
      </w:pPr>
      <w:r>
        <w:rPr>
          <w:sz w:val="22"/>
          <w:szCs w:val="22"/>
        </w:rPr>
        <w:t xml:space="preserve">In relation to the Repatriation Medical Authority (the RMA) Statement of Principles concerning malignant neoplasm of the brain No. 58 of 2008 as amended by Amendment Statement of Principles No. 37 of 2011 made under subsections 196B (2) and (8) of the </w:t>
      </w:r>
      <w:r>
        <w:rPr>
          <w:i/>
          <w:sz w:val="22"/>
          <w:szCs w:val="22"/>
        </w:rPr>
        <w:t xml:space="preserve">Veterans' Entitlements Act 1986 </w:t>
      </w:r>
      <w:r>
        <w:rPr>
          <w:sz w:val="22"/>
          <w:szCs w:val="22"/>
        </w:rPr>
        <w:t>(the VEA), the Specialist Medical Review Council (the Council) under subsection 196W of the VEA:</w:t>
      </w:r>
    </w:p>
    <w:p w:rsidR="00A42BF4" w:rsidRDefault="00A42BF4">
      <w:pPr>
        <w:pStyle w:val="NumberLevel1"/>
        <w:numPr>
          <w:ilvl w:val="0"/>
          <w:numId w:val="0"/>
        </w:numPr>
        <w:rPr>
          <w:sz w:val="22"/>
          <w:szCs w:val="22"/>
        </w:rPr>
      </w:pPr>
    </w:p>
    <w:p w:rsidR="00A42BF4" w:rsidRDefault="00A42BF4">
      <w:pPr>
        <w:pStyle w:val="PlainParagraph"/>
        <w:ind w:left="1275"/>
      </w:pPr>
      <w:r>
        <w:t>DECLARES that the sound medical-scientific evidence available to the RMA is insufficient to justify an amendment to include a factor or factors for exposure to heat beyond fever temperature, melatonin depletion due to sleep deprivation, alcohol consumption, exposure to non-ionising electromagnetic radiation emitted from radio equipment (as used in aircraft) or exposure to non-ionising electromagnetic radiation emitted from radar equipment.</w:t>
      </w:r>
    </w:p>
    <w:p w:rsidR="00A42BF4" w:rsidRDefault="00A42BF4">
      <w:pPr>
        <w:pStyle w:val="PlainParagraph"/>
      </w:pPr>
    </w:p>
    <w:p w:rsidR="00A42BF4" w:rsidRDefault="00A42BF4">
      <w:pPr>
        <w:pStyle w:val="NumberLevel1"/>
        <w:numPr>
          <w:ilvl w:val="0"/>
          <w:numId w:val="3"/>
        </w:numPr>
        <w:tabs>
          <w:tab w:val="clear" w:pos="1080"/>
          <w:tab w:val="num" w:pos="709"/>
        </w:tabs>
        <w:ind w:left="709" w:hanging="709"/>
        <w:rPr>
          <w:sz w:val="22"/>
          <w:szCs w:val="22"/>
        </w:rPr>
      </w:pPr>
      <w:r>
        <w:rPr>
          <w:sz w:val="22"/>
          <w:szCs w:val="22"/>
        </w:rPr>
        <w:t xml:space="preserve">In relation to the Repatriation Medical Authority (the RMA) Statement of Principles concerning malignant neoplasm of the brain No. 59 of 2008 as amended by Amendment Statement of Principles No. 38 of 2011, made under subsections 196B (3) and (8) of the </w:t>
      </w:r>
      <w:r>
        <w:rPr>
          <w:i/>
          <w:sz w:val="22"/>
          <w:szCs w:val="22"/>
        </w:rPr>
        <w:t xml:space="preserve">Veterans' Entitlements Act 1986 </w:t>
      </w:r>
      <w:r>
        <w:rPr>
          <w:sz w:val="22"/>
          <w:szCs w:val="22"/>
        </w:rPr>
        <w:t>(the VEA), the Specialist Medical Review Council (the Council) under subsection 196W of the VEA:</w:t>
      </w:r>
    </w:p>
    <w:p w:rsidR="00A42BF4" w:rsidRDefault="00A42BF4">
      <w:pPr>
        <w:pStyle w:val="NumberLevel1"/>
        <w:numPr>
          <w:ilvl w:val="0"/>
          <w:numId w:val="0"/>
        </w:numPr>
        <w:rPr>
          <w:sz w:val="22"/>
          <w:szCs w:val="22"/>
        </w:rPr>
      </w:pPr>
    </w:p>
    <w:p w:rsidR="00A42BF4" w:rsidRDefault="00A42BF4">
      <w:pPr>
        <w:pStyle w:val="NumberLevel1"/>
        <w:numPr>
          <w:ilvl w:val="0"/>
          <w:numId w:val="0"/>
        </w:numPr>
        <w:ind w:left="1275"/>
      </w:pPr>
      <w:r>
        <w:t>DECLARES that the sound medical-scientific evidence available to the RMA is insufficient to justify an amendment to include a factor or factors for exposure to heat beyond fever temperature, melatonin depletion due to sleep deprivation, alcohol consumption, exposure to non-ionising electromagnetic radiation emitted from radio equipment (as used in aircraft) or exposure to non-ionising electromagnetic radiation emitted from radar equipment.</w:t>
      </w:r>
    </w:p>
    <w:p w:rsidR="00A42BF4" w:rsidRDefault="00A42BF4">
      <w:pPr>
        <w:pStyle w:val="NumberLevel1"/>
        <w:numPr>
          <w:ilvl w:val="0"/>
          <w:numId w:val="0"/>
        </w:numPr>
        <w:ind w:left="1275"/>
      </w:pPr>
    </w:p>
    <w:p w:rsidR="00A42BF4" w:rsidRDefault="00A42BF4">
      <w:pPr>
        <w:pStyle w:val="NumberLevel1"/>
        <w:numPr>
          <w:ilvl w:val="0"/>
          <w:numId w:val="0"/>
        </w:numPr>
        <w:ind w:left="1275"/>
        <w:rPr>
          <w:sz w:val="22"/>
          <w:szCs w:val="22"/>
        </w:rPr>
      </w:pPr>
      <w:r>
        <w:t xml:space="preserve"> </w:t>
      </w:r>
      <w:r>
        <w:tab/>
      </w:r>
      <w:r>
        <w:tab/>
      </w:r>
      <w:r>
        <w:tab/>
      </w:r>
      <w:r>
        <w:tab/>
        <w:t xml:space="preserve"> </w:t>
      </w:r>
      <w:r>
        <w:tab/>
        <w:t xml:space="preserve">          </w:t>
      </w:r>
    </w:p>
    <w:tbl>
      <w:tblPr>
        <w:tblW w:w="5000" w:type="pct"/>
        <w:tblLook w:val="01E0"/>
      </w:tblPr>
      <w:tblGrid>
        <w:gridCol w:w="4158"/>
        <w:gridCol w:w="2779"/>
        <w:gridCol w:w="2917"/>
      </w:tblGrid>
      <w:tr w:rsidR="00A42BF4">
        <w:tc>
          <w:tcPr>
            <w:tcW w:w="2110" w:type="pct"/>
          </w:tcPr>
          <w:p w:rsidR="00A42BF4" w:rsidRDefault="00A42BF4">
            <w:pPr>
              <w:widowControl w:val="0"/>
              <w:jc w:val="center"/>
              <w:rPr>
                <w:rFonts w:ascii="Arial" w:hAnsi="Arial" w:cs="Arial"/>
              </w:rPr>
            </w:pPr>
            <w:r>
              <w:rPr>
                <w:rFonts w:ascii="Arial" w:hAnsi="Arial" w:cs="Arial"/>
              </w:rPr>
              <w:t>Ken Ho</w:t>
            </w:r>
          </w:p>
        </w:tc>
        <w:tc>
          <w:tcPr>
            <w:tcW w:w="1410" w:type="pct"/>
          </w:tcPr>
          <w:p w:rsidR="00A42BF4" w:rsidRDefault="00A42BF4">
            <w:pPr>
              <w:widowControl w:val="0"/>
              <w:jc w:val="center"/>
              <w:rPr>
                <w:rFonts w:ascii="Arial" w:hAnsi="Arial" w:cs="Arial"/>
              </w:rPr>
            </w:pPr>
            <w:r>
              <w:rPr>
                <w:rFonts w:ascii="Arial" w:hAnsi="Arial" w:cs="Arial"/>
              </w:rPr>
              <w:t>Adele Green</w:t>
            </w:r>
          </w:p>
        </w:tc>
        <w:tc>
          <w:tcPr>
            <w:tcW w:w="1481" w:type="pct"/>
          </w:tcPr>
          <w:p w:rsidR="00A42BF4" w:rsidRDefault="00A42BF4">
            <w:pPr>
              <w:widowControl w:val="0"/>
              <w:jc w:val="center"/>
              <w:rPr>
                <w:rFonts w:ascii="Arial" w:hAnsi="Arial" w:cs="Arial"/>
              </w:rPr>
            </w:pPr>
            <w:r>
              <w:rPr>
                <w:rFonts w:ascii="Arial" w:hAnsi="Arial" w:cs="Arial"/>
              </w:rPr>
              <w:t>Michael Izard</w:t>
            </w:r>
          </w:p>
        </w:tc>
      </w:tr>
      <w:tr w:rsidR="00A42BF4">
        <w:tc>
          <w:tcPr>
            <w:tcW w:w="2110" w:type="pct"/>
          </w:tcPr>
          <w:p w:rsidR="00A42BF4" w:rsidRDefault="00A42BF4">
            <w:pPr>
              <w:widowControl w:val="0"/>
              <w:jc w:val="center"/>
              <w:rPr>
                <w:rFonts w:ascii="Arial" w:hAnsi="Arial" w:cs="Arial"/>
              </w:rPr>
            </w:pPr>
            <w:r>
              <w:rPr>
                <w:rFonts w:ascii="Arial" w:hAnsi="Arial" w:cs="Arial"/>
              </w:rPr>
              <w:t>Presiding Councillor</w:t>
            </w:r>
          </w:p>
        </w:tc>
        <w:tc>
          <w:tcPr>
            <w:tcW w:w="1410" w:type="pct"/>
          </w:tcPr>
          <w:p w:rsidR="00A42BF4" w:rsidRDefault="00A42BF4">
            <w:pPr>
              <w:widowControl w:val="0"/>
              <w:jc w:val="center"/>
              <w:rPr>
                <w:rFonts w:ascii="Arial" w:hAnsi="Arial" w:cs="Arial"/>
              </w:rPr>
            </w:pPr>
            <w:r>
              <w:rPr>
                <w:rFonts w:ascii="Arial" w:hAnsi="Arial" w:cs="Arial"/>
              </w:rPr>
              <w:t>Councillor</w:t>
            </w:r>
          </w:p>
        </w:tc>
        <w:tc>
          <w:tcPr>
            <w:tcW w:w="1481" w:type="pct"/>
          </w:tcPr>
          <w:p w:rsidR="00A42BF4" w:rsidRDefault="00A42BF4">
            <w:pPr>
              <w:widowControl w:val="0"/>
              <w:jc w:val="center"/>
              <w:rPr>
                <w:rFonts w:ascii="Arial" w:hAnsi="Arial" w:cs="Arial"/>
              </w:rPr>
            </w:pPr>
            <w:r>
              <w:rPr>
                <w:rFonts w:ascii="Arial" w:hAnsi="Arial" w:cs="Arial"/>
              </w:rPr>
              <w:t>Councillor</w:t>
            </w:r>
          </w:p>
        </w:tc>
      </w:tr>
    </w:tbl>
    <w:p w:rsidR="00A42BF4" w:rsidRDefault="00A42BF4"/>
    <w:tbl>
      <w:tblPr>
        <w:tblW w:w="5000" w:type="pct"/>
        <w:tblLook w:val="01E0"/>
      </w:tblPr>
      <w:tblGrid>
        <w:gridCol w:w="5179"/>
        <w:gridCol w:w="4675"/>
      </w:tblGrid>
      <w:tr w:rsidR="00A42BF4">
        <w:tc>
          <w:tcPr>
            <w:tcW w:w="2628" w:type="pct"/>
          </w:tcPr>
          <w:p w:rsidR="00A42BF4" w:rsidRDefault="00A42BF4">
            <w:pPr>
              <w:widowControl w:val="0"/>
              <w:jc w:val="center"/>
              <w:rPr>
                <w:rFonts w:ascii="Arial" w:hAnsi="Arial" w:cs="Arial"/>
              </w:rPr>
            </w:pPr>
            <w:r>
              <w:rPr>
                <w:rFonts w:ascii="Arial" w:hAnsi="Arial" w:cs="Arial"/>
              </w:rPr>
              <w:t>David Newman</w:t>
            </w:r>
          </w:p>
        </w:tc>
        <w:tc>
          <w:tcPr>
            <w:tcW w:w="2372" w:type="pct"/>
          </w:tcPr>
          <w:p w:rsidR="00A42BF4" w:rsidRDefault="00A42BF4">
            <w:pPr>
              <w:widowControl w:val="0"/>
              <w:jc w:val="center"/>
              <w:rPr>
                <w:rFonts w:ascii="Arial" w:hAnsi="Arial" w:cs="Arial"/>
              </w:rPr>
            </w:pPr>
            <w:r>
              <w:rPr>
                <w:rFonts w:ascii="Arial" w:hAnsi="Arial" w:cs="Arial"/>
              </w:rPr>
              <w:t xml:space="preserve">Glenn McCulloch </w:t>
            </w:r>
          </w:p>
        </w:tc>
      </w:tr>
      <w:tr w:rsidR="00A42BF4">
        <w:tc>
          <w:tcPr>
            <w:tcW w:w="2628" w:type="pct"/>
          </w:tcPr>
          <w:p w:rsidR="00A42BF4" w:rsidRDefault="00A42BF4">
            <w:pPr>
              <w:widowControl w:val="0"/>
              <w:jc w:val="center"/>
              <w:rPr>
                <w:rFonts w:ascii="Arial" w:hAnsi="Arial" w:cs="Arial"/>
              </w:rPr>
            </w:pPr>
            <w:r>
              <w:rPr>
                <w:rFonts w:ascii="Arial" w:hAnsi="Arial" w:cs="Arial"/>
              </w:rPr>
              <w:t>Councillor</w:t>
            </w:r>
          </w:p>
        </w:tc>
        <w:tc>
          <w:tcPr>
            <w:tcW w:w="2372" w:type="pct"/>
          </w:tcPr>
          <w:p w:rsidR="00A42BF4" w:rsidRDefault="00A42BF4">
            <w:pPr>
              <w:widowControl w:val="0"/>
              <w:jc w:val="center"/>
              <w:rPr>
                <w:rFonts w:ascii="Arial" w:hAnsi="Arial" w:cs="Arial"/>
              </w:rPr>
            </w:pPr>
            <w:r>
              <w:rPr>
                <w:rFonts w:ascii="Arial" w:hAnsi="Arial" w:cs="Arial"/>
              </w:rPr>
              <w:t>Councillor</w:t>
            </w:r>
          </w:p>
        </w:tc>
      </w:tr>
    </w:tbl>
    <w:p w:rsidR="00A42BF4" w:rsidRDefault="00A42BF4"/>
    <w:p w:rsidR="00A42BF4" w:rsidRDefault="00A42BF4"/>
    <w:tbl>
      <w:tblPr>
        <w:tblW w:w="5000" w:type="pct"/>
        <w:tblLook w:val="0000"/>
      </w:tblPr>
      <w:tblGrid>
        <w:gridCol w:w="9931"/>
        <w:gridCol w:w="236"/>
        <w:gridCol w:w="236"/>
        <w:gridCol w:w="236"/>
      </w:tblGrid>
      <w:tr w:rsidR="00A42BF4">
        <w:trPr>
          <w:cantSplit/>
          <w:trHeight w:val="1618"/>
        </w:trPr>
        <w:tc>
          <w:tcPr>
            <w:tcW w:w="1230" w:type="pct"/>
          </w:tcPr>
          <w:p w:rsidR="00A42BF4" w:rsidRDefault="00A42BF4">
            <w:pPr>
              <w:jc w:val="center"/>
              <w:rPr>
                <w:rFonts w:ascii="Arial" w:hAnsi="Arial" w:cs="Arial"/>
              </w:rPr>
            </w:pPr>
          </w:p>
          <w:tbl>
            <w:tblPr>
              <w:tblW w:w="9715" w:type="dxa"/>
              <w:tblLook w:val="01E0"/>
            </w:tblPr>
            <w:tblGrid>
              <w:gridCol w:w="3595"/>
              <w:gridCol w:w="6120"/>
            </w:tblGrid>
            <w:tr w:rsidR="00A42BF4">
              <w:tc>
                <w:tcPr>
                  <w:tcW w:w="1850" w:type="pct"/>
                  <w:tcBorders>
                    <w:top w:val="nil"/>
                    <w:left w:val="nil"/>
                    <w:bottom w:val="nil"/>
                    <w:right w:val="nil"/>
                  </w:tcBorders>
                </w:tcPr>
                <w:p w:rsidR="00A42BF4" w:rsidRDefault="00A42BF4">
                  <w:pPr>
                    <w:widowControl w:val="0"/>
                    <w:spacing w:after="0"/>
                    <w:rPr>
                      <w:rFonts w:ascii="Arial" w:hAnsi="Arial" w:cs="Arial"/>
                    </w:rPr>
                  </w:pPr>
                  <w:r>
                    <w:rPr>
                      <w:rFonts w:ascii="Arial" w:hAnsi="Arial" w:cs="Arial"/>
                    </w:rPr>
                    <w:t>The Common Seal of the</w:t>
                  </w:r>
                  <w:r>
                    <w:rPr>
                      <w:rFonts w:ascii="Arial" w:hAnsi="Arial" w:cs="Arial"/>
                    </w:rPr>
                    <w:tab/>
                    <w:t>)</w:t>
                  </w:r>
                  <w:r>
                    <w:rPr>
                      <w:rFonts w:ascii="Arial" w:hAnsi="Arial" w:cs="Arial"/>
                    </w:rPr>
                    <w:br/>
                    <w:t>Specialist Medical Review</w:t>
                  </w:r>
                  <w:r>
                    <w:rPr>
                      <w:rFonts w:ascii="Arial" w:hAnsi="Arial" w:cs="Arial"/>
                    </w:rPr>
                    <w:tab/>
                    <w:t xml:space="preserve">) Council was affixed by </w:t>
                  </w:r>
                  <w:r>
                    <w:rPr>
                      <w:rFonts w:ascii="Arial" w:hAnsi="Arial" w:cs="Arial"/>
                    </w:rPr>
                    <w:tab/>
                    <w:t>)</w:t>
                  </w:r>
                </w:p>
                <w:p w:rsidR="00A42BF4" w:rsidRDefault="00A42BF4">
                  <w:pPr>
                    <w:widowControl w:val="0"/>
                    <w:spacing w:after="0"/>
                    <w:rPr>
                      <w:rFonts w:ascii="Arial" w:hAnsi="Arial" w:cs="Arial"/>
                    </w:rPr>
                  </w:pPr>
                  <w:r>
                    <w:rPr>
                      <w:rFonts w:ascii="Arial" w:hAnsi="Arial" w:cs="Arial"/>
                    </w:rPr>
                    <w:t>authority of the Council in</w:t>
                  </w:r>
                  <w:r>
                    <w:rPr>
                      <w:rFonts w:ascii="Arial" w:hAnsi="Arial" w:cs="Arial"/>
                    </w:rPr>
                    <w:tab/>
                    <w:t>)</w:t>
                  </w:r>
                </w:p>
                <w:p w:rsidR="00A42BF4" w:rsidRDefault="00A42BF4">
                  <w:pPr>
                    <w:widowControl w:val="0"/>
                    <w:spacing w:after="0"/>
                    <w:rPr>
                      <w:rFonts w:ascii="Arial" w:hAnsi="Arial" w:cs="Arial"/>
                    </w:rPr>
                  </w:pPr>
                  <w:r>
                    <w:rPr>
                      <w:rFonts w:ascii="Arial" w:hAnsi="Arial" w:cs="Arial"/>
                    </w:rPr>
                    <w:t>the presence of:</w:t>
                  </w:r>
                  <w:r>
                    <w:rPr>
                      <w:rFonts w:ascii="Arial" w:hAnsi="Arial" w:cs="Arial"/>
                    </w:rPr>
                    <w:tab/>
                  </w:r>
                  <w:r>
                    <w:rPr>
                      <w:rFonts w:ascii="Arial" w:hAnsi="Arial" w:cs="Arial"/>
                    </w:rPr>
                    <w:tab/>
                    <w:t>)</w:t>
                  </w:r>
                </w:p>
                <w:p w:rsidR="00A42BF4" w:rsidRDefault="00A42BF4">
                  <w:pPr>
                    <w:widowControl w:val="0"/>
                    <w:jc w:val="center"/>
                    <w:rPr>
                      <w:rFonts w:ascii="Arial" w:hAnsi="Arial" w:cs="Arial"/>
                    </w:rPr>
                  </w:pPr>
                </w:p>
              </w:tc>
              <w:tc>
                <w:tcPr>
                  <w:tcW w:w="3150" w:type="pct"/>
                  <w:tcBorders>
                    <w:top w:val="nil"/>
                    <w:left w:val="nil"/>
                    <w:bottom w:val="nil"/>
                    <w:right w:val="nil"/>
                  </w:tcBorders>
                </w:tcPr>
                <w:p w:rsidR="00A42BF4" w:rsidRDefault="00A42BF4">
                  <w:pPr>
                    <w:widowControl w:val="0"/>
                    <w:rPr>
                      <w:rFonts w:ascii="Arial" w:hAnsi="Arial" w:cs="Arial"/>
                    </w:rPr>
                  </w:pPr>
                </w:p>
                <w:p w:rsidR="00A42BF4" w:rsidRDefault="00A42BF4">
                  <w:pPr>
                    <w:widowControl w:val="0"/>
                    <w:jc w:val="center"/>
                    <w:rPr>
                      <w:rFonts w:ascii="Arial" w:hAnsi="Arial" w:cs="Arial"/>
                    </w:rPr>
                  </w:pPr>
                </w:p>
              </w:tc>
            </w:tr>
          </w:tbl>
          <w:p w:rsidR="00A42BF4" w:rsidRDefault="00A42BF4">
            <w:pPr>
              <w:jc w:val="center"/>
              <w:rPr>
                <w:rFonts w:ascii="Arial" w:hAnsi="Arial" w:cs="Arial"/>
              </w:rPr>
            </w:pPr>
          </w:p>
        </w:tc>
        <w:tc>
          <w:tcPr>
            <w:tcW w:w="1257" w:type="pct"/>
          </w:tcPr>
          <w:p w:rsidR="00A42BF4" w:rsidRDefault="00A42BF4">
            <w:pPr>
              <w:jc w:val="center"/>
              <w:rPr>
                <w:rFonts w:ascii="Arial" w:hAnsi="Arial" w:cs="Arial"/>
              </w:rPr>
            </w:pPr>
          </w:p>
          <w:p w:rsidR="00A42BF4" w:rsidRDefault="00A42BF4">
            <w:pPr>
              <w:jc w:val="center"/>
              <w:rPr>
                <w:rFonts w:ascii="Arial" w:hAnsi="Arial" w:cs="Arial"/>
              </w:rPr>
            </w:pPr>
          </w:p>
          <w:p w:rsidR="00A42BF4" w:rsidRDefault="00A42BF4">
            <w:pPr>
              <w:jc w:val="center"/>
              <w:rPr>
                <w:rFonts w:ascii="Arial" w:hAnsi="Arial" w:cs="Arial"/>
              </w:rPr>
            </w:pPr>
          </w:p>
        </w:tc>
        <w:tc>
          <w:tcPr>
            <w:tcW w:w="1257" w:type="pct"/>
          </w:tcPr>
          <w:p w:rsidR="00A42BF4" w:rsidRDefault="00A42BF4">
            <w:pPr>
              <w:jc w:val="center"/>
              <w:rPr>
                <w:rFonts w:ascii="Arial" w:hAnsi="Arial" w:cs="Arial"/>
              </w:rPr>
            </w:pPr>
          </w:p>
        </w:tc>
        <w:tc>
          <w:tcPr>
            <w:tcW w:w="1256" w:type="pct"/>
          </w:tcPr>
          <w:p w:rsidR="00A42BF4" w:rsidRDefault="00A42BF4">
            <w:pPr>
              <w:jc w:val="center"/>
              <w:rPr>
                <w:rFonts w:ascii="Arial" w:hAnsi="Arial" w:cs="Arial"/>
              </w:rPr>
            </w:pPr>
          </w:p>
        </w:tc>
      </w:tr>
    </w:tbl>
    <w:p w:rsidR="00A42BF4" w:rsidRDefault="00A42BF4">
      <w:pPr>
        <w:rPr>
          <w:rFonts w:ascii="Arial" w:hAnsi="Arial" w:cs="Arial"/>
        </w:rPr>
      </w:pPr>
      <w:r>
        <w:rPr>
          <w:rFonts w:ascii="Arial" w:hAnsi="Arial" w:cs="Arial"/>
        </w:rPr>
        <w:t xml:space="preserve">                 </w:t>
      </w:r>
    </w:p>
    <w:p w:rsidR="00A42BF4" w:rsidRDefault="00A42BF4">
      <w:pPr>
        <w:jc w:val="center"/>
        <w:rPr>
          <w:rFonts w:ascii="Arial" w:hAnsi="Arial" w:cs="Arial"/>
        </w:rPr>
      </w:pPr>
      <w:r>
        <w:rPr>
          <w:rFonts w:ascii="Arial" w:hAnsi="Arial" w:cs="Arial"/>
        </w:rPr>
        <w:t xml:space="preserve">                                  Jan Bowman</w:t>
      </w:r>
    </w:p>
    <w:p w:rsidR="00A42BF4" w:rsidRDefault="00A42BF4">
      <w:pPr>
        <w:ind w:left="5040"/>
        <w:rPr>
          <w:rFonts w:ascii="Arial" w:hAnsi="Arial" w:cs="Arial"/>
        </w:rPr>
      </w:pPr>
      <w:r>
        <w:rPr>
          <w:rFonts w:ascii="Arial" w:hAnsi="Arial" w:cs="Arial"/>
        </w:rPr>
        <w:t>Registrar, SMRC</w:t>
      </w:r>
    </w:p>
    <w:p w:rsidR="00A42BF4" w:rsidRDefault="00A42BF4">
      <w:pPr>
        <w:ind w:left="3600"/>
        <w:rPr>
          <w:rFonts w:ascii="Arial" w:hAnsi="Arial" w:cs="Arial"/>
        </w:rPr>
      </w:pPr>
      <w:r>
        <w:rPr>
          <w:rFonts w:ascii="Arial" w:hAnsi="Arial" w:cs="Arial"/>
        </w:rPr>
        <w:t xml:space="preserve">Dated this </w:t>
      </w:r>
      <w:r>
        <w:rPr>
          <w:rFonts w:ascii="Arial" w:hAnsi="Arial" w:cs="Arial"/>
          <w:b/>
          <w:i/>
        </w:rPr>
        <w:t xml:space="preserve">SIXTEENTH </w:t>
      </w:r>
      <w:r>
        <w:rPr>
          <w:rFonts w:ascii="Arial" w:hAnsi="Arial" w:cs="Arial"/>
        </w:rPr>
        <w:t xml:space="preserve">day of </w:t>
      </w:r>
      <w:r>
        <w:rPr>
          <w:rFonts w:ascii="Arial" w:hAnsi="Arial" w:cs="Arial"/>
          <w:b/>
          <w:i/>
        </w:rPr>
        <w:t xml:space="preserve">SEPTEMBER </w:t>
      </w:r>
      <w:r>
        <w:rPr>
          <w:rFonts w:ascii="Arial" w:hAnsi="Arial" w:cs="Arial"/>
        </w:rPr>
        <w:t>2013</w:t>
      </w:r>
    </w:p>
    <w:p w:rsidR="00A42BF4" w:rsidRDefault="00A42BF4">
      <w:pPr>
        <w:ind w:left="3600"/>
        <w:rPr>
          <w:rFonts w:ascii="Arial" w:hAnsi="Arial" w:cs="Arial"/>
        </w:rPr>
      </w:pPr>
    </w:p>
    <w:p w:rsidR="00A42BF4" w:rsidRDefault="00A42BF4">
      <w:pPr>
        <w:jc w:val="center"/>
      </w:pPr>
    </w:p>
    <w:sectPr w:rsidR="00A42BF4"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BF4" w:rsidRDefault="00A42BF4">
      <w:pPr>
        <w:spacing w:after="0" w:line="240" w:lineRule="auto"/>
      </w:pPr>
      <w:r>
        <w:separator/>
      </w:r>
    </w:p>
  </w:endnote>
  <w:endnote w:type="continuationSeparator" w:id="0">
    <w:p w:rsidR="00A42BF4" w:rsidRDefault="00A42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it-Qa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F4" w:rsidRDefault="00A42B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F4" w:rsidRDefault="00A42BF4">
    <w:pPr>
      <w:pStyle w:val="Footer"/>
    </w:pPr>
    <w:r>
      <w:rPr>
        <w:rFonts w:ascii="Arial" w:hAnsi="Arial" w:cs="Arial"/>
        <w:sz w:val="20"/>
      </w:rPr>
      <w:t>The Council’s Reasons for Decision in relation to this Declaration can be obtained from its website at www.smrc.gov.au, or on request by writing to the Specialist Medical Review Council Secretariat, PO Box 895, Woden ACT 2606 or by telephoning  (07) 3223 8420.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F4" w:rsidRDefault="00A42B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BF4" w:rsidRDefault="00A42BF4">
      <w:pPr>
        <w:spacing w:after="0" w:line="240" w:lineRule="auto"/>
      </w:pPr>
      <w:r>
        <w:separator/>
      </w:r>
    </w:p>
  </w:footnote>
  <w:footnote w:type="continuationSeparator" w:id="0">
    <w:p w:rsidR="00A42BF4" w:rsidRDefault="00A42B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F4" w:rsidRDefault="00A42B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F4" w:rsidRDefault="00A42B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35"/>
      <w:gridCol w:w="4435"/>
      <w:gridCol w:w="3979"/>
    </w:tblGrid>
    <w:tr w:rsidR="00A42BF4">
      <w:trPr>
        <w:trHeight w:val="984"/>
      </w:trPr>
      <w:tc>
        <w:tcPr>
          <w:tcW w:w="1263" w:type="dxa"/>
          <w:tcBorders>
            <w:top w:val="single" w:sz="4" w:space="0" w:color="auto"/>
            <w:left w:val="nil"/>
            <w:bottom w:val="single" w:sz="4" w:space="0" w:color="auto"/>
            <w:right w:val="nil"/>
          </w:tcBorders>
        </w:tcPr>
        <w:p w:rsidR="00A42BF4" w:rsidRDefault="00A42BF4">
          <w:pPr>
            <w:spacing w:before="60" w:after="0"/>
            <w:ind w:left="-51"/>
            <w:rPr>
              <w:rFonts w:ascii="Arial" w:hAnsi="Arial"/>
              <w:sz w:val="12"/>
            </w:rPr>
          </w:pPr>
          <w:bookmarkStart w:id="0" w:name="OLE_LINK2"/>
          <w:r>
            <w:rPr>
              <w:rFonts w:ascii="Arial" w:hAnsi="Arial"/>
              <w:noProof/>
              <w:sz w:val="12"/>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51.75pt;height:41.25pt;visibility:visible">
                <v:imagedata r:id="rId1" o:title=""/>
              </v:shape>
            </w:pict>
          </w:r>
        </w:p>
      </w:tc>
      <w:tc>
        <w:tcPr>
          <w:tcW w:w="4435" w:type="dxa"/>
          <w:tcBorders>
            <w:top w:val="single" w:sz="4" w:space="0" w:color="auto"/>
            <w:left w:val="nil"/>
            <w:bottom w:val="single" w:sz="4" w:space="0" w:color="auto"/>
            <w:right w:val="nil"/>
          </w:tcBorders>
        </w:tcPr>
        <w:p w:rsidR="00A42BF4" w:rsidRDefault="00A42BF4">
          <w:pPr>
            <w:spacing w:before="60" w:after="0" w:line="460" w:lineRule="exact"/>
            <w:rPr>
              <w:rFonts w:ascii="Arial" w:hAnsi="Arial" w:cs="Arial"/>
              <w:b/>
              <w:spacing w:val="-2"/>
              <w:sz w:val="44"/>
              <w:szCs w:val="44"/>
            </w:rPr>
          </w:pPr>
          <w:r>
            <w:rPr>
              <w:rFonts w:ascii="Arial" w:hAnsi="Arial" w:cs="Arial"/>
              <w:b/>
              <w:spacing w:val="-2"/>
              <w:sz w:val="44"/>
              <w:szCs w:val="44"/>
            </w:rPr>
            <w:t>Commonwealth</w:t>
          </w:r>
          <w:r>
            <w:rPr>
              <w:rFonts w:ascii="Arial" w:hAnsi="Arial" w:cs="Arial"/>
              <w:b/>
              <w:spacing w:val="-2"/>
              <w:sz w:val="44"/>
              <w:szCs w:val="44"/>
            </w:rPr>
            <w:br/>
            <w:t xml:space="preserve">of </w:t>
          </w:r>
          <w:smartTag w:uri="urn:schemas-microsoft-com:office:smarttags" w:element="country-region">
            <w:smartTag w:uri="urn:schemas-microsoft-com:office:smarttags" w:element="place">
              <w:r>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A42BF4" w:rsidRDefault="00A42BF4">
          <w:pPr>
            <w:spacing w:before="180" w:after="0" w:line="800" w:lineRule="exact"/>
            <w:jc w:val="right"/>
            <w:rPr>
              <w:rFonts w:ascii="Arial" w:hAnsi="Arial" w:cs="Arial"/>
              <w:b/>
              <w:sz w:val="100"/>
              <w:szCs w:val="100"/>
            </w:rPr>
          </w:pPr>
          <w:r>
            <w:rPr>
              <w:rFonts w:ascii="Arial" w:hAnsi="Arial" w:cs="Arial"/>
              <w:b/>
              <w:sz w:val="100"/>
              <w:szCs w:val="100"/>
            </w:rPr>
            <w:t>Gazette</w:t>
          </w:r>
        </w:p>
      </w:tc>
    </w:tr>
    <w:tr w:rsidR="00A42BF4">
      <w:trPr>
        <w:trHeight w:val="340"/>
      </w:trPr>
      <w:tc>
        <w:tcPr>
          <w:tcW w:w="5698" w:type="dxa"/>
          <w:gridSpan w:val="2"/>
          <w:tcBorders>
            <w:top w:val="single" w:sz="4" w:space="0" w:color="auto"/>
            <w:left w:val="nil"/>
            <w:bottom w:val="single" w:sz="4" w:space="0" w:color="auto"/>
            <w:right w:val="nil"/>
          </w:tcBorders>
          <w:vAlign w:val="bottom"/>
        </w:tcPr>
        <w:p w:rsidR="00A42BF4" w:rsidRDefault="00A42BF4">
          <w:pPr>
            <w:spacing w:after="0"/>
            <w:ind w:left="-51"/>
            <w:rPr>
              <w:rFonts w:ascii="Arial" w:hAnsi="Arial" w:cs="Arial"/>
              <w:sz w:val="14"/>
              <w:szCs w:val="14"/>
            </w:rPr>
          </w:pPr>
          <w:bookmarkStart w:id="1" w:name="GazNo"/>
          <w:bookmarkEnd w:id="1"/>
          <w:r>
            <w:rPr>
              <w:rFonts w:ascii="Arial" w:hAnsi="Arial" w:cs="Arial"/>
              <w:sz w:val="14"/>
              <w:szCs w:val="14"/>
            </w:rPr>
            <w:t xml:space="preserve">Published by the Commonwealth of </w:t>
          </w:r>
          <w:smartTag w:uri="urn:schemas-microsoft-com:office:smarttags" w:element="place">
            <w:smartTag w:uri="urn:schemas-microsoft-com:office:smarttags" w:element="country-region">
              <w:r>
                <w:rPr>
                  <w:rFonts w:ascii="Arial" w:hAnsi="Arial" w:cs="Arial"/>
                  <w:sz w:val="14"/>
                  <w:szCs w:val="14"/>
                </w:rPr>
                <w:t>Australia</w:t>
              </w:r>
            </w:smartTag>
          </w:smartTag>
        </w:p>
      </w:tc>
      <w:tc>
        <w:tcPr>
          <w:tcW w:w="3979" w:type="dxa"/>
          <w:tcBorders>
            <w:top w:val="single" w:sz="4" w:space="0" w:color="auto"/>
            <w:left w:val="nil"/>
            <w:bottom w:val="single" w:sz="4" w:space="0" w:color="auto"/>
            <w:right w:val="nil"/>
          </w:tcBorders>
          <w:shd w:val="clear" w:color="auto" w:fill="000000"/>
          <w:vAlign w:val="bottom"/>
        </w:tcPr>
        <w:p w:rsidR="00A42BF4" w:rsidRDefault="00A42BF4">
          <w:pPr>
            <w:spacing w:after="0"/>
            <w:jc w:val="right"/>
            <w:rPr>
              <w:rFonts w:ascii="Arial" w:hAnsi="Arial" w:cs="Arial"/>
              <w:b/>
              <w:sz w:val="24"/>
              <w:szCs w:val="24"/>
            </w:rPr>
          </w:pPr>
          <w:r>
            <w:rPr>
              <w:rFonts w:ascii="Arial" w:hAnsi="Arial" w:cs="Arial"/>
              <w:b/>
              <w:sz w:val="24"/>
              <w:szCs w:val="24"/>
            </w:rPr>
            <w:t>GOVERNMENT NOTICES</w:t>
          </w:r>
        </w:p>
      </w:tc>
    </w:tr>
    <w:bookmarkEnd w:id="0"/>
  </w:tbl>
  <w:p w:rsidR="00A42BF4" w:rsidRDefault="00A42BF4">
    <w:pPr>
      <w:pStyle w:val="Header"/>
      <w:rPr>
        <w:sz w:val="2"/>
        <w:szCs w:val="2"/>
      </w:rPr>
    </w:pPr>
  </w:p>
  <w:p w:rsidR="00A42BF4" w:rsidRDefault="00A42BF4">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27664"/>
    <w:multiLevelType w:val="multilevel"/>
    <w:tmpl w:val="AC408CCC"/>
    <w:lvl w:ilvl="0">
      <w:start w:val="1"/>
      <w:numFmt w:val="decimal"/>
      <w:lvlText w:val="%1."/>
      <w:lvlJc w:val="left"/>
      <w:pPr>
        <w:tabs>
          <w:tab w:val="num" w:pos="1080"/>
        </w:tabs>
        <w:ind w:left="1080" w:hanging="720"/>
      </w:pPr>
      <w:rPr>
        <w:rFonts w:cs="Times New Roman" w:hint="default"/>
        <w:b w:val="0"/>
        <w:i w:val="0"/>
        <w:sz w:val="22"/>
      </w:rPr>
    </w:lvl>
    <w:lvl w:ilvl="1">
      <w:start w:val="1"/>
      <w:numFmt w:val="decimal"/>
      <w:lvlText w:val="%1.%2."/>
      <w:lvlJc w:val="left"/>
      <w:pPr>
        <w:tabs>
          <w:tab w:val="num" w:pos="709"/>
        </w:tabs>
        <w:ind w:left="709" w:hanging="709"/>
      </w:pPr>
      <w:rPr>
        <w:rFonts w:ascii="Arial" w:hAnsi="Arial" w:cs="Arial" w:hint="default"/>
        <w:sz w:val="22"/>
      </w:rPr>
    </w:lvl>
    <w:lvl w:ilvl="2">
      <w:start w:val="1"/>
      <w:numFmt w:val="decimal"/>
      <w:lvlText w:val="%1.%2.%3."/>
      <w:lvlJc w:val="left"/>
      <w:pPr>
        <w:tabs>
          <w:tab w:val="num" w:pos="0"/>
        </w:tabs>
        <w:ind w:hanging="709"/>
      </w:pPr>
      <w:rPr>
        <w:rFonts w:ascii="Arial" w:hAnsi="Arial" w:cs="Arial" w:hint="default"/>
        <w:sz w:val="22"/>
      </w:rPr>
    </w:lvl>
    <w:lvl w:ilvl="3">
      <w:start w:val="1"/>
      <w:numFmt w:val="lowerLetter"/>
      <w:lvlText w:val="%4."/>
      <w:lvlJc w:val="left"/>
      <w:pPr>
        <w:tabs>
          <w:tab w:val="num" w:pos="425"/>
        </w:tabs>
        <w:ind w:left="425" w:hanging="425"/>
      </w:pPr>
      <w:rPr>
        <w:rFonts w:ascii="Arial" w:hAnsi="Arial" w:cs="Arial" w:hint="default"/>
        <w:sz w:val="22"/>
      </w:rPr>
    </w:lvl>
    <w:lvl w:ilvl="4">
      <w:start w:val="1"/>
      <w:numFmt w:val="bullet"/>
      <w:lvlText w:val="–"/>
      <w:lvlJc w:val="left"/>
      <w:pPr>
        <w:tabs>
          <w:tab w:val="num" w:pos="850"/>
        </w:tabs>
        <w:ind w:left="850" w:hanging="425"/>
      </w:pPr>
      <w:rPr>
        <w:rFonts w:ascii="Arial" w:hAnsi="Arial" w:hint="default"/>
        <w:b w:val="0"/>
        <w:i w:val="0"/>
        <w:sz w:val="22"/>
      </w:rPr>
    </w:lvl>
    <w:lvl w:ilvl="5">
      <w:start w:val="1"/>
      <w:numFmt w:val="bullet"/>
      <w:lvlText w:val="–"/>
      <w:lvlJc w:val="left"/>
      <w:pPr>
        <w:tabs>
          <w:tab w:val="num" w:pos="1276"/>
        </w:tabs>
        <w:ind w:left="1276" w:hanging="426"/>
      </w:pPr>
      <w:rPr>
        <w:rFonts w:ascii="Arial" w:hAnsi="Arial" w:hint="default"/>
        <w:b w:val="0"/>
        <w:i w:val="0"/>
        <w:sz w:val="22"/>
      </w:rPr>
    </w:lvl>
    <w:lvl w:ilvl="6">
      <w:start w:val="1"/>
      <w:numFmt w:val="bullet"/>
      <w:lvlText w:val="–"/>
      <w:lvlJc w:val="left"/>
      <w:pPr>
        <w:tabs>
          <w:tab w:val="num" w:pos="1701"/>
        </w:tabs>
        <w:ind w:left="1701" w:hanging="425"/>
      </w:pPr>
      <w:rPr>
        <w:rFonts w:ascii="Arial" w:hAnsi="Arial" w:hint="default"/>
        <w:b w:val="0"/>
        <w:i w:val="0"/>
        <w:sz w:val="22"/>
      </w:rPr>
    </w:lvl>
    <w:lvl w:ilvl="7">
      <w:start w:val="1"/>
      <w:numFmt w:val="bullet"/>
      <w:lvlText w:val="–"/>
      <w:lvlJc w:val="left"/>
      <w:pPr>
        <w:tabs>
          <w:tab w:val="num" w:pos="2126"/>
        </w:tabs>
        <w:ind w:left="2126" w:hanging="425"/>
      </w:pPr>
      <w:rPr>
        <w:rFonts w:ascii="Arial" w:hAnsi="Arial" w:hint="default"/>
        <w:b w:val="0"/>
        <w:i w:val="0"/>
        <w:sz w:val="22"/>
      </w:rPr>
    </w:lvl>
    <w:lvl w:ilvl="8">
      <w:start w:val="1"/>
      <w:numFmt w:val="bullet"/>
      <w:lvlText w:val="–"/>
      <w:lvlJc w:val="left"/>
      <w:pPr>
        <w:tabs>
          <w:tab w:val="num" w:pos="2551"/>
        </w:tabs>
        <w:ind w:left="2551" w:hanging="425"/>
      </w:pPr>
      <w:rPr>
        <w:rFonts w:ascii="Arial" w:hAnsi="Arial" w:hint="default"/>
        <w:b w:val="0"/>
        <w:i w:val="0"/>
        <w:sz w:val="22"/>
      </w:rPr>
    </w:lvl>
  </w:abstractNum>
  <w:abstractNum w:abstractNumId="1">
    <w:nsid w:val="29FB3395"/>
    <w:multiLevelType w:val="multilevel"/>
    <w:tmpl w:val="7FF43AA0"/>
    <w:lvl w:ilvl="0">
      <w:start w:val="1"/>
      <w:numFmt w:val="decimal"/>
      <w:pStyle w:val="NumberLevel1"/>
      <w:lvlText w:val="%1."/>
      <w:lvlJc w:val="left"/>
      <w:pPr>
        <w:tabs>
          <w:tab w:val="num" w:pos="0"/>
        </w:tabs>
        <w:ind w:hanging="850"/>
      </w:pPr>
      <w:rPr>
        <w:rFonts w:ascii="Arial" w:hAnsi="Arial" w:cs="Arial"/>
        <w:b w:val="0"/>
      </w:rPr>
    </w:lvl>
    <w:lvl w:ilvl="1">
      <w:start w:val="1"/>
      <w:numFmt w:val="decimal"/>
      <w:pStyle w:val="NumberLevel2"/>
      <w:lvlText w:val="%1.%2."/>
      <w:lvlJc w:val="left"/>
      <w:pPr>
        <w:tabs>
          <w:tab w:val="num" w:pos="0"/>
        </w:tabs>
        <w:ind w:hanging="850"/>
      </w:pPr>
      <w:rPr>
        <w:rFonts w:ascii="Arial" w:hAnsi="Arial" w:cs="Arial"/>
        <w:b w:val="0"/>
      </w:rPr>
    </w:lvl>
    <w:lvl w:ilvl="2">
      <w:start w:val="1"/>
      <w:numFmt w:val="decimal"/>
      <w:pStyle w:val="NumberLevel3"/>
      <w:lvlText w:val="%1.%2.%3."/>
      <w:lvlJc w:val="left"/>
      <w:pPr>
        <w:tabs>
          <w:tab w:val="num" w:pos="0"/>
        </w:tabs>
        <w:ind w:hanging="850"/>
      </w:pPr>
      <w:rPr>
        <w:rFonts w:ascii="Arial" w:hAnsi="Arial" w:cs="Arial"/>
        <w:b w:val="0"/>
      </w:rPr>
    </w:lvl>
    <w:lvl w:ilvl="3">
      <w:start w:val="1"/>
      <w:numFmt w:val="lowerLetter"/>
      <w:pStyle w:val="NumberLevel4"/>
      <w:lvlText w:val="%4."/>
      <w:lvlJc w:val="left"/>
      <w:pPr>
        <w:tabs>
          <w:tab w:val="num" w:pos="425"/>
        </w:tabs>
        <w:ind w:left="425" w:hanging="425"/>
      </w:pPr>
      <w:rPr>
        <w:rFonts w:ascii="Arial" w:hAnsi="Arial" w:cs="Arial"/>
        <w:b w:val="0"/>
      </w:rPr>
    </w:lvl>
    <w:lvl w:ilvl="4">
      <w:start w:val="1"/>
      <w:numFmt w:val="bullet"/>
      <w:lvlRestart w:val="0"/>
      <w:pStyle w:val="NumberLevel5"/>
      <w:lvlText w:val="–"/>
      <w:lvlJc w:val="left"/>
      <w:pPr>
        <w:tabs>
          <w:tab w:val="num" w:pos="850"/>
        </w:tabs>
        <w:ind w:left="850" w:hanging="425"/>
      </w:pPr>
      <w:rPr>
        <w:rFonts w:ascii="Arial" w:hAnsi="Arial"/>
        <w:b w:val="0"/>
      </w:rPr>
    </w:lvl>
    <w:lvl w:ilvl="5">
      <w:start w:val="1"/>
      <w:numFmt w:val="bullet"/>
      <w:lvlRestart w:val="0"/>
      <w:pStyle w:val="NumberLevel6"/>
      <w:lvlText w:val="–"/>
      <w:lvlJc w:val="left"/>
      <w:pPr>
        <w:tabs>
          <w:tab w:val="num" w:pos="1276"/>
        </w:tabs>
        <w:ind w:left="1276" w:hanging="426"/>
      </w:pPr>
      <w:rPr>
        <w:rFonts w:ascii="Arial" w:hAnsi="Arial"/>
        <w:b w:val="0"/>
      </w:rPr>
    </w:lvl>
    <w:lvl w:ilvl="6">
      <w:start w:val="1"/>
      <w:numFmt w:val="bullet"/>
      <w:lvlRestart w:val="0"/>
      <w:pStyle w:val="NumberLevel7"/>
      <w:lvlText w:val="–"/>
      <w:lvlJc w:val="left"/>
      <w:pPr>
        <w:tabs>
          <w:tab w:val="num" w:pos="1701"/>
        </w:tabs>
        <w:ind w:left="1701" w:hanging="425"/>
      </w:pPr>
      <w:rPr>
        <w:rFonts w:ascii="Arial" w:hAnsi="Arial"/>
        <w:b w:val="0"/>
      </w:rPr>
    </w:lvl>
    <w:lvl w:ilvl="7">
      <w:start w:val="1"/>
      <w:numFmt w:val="bullet"/>
      <w:lvlRestart w:val="0"/>
      <w:pStyle w:val="NumberLevel8"/>
      <w:lvlText w:val="–"/>
      <w:lvlJc w:val="left"/>
      <w:pPr>
        <w:tabs>
          <w:tab w:val="num" w:pos="2126"/>
        </w:tabs>
        <w:ind w:left="2126" w:hanging="425"/>
      </w:pPr>
      <w:rPr>
        <w:rFonts w:ascii="Arial" w:hAnsi="Arial"/>
        <w:b w:val="0"/>
      </w:rPr>
    </w:lvl>
    <w:lvl w:ilvl="8">
      <w:start w:val="1"/>
      <w:numFmt w:val="bullet"/>
      <w:lvlRestart w:val="0"/>
      <w:pStyle w:val="NumberLevel9"/>
      <w:lvlText w:val="–"/>
      <w:lvlJc w:val="left"/>
      <w:pPr>
        <w:tabs>
          <w:tab w:val="num" w:pos="2551"/>
        </w:tabs>
        <w:ind w:left="2551" w:hanging="425"/>
      </w:pPr>
      <w:rPr>
        <w:rFonts w:ascii="Arial" w:hAnsi="Arial"/>
        <w:b w:val="0"/>
      </w:rPr>
    </w:lvl>
  </w:abstractNum>
  <w:abstractNum w:abstractNumId="2">
    <w:nsid w:val="76740E95"/>
    <w:multiLevelType w:val="multilevel"/>
    <w:tmpl w:val="0DE0C660"/>
    <w:lvl w:ilvl="0">
      <w:start w:val="1"/>
      <w:numFmt w:val="decimal"/>
      <w:pStyle w:val="Number1"/>
      <w:lvlText w:val="%1."/>
      <w:lvlJc w:val="left"/>
      <w:pPr>
        <w:tabs>
          <w:tab w:val="num" w:pos="567"/>
        </w:tabs>
      </w:pPr>
      <w:rPr>
        <w:rFonts w:cs="Times New Roman"/>
      </w:rPr>
    </w:lvl>
    <w:lvl w:ilvl="1">
      <w:start w:val="1"/>
      <w:numFmt w:val="lowerRoman"/>
      <w:pStyle w:val="Numbera"/>
      <w:lvlText w:val="(%2)"/>
      <w:lvlJc w:val="left"/>
      <w:pPr>
        <w:tabs>
          <w:tab w:val="num" w:pos="1287"/>
        </w:tabs>
        <w:ind w:left="992" w:hanging="425"/>
      </w:pPr>
      <w:rPr>
        <w:rFonts w:cs="Times New Roman"/>
      </w:rPr>
    </w:lvl>
    <w:lvl w:ilvl="2">
      <w:start w:val="1"/>
      <w:numFmt w:val="lowerRoman"/>
      <w:pStyle w:val="Numberi"/>
      <w:lvlText w:val="(%3)"/>
      <w:lvlJc w:val="left"/>
      <w:pPr>
        <w:tabs>
          <w:tab w:val="num" w:pos="1712"/>
        </w:tabs>
        <w:ind w:left="1417" w:hanging="425"/>
      </w:pPr>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2BF4"/>
    <w:rsid w:val="008E4F6C"/>
    <w:rsid w:val="00A42BF4"/>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paragraph" w:styleId="Heading1">
    <w:name w:val="heading 1"/>
    <w:basedOn w:val="Normal"/>
    <w:next w:val="Normal"/>
    <w:link w:val="Heading1Char"/>
    <w:uiPriority w:val="99"/>
    <w:qFormat/>
    <w:locked/>
    <w:pPr>
      <w:keepNext/>
      <w:widowControl w:val="0"/>
      <w:spacing w:before="240" w:after="60" w:line="240" w:lineRule="auto"/>
      <w:outlineLvl w:val="0"/>
    </w:pPr>
    <w:rPr>
      <w:rFonts w:ascii="Arial" w:hAnsi="Arial" w:cs="Arial"/>
      <w:b/>
      <w:bCs/>
      <w:kern w:val="32"/>
      <w:sz w:val="32"/>
      <w:szCs w:val="32"/>
    </w:rPr>
  </w:style>
  <w:style w:type="paragraph" w:styleId="Heading4">
    <w:name w:val="heading 4"/>
    <w:basedOn w:val="Normal"/>
    <w:next w:val="Normal"/>
    <w:link w:val="Heading4Char"/>
    <w:uiPriority w:val="99"/>
    <w:qFormat/>
    <w:locked/>
    <w:pPr>
      <w:keepNext/>
      <w:keepLines/>
      <w:widowControl w:val="0"/>
      <w:numPr>
        <w:ilvl w:val="3"/>
        <w:numId w:val="1"/>
      </w:numPr>
      <w:spacing w:before="160" w:after="60" w:line="240" w:lineRule="atLeast"/>
      <w:outlineLvl w:val="3"/>
    </w:pPr>
    <w:rPr>
      <w:rFonts w:ascii="Optima" w:hAnsi="Optima"/>
      <w:b/>
      <w:sz w:val="20"/>
      <w:szCs w:val="20"/>
    </w:rPr>
  </w:style>
  <w:style w:type="paragraph" w:styleId="Heading5">
    <w:name w:val="heading 5"/>
    <w:basedOn w:val="Normal"/>
    <w:next w:val="Normal"/>
    <w:link w:val="Heading5Char"/>
    <w:uiPriority w:val="99"/>
    <w:qFormat/>
    <w:locked/>
    <w:pPr>
      <w:keepNext/>
      <w:numPr>
        <w:ilvl w:val="4"/>
        <w:numId w:val="1"/>
      </w:numPr>
      <w:spacing w:after="0" w:line="240" w:lineRule="auto"/>
      <w:jc w:val="both"/>
      <w:outlineLvl w:val="4"/>
    </w:pPr>
    <w:rPr>
      <w:rFonts w:ascii="Times New Roman" w:hAnsi="Times New Roman"/>
      <w:b/>
      <w:sz w:val="24"/>
      <w:szCs w:val="20"/>
      <w:lang w:val="en-US"/>
    </w:rPr>
  </w:style>
  <w:style w:type="paragraph" w:styleId="Heading6">
    <w:name w:val="heading 6"/>
    <w:basedOn w:val="Normal"/>
    <w:next w:val="Normal"/>
    <w:link w:val="Heading6Char"/>
    <w:uiPriority w:val="99"/>
    <w:qFormat/>
    <w:locked/>
    <w:pPr>
      <w:keepNext/>
      <w:widowControl w:val="0"/>
      <w:numPr>
        <w:ilvl w:val="5"/>
        <w:numId w:val="1"/>
      </w:numPr>
      <w:spacing w:after="0" w:line="240" w:lineRule="auto"/>
      <w:jc w:val="center"/>
      <w:outlineLvl w:val="5"/>
    </w:pPr>
    <w:rPr>
      <w:rFonts w:ascii="Times New Roman" w:hAnsi="Times New Roman"/>
      <w:sz w:val="32"/>
      <w:szCs w:val="20"/>
    </w:rPr>
  </w:style>
  <w:style w:type="paragraph" w:styleId="Heading7">
    <w:name w:val="heading 7"/>
    <w:basedOn w:val="Normal"/>
    <w:next w:val="Normal"/>
    <w:link w:val="Heading7Char"/>
    <w:uiPriority w:val="99"/>
    <w:qFormat/>
    <w:locked/>
    <w:pPr>
      <w:keepNext/>
      <w:widowControl w:val="0"/>
      <w:numPr>
        <w:ilvl w:val="6"/>
        <w:numId w:val="1"/>
      </w:numPr>
      <w:spacing w:after="0" w:line="240" w:lineRule="auto"/>
      <w:jc w:val="center"/>
      <w:outlineLvl w:val="6"/>
    </w:pPr>
    <w:rPr>
      <w:rFonts w:ascii="Frit-Qat" w:hAnsi="Frit-Qat"/>
      <w:b/>
      <w:sz w:val="24"/>
      <w:szCs w:val="20"/>
    </w:rPr>
  </w:style>
  <w:style w:type="paragraph" w:styleId="Heading8">
    <w:name w:val="heading 8"/>
    <w:basedOn w:val="Normal"/>
    <w:next w:val="Normal"/>
    <w:link w:val="Heading8Char"/>
    <w:uiPriority w:val="99"/>
    <w:qFormat/>
    <w:locked/>
    <w:pPr>
      <w:keepNext/>
      <w:numPr>
        <w:ilvl w:val="7"/>
        <w:numId w:val="1"/>
      </w:numPr>
      <w:spacing w:after="0" w:line="240" w:lineRule="auto"/>
      <w:outlineLvl w:val="7"/>
    </w:pPr>
    <w:rPr>
      <w:rFonts w:ascii="Times New Roman" w:hAnsi="Times New Roman"/>
      <w:b/>
      <w:sz w:val="20"/>
      <w:szCs w:val="20"/>
      <w:lang w:val="en-US"/>
    </w:rPr>
  </w:style>
  <w:style w:type="paragraph" w:styleId="Heading9">
    <w:name w:val="heading 9"/>
    <w:basedOn w:val="Normal"/>
    <w:next w:val="Normal"/>
    <w:link w:val="Heading9Char"/>
    <w:uiPriority w:val="99"/>
    <w:qFormat/>
    <w:locked/>
    <w:pPr>
      <w:keepNext/>
      <w:numPr>
        <w:ilvl w:val="8"/>
        <w:numId w:val="1"/>
      </w:numPr>
      <w:spacing w:after="0" w:line="240" w:lineRule="auto"/>
      <w:outlineLvl w:val="8"/>
    </w:pPr>
    <w:rPr>
      <w:rFonts w:ascii="Times New Roman" w:hAnsi="Times New Roman"/>
      <w:i/>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Pr>
      <w:rFonts w:ascii="Calibri" w:hAnsi="Calibri" w:cs="Times New Roman"/>
      <w:b/>
      <w:bCs/>
      <w:lang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Pr>
      <w:rFonts w:ascii="Cambria" w:hAnsi="Cambria" w:cs="Times New Roman"/>
      <w:lang w:eastAsia="en-US"/>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customStyle="1" w:styleId="Number1">
    <w:name w:val="Number 1"/>
    <w:basedOn w:val="Normal"/>
    <w:uiPriority w:val="99"/>
    <w:pPr>
      <w:numPr>
        <w:numId w:val="1"/>
      </w:numPr>
      <w:spacing w:before="120" w:after="120" w:line="300" w:lineRule="atLeast"/>
      <w:jc w:val="both"/>
    </w:pPr>
    <w:rPr>
      <w:rFonts w:ascii="Times" w:hAnsi="Times"/>
      <w:color w:val="000000"/>
      <w:sz w:val="24"/>
      <w:szCs w:val="20"/>
    </w:rPr>
  </w:style>
  <w:style w:type="paragraph" w:customStyle="1" w:styleId="Numbera">
    <w:name w:val="Number(a)"/>
    <w:basedOn w:val="Normal"/>
    <w:uiPriority w:val="99"/>
    <w:pPr>
      <w:numPr>
        <w:ilvl w:val="1"/>
        <w:numId w:val="1"/>
      </w:numPr>
      <w:spacing w:before="80" w:after="80" w:line="280" w:lineRule="atLeast"/>
      <w:jc w:val="both"/>
    </w:pPr>
    <w:rPr>
      <w:rFonts w:ascii="Times" w:hAnsi="Times"/>
      <w:color w:val="000000"/>
      <w:sz w:val="24"/>
      <w:szCs w:val="20"/>
    </w:rPr>
  </w:style>
  <w:style w:type="paragraph" w:customStyle="1" w:styleId="Numberi">
    <w:name w:val="Number(i)"/>
    <w:basedOn w:val="Normal"/>
    <w:uiPriority w:val="99"/>
    <w:pPr>
      <w:numPr>
        <w:ilvl w:val="2"/>
        <w:numId w:val="1"/>
      </w:numPr>
      <w:spacing w:before="80" w:after="80" w:line="280" w:lineRule="atLeast"/>
      <w:jc w:val="both"/>
    </w:pPr>
    <w:rPr>
      <w:rFonts w:ascii="Times" w:hAnsi="Times"/>
      <w:color w:val="000000"/>
      <w:sz w:val="24"/>
      <w:szCs w:val="20"/>
    </w:rPr>
  </w:style>
  <w:style w:type="paragraph" w:styleId="BodyText">
    <w:name w:val="Body Text"/>
    <w:basedOn w:val="Normal"/>
    <w:link w:val="BodyTextChar"/>
    <w:uiPriority w:val="99"/>
    <w:pPr>
      <w:spacing w:after="0" w:line="240" w:lineRule="auto"/>
    </w:pPr>
    <w:rPr>
      <w:rFonts w:ascii="Times New Roman" w:hAnsi="Times New Roman"/>
      <w:sz w:val="20"/>
      <w:szCs w:val="20"/>
    </w:rPr>
  </w:style>
  <w:style w:type="character" w:customStyle="1" w:styleId="BodyTextChar">
    <w:name w:val="Body Text Char"/>
    <w:basedOn w:val="DefaultParagraphFont"/>
    <w:link w:val="BodyText"/>
    <w:uiPriority w:val="99"/>
    <w:semiHidden/>
    <w:locked/>
    <w:rPr>
      <w:rFonts w:cs="Times New Roman"/>
      <w:lang w:eastAsia="en-US"/>
    </w:rPr>
  </w:style>
  <w:style w:type="paragraph" w:customStyle="1" w:styleId="NumberLevel1">
    <w:name w:val="Number Level 1"/>
    <w:basedOn w:val="Normal"/>
    <w:link w:val="NumberLevel1Char1"/>
    <w:uiPriority w:val="99"/>
    <w:pPr>
      <w:numPr>
        <w:numId w:val="2"/>
      </w:numPr>
      <w:spacing w:before="140" w:after="140" w:line="280" w:lineRule="atLeast"/>
    </w:pPr>
    <w:rPr>
      <w:rFonts w:ascii="Arial" w:hAnsi="Arial"/>
      <w:sz w:val="21"/>
      <w:szCs w:val="20"/>
    </w:rPr>
  </w:style>
  <w:style w:type="paragraph" w:customStyle="1" w:styleId="NumberLevel2">
    <w:name w:val="Number Level 2"/>
    <w:basedOn w:val="Normal"/>
    <w:uiPriority w:val="99"/>
    <w:pPr>
      <w:numPr>
        <w:ilvl w:val="1"/>
        <w:numId w:val="2"/>
      </w:numPr>
      <w:spacing w:before="140" w:after="140" w:line="280" w:lineRule="atLeast"/>
    </w:pPr>
    <w:rPr>
      <w:rFonts w:ascii="Arial" w:hAnsi="Arial"/>
      <w:sz w:val="21"/>
      <w:szCs w:val="20"/>
    </w:rPr>
  </w:style>
  <w:style w:type="paragraph" w:customStyle="1" w:styleId="NumberLevel3">
    <w:name w:val="Number Level 3"/>
    <w:basedOn w:val="Normal"/>
    <w:uiPriority w:val="99"/>
    <w:pPr>
      <w:numPr>
        <w:ilvl w:val="2"/>
        <w:numId w:val="2"/>
      </w:numPr>
      <w:spacing w:before="140" w:after="140" w:line="280" w:lineRule="atLeast"/>
    </w:pPr>
    <w:rPr>
      <w:rFonts w:ascii="Arial" w:hAnsi="Arial"/>
      <w:sz w:val="21"/>
      <w:szCs w:val="20"/>
    </w:rPr>
  </w:style>
  <w:style w:type="paragraph" w:customStyle="1" w:styleId="NumberLevel4">
    <w:name w:val="Number Level 4"/>
    <w:basedOn w:val="Normal"/>
    <w:uiPriority w:val="99"/>
    <w:pPr>
      <w:numPr>
        <w:ilvl w:val="3"/>
        <w:numId w:val="2"/>
      </w:numPr>
      <w:spacing w:after="140" w:line="280" w:lineRule="atLeast"/>
    </w:pPr>
    <w:rPr>
      <w:rFonts w:ascii="Arial" w:hAnsi="Arial"/>
      <w:sz w:val="21"/>
      <w:szCs w:val="20"/>
    </w:rPr>
  </w:style>
  <w:style w:type="paragraph" w:customStyle="1" w:styleId="NumberLevel5">
    <w:name w:val="Number Level 5"/>
    <w:basedOn w:val="Normal"/>
    <w:uiPriority w:val="99"/>
    <w:semiHidden/>
    <w:pPr>
      <w:numPr>
        <w:ilvl w:val="4"/>
        <w:numId w:val="2"/>
      </w:numPr>
      <w:spacing w:after="140" w:line="280" w:lineRule="atLeast"/>
    </w:pPr>
    <w:rPr>
      <w:rFonts w:ascii="Arial" w:hAnsi="Arial"/>
      <w:sz w:val="21"/>
      <w:szCs w:val="20"/>
    </w:rPr>
  </w:style>
  <w:style w:type="paragraph" w:customStyle="1" w:styleId="NumberLevel6">
    <w:name w:val="Number Level 6"/>
    <w:basedOn w:val="NumberLevel5"/>
    <w:uiPriority w:val="99"/>
    <w:semiHidden/>
    <w:pPr>
      <w:numPr>
        <w:ilvl w:val="5"/>
      </w:numPr>
      <w:tabs>
        <w:tab w:val="num" w:pos="576"/>
        <w:tab w:val="num" w:pos="720"/>
      </w:tabs>
      <w:ind w:left="576" w:hanging="576"/>
    </w:pPr>
  </w:style>
  <w:style w:type="paragraph" w:customStyle="1" w:styleId="NumberLevel7">
    <w:name w:val="Number Level 7"/>
    <w:basedOn w:val="NumberLevel6"/>
    <w:uiPriority w:val="99"/>
    <w:semiHidden/>
    <w:pPr>
      <w:numPr>
        <w:ilvl w:val="6"/>
      </w:numPr>
      <w:tabs>
        <w:tab w:val="num" w:pos="720"/>
      </w:tabs>
    </w:pPr>
  </w:style>
  <w:style w:type="paragraph" w:customStyle="1" w:styleId="NumberLevel8">
    <w:name w:val="Number Level 8"/>
    <w:basedOn w:val="NumberLevel7"/>
    <w:uiPriority w:val="99"/>
    <w:semiHidden/>
    <w:pPr>
      <w:numPr>
        <w:ilvl w:val="7"/>
      </w:numPr>
      <w:tabs>
        <w:tab w:val="num" w:pos="1276"/>
      </w:tabs>
    </w:pPr>
  </w:style>
  <w:style w:type="paragraph" w:customStyle="1" w:styleId="NumberLevel9">
    <w:name w:val="Number Level 9"/>
    <w:basedOn w:val="NumberLevel8"/>
    <w:uiPriority w:val="99"/>
    <w:semiHidden/>
    <w:pPr>
      <w:numPr>
        <w:ilvl w:val="8"/>
      </w:numPr>
      <w:tabs>
        <w:tab w:val="num" w:pos="1701"/>
      </w:tabs>
    </w:pPr>
  </w:style>
  <w:style w:type="paragraph" w:customStyle="1" w:styleId="PlainParagraph">
    <w:name w:val="Plain Paragraph"/>
    <w:basedOn w:val="Normal"/>
    <w:link w:val="PlainParagraphChar2"/>
    <w:uiPriority w:val="99"/>
    <w:pPr>
      <w:spacing w:before="140" w:after="140" w:line="280" w:lineRule="atLeast"/>
    </w:pPr>
    <w:rPr>
      <w:rFonts w:ascii="Arial" w:hAnsi="Arial" w:cs="Arial"/>
      <w:lang w:eastAsia="en-AU"/>
    </w:rPr>
  </w:style>
  <w:style w:type="character" w:customStyle="1" w:styleId="PlainParagraphChar2">
    <w:name w:val="Plain Paragraph Char2"/>
    <w:basedOn w:val="DefaultParagraphFont"/>
    <w:link w:val="PlainParagraph"/>
    <w:uiPriority w:val="99"/>
    <w:locked/>
    <w:rPr>
      <w:rFonts w:ascii="Arial" w:hAnsi="Arial" w:cs="Arial"/>
      <w:sz w:val="22"/>
      <w:szCs w:val="22"/>
      <w:lang w:val="en-AU" w:eastAsia="en-AU" w:bidi="ar-SA"/>
    </w:rPr>
  </w:style>
  <w:style w:type="character" w:customStyle="1" w:styleId="NumberLevel1Char1">
    <w:name w:val="Number Level 1 Char1"/>
    <w:basedOn w:val="DefaultParagraphFont"/>
    <w:link w:val="NumberLevel1"/>
    <w:uiPriority w:val="99"/>
    <w:locked/>
    <w:rPr>
      <w:rFonts w:ascii="Arial" w:hAnsi="Arial" w:cs="Times New Roman"/>
      <w:sz w:val="21"/>
      <w:lang w:val="en-AU" w:eastAsia="en-US" w:bidi="ar-SA"/>
    </w:rPr>
  </w:style>
  <w:style w:type="table" w:styleId="TableGrid">
    <w:name w:val="Table Grid"/>
    <w:basedOn w:val="TableNormal"/>
    <w:uiPriority w:val="99"/>
    <w:locked/>
    <w:pPr>
      <w:widowControl w:val="0"/>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355</Words>
  <Characters>2027</Characters>
  <Application>Microsoft Office Outlook</Application>
  <DocSecurity>0</DocSecurity>
  <Lines>0</Lines>
  <Paragraphs>0</Paragraphs>
  <ScaleCrop>false</ScaleCrop>
  <Company>Office of Parliamentary Counsel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Kelli</dc:creator>
  <cp:keywords/>
  <dc:description/>
  <cp:lastModifiedBy> </cp:lastModifiedBy>
  <cp:revision>4</cp:revision>
  <cp:lastPrinted>2013-06-24T01:35:00Z</cp:lastPrinted>
  <dcterms:created xsi:type="dcterms:W3CDTF">2013-09-15T23:57:00Z</dcterms:created>
  <dcterms:modified xsi:type="dcterms:W3CDTF">2013-09-16T01:02:00Z</dcterms:modified>
</cp:coreProperties>
</file>