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A47" w:rsidRDefault="003D7312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77.25pt" fillcolor="window">
            <v:imagedata r:id="rId8" o:title=""/>
          </v:shape>
        </w:pict>
      </w:r>
    </w:p>
    <w:p w:rsidR="00A71A47" w:rsidRDefault="00A71A47"/>
    <w:p w:rsidR="00A71A47" w:rsidRDefault="00A71A47" w:rsidP="00A71A47">
      <w:pPr>
        <w:spacing w:line="240" w:lineRule="auto"/>
      </w:pPr>
    </w:p>
    <w:p w:rsidR="00A71A47" w:rsidRDefault="00A71A47" w:rsidP="00A71A47"/>
    <w:p w:rsidR="00A71A47" w:rsidRDefault="00A71A47" w:rsidP="00A71A47"/>
    <w:p w:rsidR="00A71A47" w:rsidRDefault="00A71A47" w:rsidP="00A71A47"/>
    <w:p w:rsidR="00A71A47" w:rsidRDefault="00A71A47" w:rsidP="00A71A47"/>
    <w:p w:rsidR="0048364F" w:rsidRPr="00385045" w:rsidRDefault="00C07B06" w:rsidP="0048364F">
      <w:pPr>
        <w:pStyle w:val="ShortT"/>
      </w:pPr>
      <w:r w:rsidRPr="00385045">
        <w:t>Export Legislation Amendment</w:t>
      </w:r>
      <w:r w:rsidR="00C164CA" w:rsidRPr="00385045">
        <w:t xml:space="preserve"> </w:t>
      </w:r>
      <w:r w:rsidR="00A71A47">
        <w:t>Act</w:t>
      </w:r>
      <w:r w:rsidR="00C164CA" w:rsidRPr="00385045">
        <w:t xml:space="preserve"> 201</w:t>
      </w:r>
      <w:r w:rsidR="007163C4" w:rsidRPr="00385045">
        <w:t>4</w:t>
      </w:r>
    </w:p>
    <w:p w:rsidR="0048364F" w:rsidRPr="00385045" w:rsidRDefault="0048364F" w:rsidP="0048364F"/>
    <w:p w:rsidR="0048364F" w:rsidRPr="00385045" w:rsidRDefault="00C164CA" w:rsidP="00A71A47">
      <w:pPr>
        <w:pStyle w:val="Actno"/>
        <w:spacing w:before="400"/>
      </w:pPr>
      <w:r w:rsidRPr="00385045">
        <w:t>No.</w:t>
      </w:r>
      <w:r w:rsidR="00A93AD6">
        <w:t xml:space="preserve"> 37</w:t>
      </w:r>
      <w:r w:rsidRPr="00385045">
        <w:t>, 201</w:t>
      </w:r>
      <w:r w:rsidR="007163C4" w:rsidRPr="00385045">
        <w:t>4</w:t>
      </w:r>
    </w:p>
    <w:p w:rsidR="0048364F" w:rsidRPr="00385045" w:rsidRDefault="0048364F" w:rsidP="0048364F"/>
    <w:p w:rsidR="00A71A47" w:rsidRDefault="00A71A47" w:rsidP="00A71A47"/>
    <w:p w:rsidR="00A71A47" w:rsidRDefault="00A71A47" w:rsidP="00A71A47"/>
    <w:p w:rsidR="00A71A47" w:rsidRDefault="00A71A47" w:rsidP="00A71A47"/>
    <w:p w:rsidR="00A71A47" w:rsidRDefault="00A71A47" w:rsidP="00A71A47"/>
    <w:p w:rsidR="0048364F" w:rsidRPr="00385045" w:rsidRDefault="00A71A47" w:rsidP="0048364F">
      <w:pPr>
        <w:pStyle w:val="LongT"/>
      </w:pPr>
      <w:r>
        <w:t>An Act</w:t>
      </w:r>
      <w:r w:rsidR="008709BA" w:rsidRPr="00385045">
        <w:t xml:space="preserve"> to amend legislation relating to exports</w:t>
      </w:r>
      <w:r w:rsidR="00AE17DF" w:rsidRPr="00385045">
        <w:t xml:space="preserve"> and imports</w:t>
      </w:r>
      <w:r w:rsidR="0048364F" w:rsidRPr="00385045">
        <w:t>, and for related purposes</w:t>
      </w:r>
    </w:p>
    <w:p w:rsidR="0048364F" w:rsidRPr="00385045" w:rsidRDefault="0048364F" w:rsidP="00385045">
      <w:pPr>
        <w:pStyle w:val="Header"/>
        <w:tabs>
          <w:tab w:val="clear" w:pos="4150"/>
          <w:tab w:val="clear" w:pos="8307"/>
        </w:tabs>
      </w:pPr>
      <w:r w:rsidRPr="00385045">
        <w:rPr>
          <w:rStyle w:val="CharAmSchNo"/>
        </w:rPr>
        <w:t xml:space="preserve"> </w:t>
      </w:r>
      <w:r w:rsidRPr="00385045">
        <w:rPr>
          <w:rStyle w:val="CharAmSchText"/>
        </w:rPr>
        <w:t xml:space="preserve"> </w:t>
      </w:r>
    </w:p>
    <w:p w:rsidR="0048364F" w:rsidRPr="00385045" w:rsidRDefault="0048364F" w:rsidP="00385045">
      <w:pPr>
        <w:pStyle w:val="Header"/>
        <w:tabs>
          <w:tab w:val="clear" w:pos="4150"/>
          <w:tab w:val="clear" w:pos="8307"/>
        </w:tabs>
      </w:pPr>
      <w:r w:rsidRPr="00385045">
        <w:rPr>
          <w:rStyle w:val="CharAmPartNo"/>
        </w:rPr>
        <w:t xml:space="preserve"> </w:t>
      </w:r>
      <w:r w:rsidRPr="00385045">
        <w:rPr>
          <w:rStyle w:val="CharAmPartText"/>
        </w:rPr>
        <w:t xml:space="preserve"> </w:t>
      </w:r>
    </w:p>
    <w:p w:rsidR="0048364F" w:rsidRPr="00385045" w:rsidRDefault="0048364F" w:rsidP="0048364F">
      <w:pPr>
        <w:sectPr w:rsidR="0048364F" w:rsidRPr="00385045" w:rsidSect="00A71A4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385045" w:rsidRDefault="0048364F" w:rsidP="00A62E5E">
      <w:pPr>
        <w:rPr>
          <w:sz w:val="36"/>
        </w:rPr>
      </w:pPr>
      <w:r w:rsidRPr="00385045">
        <w:rPr>
          <w:sz w:val="36"/>
        </w:rPr>
        <w:lastRenderedPageBreak/>
        <w:t>Contents</w:t>
      </w:r>
    </w:p>
    <w:bookmarkStart w:id="1" w:name="BKCheck15B_1"/>
    <w:bookmarkEnd w:id="1"/>
    <w:p w:rsidR="00220AD6" w:rsidRDefault="00220A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220AD6">
        <w:rPr>
          <w:noProof/>
        </w:rPr>
        <w:tab/>
      </w:r>
      <w:r w:rsidRPr="00220AD6">
        <w:rPr>
          <w:noProof/>
        </w:rPr>
        <w:fldChar w:fldCharType="begin"/>
      </w:r>
      <w:r w:rsidRPr="00220AD6">
        <w:rPr>
          <w:noProof/>
        </w:rPr>
        <w:instrText xml:space="preserve"> PAGEREF _Toc391620896 \h </w:instrText>
      </w:r>
      <w:r w:rsidRPr="00220AD6">
        <w:rPr>
          <w:noProof/>
        </w:rPr>
      </w:r>
      <w:r w:rsidRPr="00220AD6">
        <w:rPr>
          <w:noProof/>
        </w:rPr>
        <w:fldChar w:fldCharType="separate"/>
      </w:r>
      <w:r w:rsidR="003D7312">
        <w:rPr>
          <w:noProof/>
        </w:rPr>
        <w:t>1</w:t>
      </w:r>
      <w:r w:rsidRPr="00220AD6">
        <w:rPr>
          <w:noProof/>
        </w:rPr>
        <w:fldChar w:fldCharType="end"/>
      </w:r>
    </w:p>
    <w:p w:rsidR="00220AD6" w:rsidRDefault="00220A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220AD6">
        <w:rPr>
          <w:noProof/>
        </w:rPr>
        <w:tab/>
      </w:r>
      <w:r w:rsidRPr="00220AD6">
        <w:rPr>
          <w:noProof/>
        </w:rPr>
        <w:fldChar w:fldCharType="begin"/>
      </w:r>
      <w:r w:rsidRPr="00220AD6">
        <w:rPr>
          <w:noProof/>
        </w:rPr>
        <w:instrText xml:space="preserve"> PAGEREF _Toc391620897 \h </w:instrText>
      </w:r>
      <w:r w:rsidRPr="00220AD6">
        <w:rPr>
          <w:noProof/>
        </w:rPr>
      </w:r>
      <w:r w:rsidRPr="00220AD6">
        <w:rPr>
          <w:noProof/>
        </w:rPr>
        <w:fldChar w:fldCharType="separate"/>
      </w:r>
      <w:r w:rsidR="003D7312">
        <w:rPr>
          <w:noProof/>
        </w:rPr>
        <w:t>1</w:t>
      </w:r>
      <w:r w:rsidRPr="00220AD6">
        <w:rPr>
          <w:noProof/>
        </w:rPr>
        <w:fldChar w:fldCharType="end"/>
      </w:r>
    </w:p>
    <w:p w:rsidR="00220AD6" w:rsidRDefault="00220A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Schedule(s)</w:t>
      </w:r>
      <w:r w:rsidRPr="00220AD6">
        <w:rPr>
          <w:noProof/>
        </w:rPr>
        <w:tab/>
      </w:r>
      <w:r w:rsidRPr="00220AD6">
        <w:rPr>
          <w:noProof/>
        </w:rPr>
        <w:fldChar w:fldCharType="begin"/>
      </w:r>
      <w:r w:rsidRPr="00220AD6">
        <w:rPr>
          <w:noProof/>
        </w:rPr>
        <w:instrText xml:space="preserve"> PAGEREF _Toc391620898 \h </w:instrText>
      </w:r>
      <w:r w:rsidRPr="00220AD6">
        <w:rPr>
          <w:noProof/>
        </w:rPr>
      </w:r>
      <w:r w:rsidRPr="00220AD6">
        <w:rPr>
          <w:noProof/>
        </w:rPr>
        <w:fldChar w:fldCharType="separate"/>
      </w:r>
      <w:r w:rsidR="003D7312">
        <w:rPr>
          <w:noProof/>
        </w:rPr>
        <w:t>2</w:t>
      </w:r>
      <w:r w:rsidRPr="00220AD6">
        <w:rPr>
          <w:noProof/>
        </w:rPr>
        <w:fldChar w:fldCharType="end"/>
      </w:r>
    </w:p>
    <w:p w:rsidR="00220AD6" w:rsidRDefault="00220AD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220AD6">
        <w:rPr>
          <w:b w:val="0"/>
          <w:noProof/>
          <w:sz w:val="18"/>
        </w:rPr>
        <w:tab/>
      </w:r>
      <w:r w:rsidRPr="00220AD6">
        <w:rPr>
          <w:b w:val="0"/>
          <w:noProof/>
          <w:sz w:val="18"/>
        </w:rPr>
        <w:fldChar w:fldCharType="begin"/>
      </w:r>
      <w:r w:rsidRPr="00220AD6">
        <w:rPr>
          <w:b w:val="0"/>
          <w:noProof/>
          <w:sz w:val="18"/>
        </w:rPr>
        <w:instrText xml:space="preserve"> PAGEREF _Toc391620899 \h </w:instrText>
      </w:r>
      <w:r w:rsidRPr="00220AD6">
        <w:rPr>
          <w:b w:val="0"/>
          <w:noProof/>
          <w:sz w:val="18"/>
        </w:rPr>
      </w:r>
      <w:r w:rsidRPr="00220AD6">
        <w:rPr>
          <w:b w:val="0"/>
          <w:noProof/>
          <w:sz w:val="18"/>
        </w:rPr>
        <w:fldChar w:fldCharType="separate"/>
      </w:r>
      <w:r w:rsidR="003D7312">
        <w:rPr>
          <w:b w:val="0"/>
          <w:noProof/>
          <w:sz w:val="18"/>
        </w:rPr>
        <w:t>3</w:t>
      </w:r>
      <w:r w:rsidRPr="00220AD6">
        <w:rPr>
          <w:b w:val="0"/>
          <w:noProof/>
          <w:sz w:val="18"/>
        </w:rPr>
        <w:fldChar w:fldCharType="end"/>
      </w:r>
    </w:p>
    <w:p w:rsidR="00220AD6" w:rsidRDefault="00220AD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Meat and Live</w:t>
      </w:r>
      <w:r>
        <w:rPr>
          <w:noProof/>
        </w:rPr>
        <w:noBreakHyphen/>
        <w:t>stock Industry Act 1997</w:t>
      </w:r>
      <w:r w:rsidRPr="00220AD6">
        <w:rPr>
          <w:i w:val="0"/>
          <w:noProof/>
          <w:sz w:val="18"/>
        </w:rPr>
        <w:tab/>
      </w:r>
      <w:r w:rsidRPr="00220AD6">
        <w:rPr>
          <w:i w:val="0"/>
          <w:noProof/>
          <w:sz w:val="18"/>
        </w:rPr>
        <w:fldChar w:fldCharType="begin"/>
      </w:r>
      <w:r w:rsidRPr="00220AD6">
        <w:rPr>
          <w:i w:val="0"/>
          <w:noProof/>
          <w:sz w:val="18"/>
        </w:rPr>
        <w:instrText xml:space="preserve"> PAGEREF _Toc391620900 \h </w:instrText>
      </w:r>
      <w:r w:rsidRPr="00220AD6">
        <w:rPr>
          <w:i w:val="0"/>
          <w:noProof/>
          <w:sz w:val="18"/>
        </w:rPr>
      </w:r>
      <w:r w:rsidRPr="00220AD6">
        <w:rPr>
          <w:i w:val="0"/>
          <w:noProof/>
          <w:sz w:val="18"/>
        </w:rPr>
        <w:fldChar w:fldCharType="separate"/>
      </w:r>
      <w:r w:rsidR="003D7312">
        <w:rPr>
          <w:i w:val="0"/>
          <w:noProof/>
          <w:sz w:val="18"/>
        </w:rPr>
        <w:t>3</w:t>
      </w:r>
      <w:r w:rsidRPr="00220AD6">
        <w:rPr>
          <w:i w:val="0"/>
          <w:noProof/>
          <w:sz w:val="18"/>
        </w:rPr>
        <w:fldChar w:fldCharType="end"/>
      </w:r>
    </w:p>
    <w:p w:rsidR="00220AD6" w:rsidRDefault="00220AD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Export Control Act 1982</w:t>
      </w:r>
      <w:r w:rsidRPr="00220AD6">
        <w:rPr>
          <w:i w:val="0"/>
          <w:noProof/>
          <w:sz w:val="18"/>
        </w:rPr>
        <w:tab/>
      </w:r>
      <w:r w:rsidRPr="00220AD6">
        <w:rPr>
          <w:i w:val="0"/>
          <w:noProof/>
          <w:sz w:val="18"/>
        </w:rPr>
        <w:fldChar w:fldCharType="begin"/>
      </w:r>
      <w:r w:rsidRPr="00220AD6">
        <w:rPr>
          <w:i w:val="0"/>
          <w:noProof/>
          <w:sz w:val="18"/>
        </w:rPr>
        <w:instrText xml:space="preserve"> PAGEREF _Toc391620901 \h </w:instrText>
      </w:r>
      <w:r w:rsidRPr="00220AD6">
        <w:rPr>
          <w:i w:val="0"/>
          <w:noProof/>
          <w:sz w:val="18"/>
        </w:rPr>
      </w:r>
      <w:r w:rsidRPr="00220AD6">
        <w:rPr>
          <w:i w:val="0"/>
          <w:noProof/>
          <w:sz w:val="18"/>
        </w:rPr>
        <w:fldChar w:fldCharType="separate"/>
      </w:r>
      <w:r w:rsidR="003D7312">
        <w:rPr>
          <w:i w:val="0"/>
          <w:noProof/>
          <w:sz w:val="18"/>
        </w:rPr>
        <w:t>3</w:t>
      </w:r>
      <w:r w:rsidRPr="00220AD6">
        <w:rPr>
          <w:i w:val="0"/>
          <w:noProof/>
          <w:sz w:val="18"/>
        </w:rPr>
        <w:fldChar w:fldCharType="end"/>
      </w:r>
    </w:p>
    <w:p w:rsidR="00220AD6" w:rsidRDefault="00220AD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Export Inspection and Meat Charges Collection Act 1985</w:t>
      </w:r>
      <w:r w:rsidRPr="00220AD6">
        <w:rPr>
          <w:i w:val="0"/>
          <w:noProof/>
          <w:sz w:val="18"/>
        </w:rPr>
        <w:tab/>
      </w:r>
      <w:r w:rsidRPr="00220AD6">
        <w:rPr>
          <w:i w:val="0"/>
          <w:noProof/>
          <w:sz w:val="18"/>
        </w:rPr>
        <w:fldChar w:fldCharType="begin"/>
      </w:r>
      <w:r w:rsidRPr="00220AD6">
        <w:rPr>
          <w:i w:val="0"/>
          <w:noProof/>
          <w:sz w:val="18"/>
        </w:rPr>
        <w:instrText xml:space="preserve"> PAGEREF _Toc391620902 \h </w:instrText>
      </w:r>
      <w:r w:rsidRPr="00220AD6">
        <w:rPr>
          <w:i w:val="0"/>
          <w:noProof/>
          <w:sz w:val="18"/>
        </w:rPr>
      </w:r>
      <w:r w:rsidRPr="00220AD6">
        <w:rPr>
          <w:i w:val="0"/>
          <w:noProof/>
          <w:sz w:val="18"/>
        </w:rPr>
        <w:fldChar w:fldCharType="separate"/>
      </w:r>
      <w:r w:rsidR="003D7312">
        <w:rPr>
          <w:i w:val="0"/>
          <w:noProof/>
          <w:sz w:val="18"/>
        </w:rPr>
        <w:t>3</w:t>
      </w:r>
      <w:r w:rsidRPr="00220AD6">
        <w:rPr>
          <w:i w:val="0"/>
          <w:noProof/>
          <w:sz w:val="18"/>
        </w:rPr>
        <w:fldChar w:fldCharType="end"/>
      </w:r>
    </w:p>
    <w:p w:rsidR="00220AD6" w:rsidRDefault="00220AD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Imported Food Control Act 1992</w:t>
      </w:r>
      <w:r w:rsidRPr="00220AD6">
        <w:rPr>
          <w:i w:val="0"/>
          <w:noProof/>
          <w:sz w:val="18"/>
        </w:rPr>
        <w:tab/>
      </w:r>
      <w:r w:rsidRPr="00220AD6">
        <w:rPr>
          <w:i w:val="0"/>
          <w:noProof/>
          <w:sz w:val="18"/>
        </w:rPr>
        <w:fldChar w:fldCharType="begin"/>
      </w:r>
      <w:r w:rsidRPr="00220AD6">
        <w:rPr>
          <w:i w:val="0"/>
          <w:noProof/>
          <w:sz w:val="18"/>
        </w:rPr>
        <w:instrText xml:space="preserve"> PAGEREF _Toc391620906 \h </w:instrText>
      </w:r>
      <w:r w:rsidRPr="00220AD6">
        <w:rPr>
          <w:i w:val="0"/>
          <w:noProof/>
          <w:sz w:val="18"/>
        </w:rPr>
      </w:r>
      <w:r w:rsidRPr="00220AD6">
        <w:rPr>
          <w:i w:val="0"/>
          <w:noProof/>
          <w:sz w:val="18"/>
        </w:rPr>
        <w:fldChar w:fldCharType="separate"/>
      </w:r>
      <w:r w:rsidR="003D7312">
        <w:rPr>
          <w:i w:val="0"/>
          <w:noProof/>
          <w:sz w:val="18"/>
        </w:rPr>
        <w:t>8</w:t>
      </w:r>
      <w:r w:rsidRPr="00220AD6">
        <w:rPr>
          <w:i w:val="0"/>
          <w:noProof/>
          <w:sz w:val="18"/>
        </w:rPr>
        <w:fldChar w:fldCharType="end"/>
      </w:r>
    </w:p>
    <w:p w:rsidR="00055B5C" w:rsidRPr="00385045" w:rsidRDefault="00220AD6" w:rsidP="0048364F">
      <w:r>
        <w:fldChar w:fldCharType="end"/>
      </w:r>
    </w:p>
    <w:p w:rsidR="00FE7F93" w:rsidRPr="00385045" w:rsidRDefault="00FE7F93" w:rsidP="0048364F">
      <w:pPr>
        <w:sectPr w:rsidR="00FE7F93" w:rsidRPr="00385045" w:rsidSect="00A71A4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A71A47" w:rsidRDefault="003D7312">
      <w:r>
        <w:lastRenderedPageBreak/>
        <w:pict>
          <v:shape id="_x0000_i1026" type="#_x0000_t75" style="width:108.75pt;height:77.25pt" fillcolor="window">
            <v:imagedata r:id="rId8" o:title=""/>
          </v:shape>
        </w:pict>
      </w:r>
    </w:p>
    <w:p w:rsidR="00A71A47" w:rsidRDefault="00A71A47"/>
    <w:p w:rsidR="00A71A47" w:rsidRDefault="00A71A47" w:rsidP="00A71A47">
      <w:pPr>
        <w:spacing w:line="240" w:lineRule="auto"/>
      </w:pPr>
    </w:p>
    <w:p w:rsidR="00A71A47" w:rsidRDefault="003D7312" w:rsidP="00A71A47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Export Legislation Amendment Act 2014</w:t>
      </w:r>
      <w:r>
        <w:rPr>
          <w:noProof/>
        </w:rPr>
        <w:fldChar w:fldCharType="end"/>
      </w:r>
    </w:p>
    <w:p w:rsidR="00A71A47" w:rsidRDefault="003D7312" w:rsidP="00A71A47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37, 2014</w:t>
      </w:r>
      <w:r>
        <w:rPr>
          <w:noProof/>
        </w:rPr>
        <w:fldChar w:fldCharType="end"/>
      </w:r>
    </w:p>
    <w:p w:rsidR="00A71A47" w:rsidRPr="009A0728" w:rsidRDefault="00A71A47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A71A47" w:rsidRPr="009A0728" w:rsidRDefault="00A71A47" w:rsidP="009A0728">
      <w:pPr>
        <w:spacing w:line="40" w:lineRule="exact"/>
        <w:rPr>
          <w:rFonts w:eastAsia="Calibri"/>
          <w:b/>
          <w:sz w:val="28"/>
        </w:rPr>
      </w:pPr>
    </w:p>
    <w:p w:rsidR="00A71A47" w:rsidRPr="009A0728" w:rsidRDefault="00A71A47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385045" w:rsidRDefault="00A71A47" w:rsidP="00385045">
      <w:pPr>
        <w:pStyle w:val="Page1"/>
      </w:pPr>
      <w:r>
        <w:t>An Act</w:t>
      </w:r>
      <w:r w:rsidR="00385045" w:rsidRPr="00385045">
        <w:t xml:space="preserve"> to amend legislation relating to exports and imports, and for related purposes</w:t>
      </w:r>
    </w:p>
    <w:p w:rsidR="00A93AD6" w:rsidRDefault="00A93AD6" w:rsidP="003B1CD0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25 June 2014</w:t>
      </w:r>
      <w:r>
        <w:rPr>
          <w:sz w:val="24"/>
        </w:rPr>
        <w:t>]</w:t>
      </w:r>
    </w:p>
    <w:p w:rsidR="0048364F" w:rsidRPr="00385045" w:rsidRDefault="0048364F" w:rsidP="00385045">
      <w:pPr>
        <w:spacing w:before="240" w:line="240" w:lineRule="auto"/>
        <w:rPr>
          <w:sz w:val="32"/>
        </w:rPr>
      </w:pPr>
      <w:r w:rsidRPr="00385045">
        <w:rPr>
          <w:sz w:val="32"/>
        </w:rPr>
        <w:t>The Parliament of Australia enacts:</w:t>
      </w:r>
    </w:p>
    <w:p w:rsidR="0048364F" w:rsidRPr="00385045" w:rsidRDefault="0048364F" w:rsidP="00385045">
      <w:pPr>
        <w:pStyle w:val="ActHead5"/>
      </w:pPr>
      <w:bookmarkStart w:id="2" w:name="_Toc391620896"/>
      <w:r w:rsidRPr="00385045">
        <w:rPr>
          <w:rStyle w:val="CharSectno"/>
        </w:rPr>
        <w:t>1</w:t>
      </w:r>
      <w:r w:rsidRPr="00385045">
        <w:t xml:space="preserve">  Short title</w:t>
      </w:r>
      <w:bookmarkEnd w:id="2"/>
    </w:p>
    <w:p w:rsidR="0048364F" w:rsidRPr="00385045" w:rsidRDefault="0048364F" w:rsidP="00385045">
      <w:pPr>
        <w:pStyle w:val="subsection"/>
      </w:pPr>
      <w:r w:rsidRPr="00385045">
        <w:tab/>
      </w:r>
      <w:r w:rsidRPr="00385045">
        <w:tab/>
        <w:t xml:space="preserve">This Act may be cited as the </w:t>
      </w:r>
      <w:r w:rsidR="008709BA" w:rsidRPr="00385045">
        <w:rPr>
          <w:i/>
        </w:rPr>
        <w:t>Export Legislation Amendment</w:t>
      </w:r>
      <w:r w:rsidR="008709BA" w:rsidRPr="00385045">
        <w:t xml:space="preserve"> </w:t>
      </w:r>
      <w:r w:rsidR="00C164CA" w:rsidRPr="00385045">
        <w:rPr>
          <w:i/>
        </w:rPr>
        <w:t>Act 201</w:t>
      </w:r>
      <w:r w:rsidR="007163C4" w:rsidRPr="00385045">
        <w:rPr>
          <w:i/>
        </w:rPr>
        <w:t>4</w:t>
      </w:r>
      <w:r w:rsidRPr="00385045">
        <w:t>.</w:t>
      </w:r>
    </w:p>
    <w:p w:rsidR="0048364F" w:rsidRPr="00385045" w:rsidRDefault="0048364F" w:rsidP="00385045">
      <w:pPr>
        <w:pStyle w:val="ActHead5"/>
      </w:pPr>
      <w:bookmarkStart w:id="3" w:name="_Toc391620897"/>
      <w:r w:rsidRPr="00385045">
        <w:rPr>
          <w:rStyle w:val="CharSectno"/>
        </w:rPr>
        <w:t>2</w:t>
      </w:r>
      <w:r w:rsidRPr="00385045">
        <w:t xml:space="preserve">  Commencement</w:t>
      </w:r>
      <w:bookmarkEnd w:id="3"/>
    </w:p>
    <w:p w:rsidR="00FD7747" w:rsidRPr="00385045" w:rsidRDefault="00FD7747" w:rsidP="00385045">
      <w:pPr>
        <w:pStyle w:val="subsection"/>
      </w:pPr>
      <w:r w:rsidRPr="00385045">
        <w:tab/>
      </w:r>
      <w:r w:rsidRPr="00385045">
        <w:tab/>
        <w:t>This Act commences on the day this Act receives the Royal Assent.</w:t>
      </w:r>
    </w:p>
    <w:p w:rsidR="0048364F" w:rsidRPr="00385045" w:rsidRDefault="0048364F" w:rsidP="00385045">
      <w:pPr>
        <w:pStyle w:val="ActHead5"/>
      </w:pPr>
      <w:bookmarkStart w:id="4" w:name="_Toc391620898"/>
      <w:r w:rsidRPr="00385045">
        <w:rPr>
          <w:rStyle w:val="CharSectno"/>
        </w:rPr>
        <w:lastRenderedPageBreak/>
        <w:t>3</w:t>
      </w:r>
      <w:r w:rsidRPr="00385045">
        <w:t xml:space="preserve">  Schedule(s)</w:t>
      </w:r>
      <w:bookmarkEnd w:id="4"/>
    </w:p>
    <w:p w:rsidR="0048364F" w:rsidRPr="00385045" w:rsidRDefault="0048364F" w:rsidP="00385045">
      <w:pPr>
        <w:pStyle w:val="subsection"/>
      </w:pPr>
      <w:r w:rsidRPr="00385045">
        <w:tab/>
      </w:r>
      <w:r w:rsidRPr="00385045">
        <w:tab/>
        <w:t>Each Act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385045" w:rsidRDefault="0048364F" w:rsidP="00385045">
      <w:pPr>
        <w:pStyle w:val="ActHead6"/>
        <w:pageBreakBefore/>
      </w:pPr>
      <w:bookmarkStart w:id="5" w:name="_Toc391620899"/>
      <w:bookmarkStart w:id="6" w:name="opcAmSched"/>
      <w:bookmarkStart w:id="7" w:name="opcCurrentFind"/>
      <w:r w:rsidRPr="00385045">
        <w:rPr>
          <w:rStyle w:val="CharAmSchNo"/>
        </w:rPr>
        <w:lastRenderedPageBreak/>
        <w:t>Schedule</w:t>
      </w:r>
      <w:r w:rsidR="00385045" w:rsidRPr="00385045">
        <w:rPr>
          <w:rStyle w:val="CharAmSchNo"/>
        </w:rPr>
        <w:t> </w:t>
      </w:r>
      <w:r w:rsidRPr="00385045">
        <w:rPr>
          <w:rStyle w:val="CharAmSchNo"/>
        </w:rPr>
        <w:t>1</w:t>
      </w:r>
      <w:r w:rsidRPr="00385045">
        <w:t>—</w:t>
      </w:r>
      <w:r w:rsidR="008709BA" w:rsidRPr="00385045">
        <w:rPr>
          <w:rStyle w:val="CharAmSchText"/>
        </w:rPr>
        <w:t>Amendments</w:t>
      </w:r>
      <w:bookmarkEnd w:id="5"/>
    </w:p>
    <w:bookmarkEnd w:id="6"/>
    <w:bookmarkEnd w:id="7"/>
    <w:p w:rsidR="008709BA" w:rsidRPr="00385045" w:rsidRDefault="005E508F" w:rsidP="00385045">
      <w:pPr>
        <w:pStyle w:val="Header"/>
      </w:pPr>
      <w:r w:rsidRPr="00385045">
        <w:rPr>
          <w:rStyle w:val="CharAmPartNo"/>
        </w:rPr>
        <w:t xml:space="preserve"> </w:t>
      </w:r>
      <w:r w:rsidRPr="00385045">
        <w:rPr>
          <w:rStyle w:val="CharAmPartText"/>
        </w:rPr>
        <w:t xml:space="preserve"> </w:t>
      </w:r>
    </w:p>
    <w:p w:rsidR="00EA0723" w:rsidRPr="00385045" w:rsidRDefault="00EA0723" w:rsidP="00385045">
      <w:pPr>
        <w:pStyle w:val="ActHead9"/>
        <w:rPr>
          <w:i w:val="0"/>
        </w:rPr>
      </w:pPr>
      <w:bookmarkStart w:id="8" w:name="_Toc391620900"/>
      <w:r w:rsidRPr="00385045">
        <w:t>Australian Meat and Live</w:t>
      </w:r>
      <w:r w:rsidR="0099787C">
        <w:noBreakHyphen/>
      </w:r>
      <w:r w:rsidRPr="00385045">
        <w:t>stock Industry Act 1997</w:t>
      </w:r>
      <w:bookmarkEnd w:id="8"/>
    </w:p>
    <w:p w:rsidR="000C2C7E" w:rsidRPr="00385045" w:rsidRDefault="00105F33" w:rsidP="00385045">
      <w:pPr>
        <w:pStyle w:val="ItemHead"/>
      </w:pPr>
      <w:r w:rsidRPr="00385045">
        <w:t>1</w:t>
      </w:r>
      <w:r w:rsidR="000C2C7E" w:rsidRPr="00385045">
        <w:t xml:space="preserve">  Section</w:t>
      </w:r>
      <w:r w:rsidR="00385045" w:rsidRPr="00385045">
        <w:t> </w:t>
      </w:r>
      <w:r w:rsidR="000C2C7E" w:rsidRPr="00385045">
        <w:t>3</w:t>
      </w:r>
    </w:p>
    <w:p w:rsidR="000C2C7E" w:rsidRPr="00385045" w:rsidRDefault="000C2C7E" w:rsidP="00385045">
      <w:pPr>
        <w:pStyle w:val="Item"/>
      </w:pPr>
      <w:r w:rsidRPr="00385045">
        <w:t>Insert:</w:t>
      </w:r>
    </w:p>
    <w:p w:rsidR="000C2C7E" w:rsidRPr="00385045" w:rsidRDefault="00547345" w:rsidP="00385045">
      <w:pPr>
        <w:pStyle w:val="Definition"/>
      </w:pPr>
      <w:r w:rsidRPr="00385045">
        <w:rPr>
          <w:b/>
          <w:i/>
        </w:rPr>
        <w:t>quota</w:t>
      </w:r>
      <w:r w:rsidRPr="00385045">
        <w:t xml:space="preserve"> has the same meaning as in the </w:t>
      </w:r>
      <w:r w:rsidRPr="00385045">
        <w:rPr>
          <w:i/>
        </w:rPr>
        <w:t>Australian Meat and Live</w:t>
      </w:r>
      <w:r w:rsidR="0099787C">
        <w:rPr>
          <w:i/>
        </w:rPr>
        <w:noBreakHyphen/>
      </w:r>
      <w:r w:rsidRPr="00385045">
        <w:rPr>
          <w:i/>
        </w:rPr>
        <w:t>stock (Quotas) Act 1990</w:t>
      </w:r>
      <w:r w:rsidRPr="00385045">
        <w:t>.</w:t>
      </w:r>
    </w:p>
    <w:p w:rsidR="00C04289" w:rsidRPr="00385045" w:rsidRDefault="00105F33" w:rsidP="00385045">
      <w:pPr>
        <w:pStyle w:val="ItemHead"/>
      </w:pPr>
      <w:r w:rsidRPr="00385045">
        <w:t>2</w:t>
      </w:r>
      <w:r w:rsidR="00C04289" w:rsidRPr="00385045">
        <w:t xml:space="preserve">  At the end of subsection</w:t>
      </w:r>
      <w:r w:rsidR="00385045" w:rsidRPr="00385045">
        <w:t> </w:t>
      </w:r>
      <w:r w:rsidR="00C04289" w:rsidRPr="00385045">
        <w:t>17(3)</w:t>
      </w:r>
    </w:p>
    <w:p w:rsidR="00C04289" w:rsidRPr="00385045" w:rsidRDefault="00C04289" w:rsidP="00385045">
      <w:pPr>
        <w:pStyle w:val="Item"/>
      </w:pPr>
      <w:r w:rsidRPr="00385045">
        <w:t>Add:</w:t>
      </w:r>
    </w:p>
    <w:p w:rsidR="008F6861" w:rsidRPr="00385045" w:rsidRDefault="00161C40" w:rsidP="00385045">
      <w:pPr>
        <w:pStyle w:val="paragraph"/>
      </w:pPr>
      <w:r w:rsidRPr="00385045">
        <w:tab/>
        <w:t>; and (c)</w:t>
      </w:r>
      <w:r w:rsidRPr="00385045">
        <w:tab/>
        <w:t xml:space="preserve">in the case of </w:t>
      </w:r>
      <w:r w:rsidR="008F6861" w:rsidRPr="00385045">
        <w:t>an order</w:t>
      </w:r>
      <w:r w:rsidRPr="00385045">
        <w:t xml:space="preserve"> made under this section—may</w:t>
      </w:r>
      <w:r w:rsidR="008F6861" w:rsidRPr="00385045">
        <w:t>:</w:t>
      </w:r>
    </w:p>
    <w:p w:rsidR="008F6861" w:rsidRPr="00385045" w:rsidRDefault="008F6861" w:rsidP="00385045">
      <w:pPr>
        <w:pStyle w:val="paragraphsub"/>
      </w:pPr>
      <w:r w:rsidRPr="00385045">
        <w:tab/>
        <w:t>(</w:t>
      </w:r>
      <w:proofErr w:type="spellStart"/>
      <w:r w:rsidRPr="00385045">
        <w:t>i</w:t>
      </w:r>
      <w:proofErr w:type="spellEnd"/>
      <w:r w:rsidRPr="00385045">
        <w:t>)</w:t>
      </w:r>
      <w:r w:rsidRPr="00385045">
        <w:tab/>
      </w:r>
      <w:r w:rsidR="00161C40" w:rsidRPr="00385045">
        <w:t xml:space="preserve">require payment of </w:t>
      </w:r>
      <w:r w:rsidR="00B96B2D" w:rsidRPr="00385045">
        <w:t>the</w:t>
      </w:r>
      <w:r w:rsidRPr="00385045">
        <w:t xml:space="preserve"> </w:t>
      </w:r>
      <w:r w:rsidR="001C544A" w:rsidRPr="00385045">
        <w:t xml:space="preserve">prescribed </w:t>
      </w:r>
      <w:r w:rsidRPr="00385045">
        <w:t>fee</w:t>
      </w:r>
      <w:r w:rsidR="00161C40" w:rsidRPr="00385045">
        <w:t xml:space="preserve"> for</w:t>
      </w:r>
      <w:r w:rsidRPr="00385045">
        <w:t xml:space="preserve"> the exercise of a power</w:t>
      </w:r>
      <w:r w:rsidR="00AC36AF" w:rsidRPr="00385045">
        <w:t>, or performance of a duty,</w:t>
      </w:r>
      <w:r w:rsidRPr="00385045">
        <w:t xml:space="preserve"> under the order</w:t>
      </w:r>
      <w:r w:rsidR="00802D43" w:rsidRPr="00385045">
        <w:t xml:space="preserve">, if that power </w:t>
      </w:r>
      <w:r w:rsidR="00AC36AF" w:rsidRPr="00385045">
        <w:t xml:space="preserve">or duty </w:t>
      </w:r>
      <w:r w:rsidR="000C2C7E" w:rsidRPr="00385045">
        <w:t>relat</w:t>
      </w:r>
      <w:r w:rsidR="00802D43" w:rsidRPr="00385045">
        <w:t>es</w:t>
      </w:r>
      <w:r w:rsidR="000C2C7E" w:rsidRPr="00385045">
        <w:t xml:space="preserve"> to a consignment for export otherwise than in accordance with a quota</w:t>
      </w:r>
      <w:r w:rsidRPr="00385045">
        <w:t xml:space="preserve">; </w:t>
      </w:r>
      <w:r w:rsidR="00161C40" w:rsidRPr="00385045">
        <w:t>and</w:t>
      </w:r>
    </w:p>
    <w:p w:rsidR="00161C40" w:rsidRPr="00385045" w:rsidRDefault="008F6861" w:rsidP="00385045">
      <w:pPr>
        <w:pStyle w:val="paragraphsub"/>
      </w:pPr>
      <w:r w:rsidRPr="00385045">
        <w:tab/>
        <w:t>(ii)</w:t>
      </w:r>
      <w:r w:rsidRPr="00385045">
        <w:tab/>
      </w:r>
      <w:r w:rsidR="00161C40" w:rsidRPr="00385045">
        <w:t>provide for the waiver or remission of such fees.</w:t>
      </w:r>
    </w:p>
    <w:p w:rsidR="00651BEC" w:rsidRPr="00385045" w:rsidRDefault="00105F33" w:rsidP="00385045">
      <w:pPr>
        <w:pStyle w:val="ItemHead"/>
      </w:pPr>
      <w:r w:rsidRPr="00385045">
        <w:t>3</w:t>
      </w:r>
      <w:r w:rsidR="00651BEC" w:rsidRPr="00385045">
        <w:t xml:space="preserve">  Application of amendment</w:t>
      </w:r>
    </w:p>
    <w:p w:rsidR="00FD7747" w:rsidRPr="00385045" w:rsidRDefault="00FD7747" w:rsidP="00385045">
      <w:pPr>
        <w:pStyle w:val="Item"/>
      </w:pPr>
      <w:r w:rsidRPr="00385045">
        <w:t>The amendment made by item</w:t>
      </w:r>
      <w:r w:rsidR="00385045" w:rsidRPr="00385045">
        <w:t> </w:t>
      </w:r>
      <w:r w:rsidRPr="00385045">
        <w:t>2 applies in relation to fees payable for powers exercised</w:t>
      </w:r>
      <w:r w:rsidR="00AC36AF" w:rsidRPr="00385045">
        <w:t>, or duties performed,</w:t>
      </w:r>
      <w:r w:rsidRPr="00385045">
        <w:t xml:space="preserve"> on or after the first day of the first financial year </w:t>
      </w:r>
      <w:r w:rsidR="00BD3212" w:rsidRPr="00385045">
        <w:t>starting</w:t>
      </w:r>
      <w:r w:rsidRPr="00385045">
        <w:t xml:space="preserve"> on or after the commencement of that item.</w:t>
      </w:r>
    </w:p>
    <w:p w:rsidR="001055D7" w:rsidRPr="00385045" w:rsidRDefault="001055D7" w:rsidP="00385045">
      <w:pPr>
        <w:pStyle w:val="ActHead9"/>
        <w:rPr>
          <w:i w:val="0"/>
        </w:rPr>
      </w:pPr>
      <w:bookmarkStart w:id="9" w:name="_Toc391620901"/>
      <w:r w:rsidRPr="00385045">
        <w:t>Export Control Act 1982</w:t>
      </w:r>
      <w:bookmarkEnd w:id="9"/>
    </w:p>
    <w:p w:rsidR="001055D7" w:rsidRPr="00385045" w:rsidRDefault="00105F33" w:rsidP="00385045">
      <w:pPr>
        <w:pStyle w:val="ItemHead"/>
      </w:pPr>
      <w:r w:rsidRPr="00385045">
        <w:t>4</w:t>
      </w:r>
      <w:r w:rsidR="001055D7" w:rsidRPr="00385045">
        <w:t xml:space="preserve">  Subsection</w:t>
      </w:r>
      <w:r w:rsidR="00385045" w:rsidRPr="00385045">
        <w:t> </w:t>
      </w:r>
      <w:r w:rsidR="001055D7" w:rsidRPr="00385045">
        <w:t>10E(7)</w:t>
      </w:r>
    </w:p>
    <w:p w:rsidR="001055D7" w:rsidRPr="00385045" w:rsidRDefault="001055D7" w:rsidP="00385045">
      <w:pPr>
        <w:pStyle w:val="Item"/>
      </w:pPr>
      <w:r w:rsidRPr="00385045">
        <w:t>Omit “section</w:t>
      </w:r>
      <w:r w:rsidR="00385045" w:rsidRPr="00385045">
        <w:t> </w:t>
      </w:r>
      <w:r w:rsidRPr="00385045">
        <w:t>10F”, substitute “section</w:t>
      </w:r>
      <w:r w:rsidR="00385045" w:rsidRPr="00385045">
        <w:t> </w:t>
      </w:r>
      <w:r w:rsidRPr="00385045">
        <w:t>10G”.</w:t>
      </w:r>
    </w:p>
    <w:p w:rsidR="0048364F" w:rsidRPr="00385045" w:rsidRDefault="005E508F" w:rsidP="00385045">
      <w:pPr>
        <w:pStyle w:val="ActHead9"/>
        <w:rPr>
          <w:i w:val="0"/>
        </w:rPr>
      </w:pPr>
      <w:bookmarkStart w:id="10" w:name="_Toc391620902"/>
      <w:r w:rsidRPr="00385045">
        <w:t>Export Inspection and Meat Charges Collection Act 1985</w:t>
      </w:r>
      <w:bookmarkEnd w:id="10"/>
    </w:p>
    <w:p w:rsidR="009E6E05" w:rsidRPr="00385045" w:rsidRDefault="00105F33" w:rsidP="00385045">
      <w:pPr>
        <w:pStyle w:val="ItemHead"/>
      </w:pPr>
      <w:r w:rsidRPr="00385045">
        <w:t>5</w:t>
      </w:r>
      <w:r w:rsidR="009E6E05" w:rsidRPr="00385045">
        <w:t xml:space="preserve">  Subsection</w:t>
      </w:r>
      <w:r w:rsidR="00385045" w:rsidRPr="00385045">
        <w:t> </w:t>
      </w:r>
      <w:r w:rsidR="009E6E05" w:rsidRPr="00385045">
        <w:t>3(1)</w:t>
      </w:r>
    </w:p>
    <w:p w:rsidR="009E6E05" w:rsidRPr="00385045" w:rsidRDefault="009E6E05" w:rsidP="00385045">
      <w:pPr>
        <w:pStyle w:val="Item"/>
      </w:pPr>
      <w:r w:rsidRPr="00385045">
        <w:t>Repeal the following definitions:</w:t>
      </w:r>
    </w:p>
    <w:p w:rsidR="001431DD" w:rsidRPr="00385045" w:rsidRDefault="00915ADC" w:rsidP="00385045">
      <w:pPr>
        <w:pStyle w:val="paragraph"/>
      </w:pPr>
      <w:r w:rsidRPr="00385045">
        <w:tab/>
        <w:t>(a)</w:t>
      </w:r>
      <w:r w:rsidRPr="00385045">
        <w:tab/>
      </w:r>
      <w:r w:rsidR="001431DD" w:rsidRPr="00385045">
        <w:t xml:space="preserve">definition of </w:t>
      </w:r>
      <w:r w:rsidR="002059DF" w:rsidRPr="00385045">
        <w:rPr>
          <w:b/>
          <w:i/>
        </w:rPr>
        <w:t>animal reproductive material</w:t>
      </w:r>
      <w:r w:rsidR="002059DF" w:rsidRPr="00385045">
        <w:t>;</w:t>
      </w:r>
    </w:p>
    <w:p w:rsidR="009E6E05" w:rsidRPr="00385045" w:rsidRDefault="00915ADC" w:rsidP="00385045">
      <w:pPr>
        <w:pStyle w:val="paragraph"/>
      </w:pPr>
      <w:r w:rsidRPr="00385045">
        <w:tab/>
        <w:t>(b)</w:t>
      </w:r>
      <w:r w:rsidRPr="00385045">
        <w:tab/>
      </w:r>
      <w:r w:rsidR="009E6E05" w:rsidRPr="00385045">
        <w:t xml:space="preserve">definition of </w:t>
      </w:r>
      <w:r w:rsidR="009E6E05" w:rsidRPr="00385045">
        <w:rPr>
          <w:b/>
          <w:i/>
        </w:rPr>
        <w:t>dairy produce</w:t>
      </w:r>
      <w:r w:rsidR="009E6E05" w:rsidRPr="00385045">
        <w:t>;</w:t>
      </w:r>
    </w:p>
    <w:p w:rsidR="009E6E05" w:rsidRPr="00385045" w:rsidRDefault="00915ADC" w:rsidP="00385045">
      <w:pPr>
        <w:pStyle w:val="paragraph"/>
      </w:pPr>
      <w:r w:rsidRPr="00385045">
        <w:tab/>
        <w:t>(c)</w:t>
      </w:r>
      <w:r w:rsidRPr="00385045">
        <w:tab/>
      </w:r>
      <w:r w:rsidR="009E6E05" w:rsidRPr="00385045">
        <w:t xml:space="preserve">definition of </w:t>
      </w:r>
      <w:r w:rsidR="009E6E05" w:rsidRPr="00385045">
        <w:rPr>
          <w:b/>
          <w:i/>
        </w:rPr>
        <w:t>dried fruit</w:t>
      </w:r>
      <w:r w:rsidR="009E6E05" w:rsidRPr="00385045">
        <w:t>;</w:t>
      </w:r>
    </w:p>
    <w:p w:rsidR="009E6E05" w:rsidRPr="00385045" w:rsidRDefault="00915ADC" w:rsidP="00385045">
      <w:pPr>
        <w:pStyle w:val="paragraph"/>
      </w:pPr>
      <w:r w:rsidRPr="00385045">
        <w:tab/>
        <w:t>(d)</w:t>
      </w:r>
      <w:r w:rsidRPr="00385045">
        <w:tab/>
      </w:r>
      <w:r w:rsidR="009E6E05" w:rsidRPr="00385045">
        <w:t xml:space="preserve">definition of </w:t>
      </w:r>
      <w:r w:rsidR="009E6E05" w:rsidRPr="00385045">
        <w:rPr>
          <w:b/>
          <w:i/>
        </w:rPr>
        <w:t>dried fruit product</w:t>
      </w:r>
      <w:r w:rsidR="009E6E05" w:rsidRPr="00385045">
        <w:t>;</w:t>
      </w:r>
    </w:p>
    <w:p w:rsidR="002059DF" w:rsidRPr="00385045" w:rsidRDefault="00915ADC" w:rsidP="00385045">
      <w:pPr>
        <w:pStyle w:val="paragraph"/>
      </w:pPr>
      <w:r w:rsidRPr="00385045">
        <w:lastRenderedPageBreak/>
        <w:tab/>
        <w:t>(e)</w:t>
      </w:r>
      <w:r w:rsidRPr="00385045">
        <w:tab/>
      </w:r>
      <w:r w:rsidR="002059DF" w:rsidRPr="00385045">
        <w:t xml:space="preserve">definition of </w:t>
      </w:r>
      <w:r w:rsidR="002059DF" w:rsidRPr="00385045">
        <w:rPr>
          <w:b/>
          <w:i/>
        </w:rPr>
        <w:t>edible game offal</w:t>
      </w:r>
      <w:r w:rsidRPr="00385045">
        <w:t>;</w:t>
      </w:r>
    </w:p>
    <w:p w:rsidR="008437FF" w:rsidRPr="00385045" w:rsidRDefault="008437FF" w:rsidP="00385045">
      <w:pPr>
        <w:pStyle w:val="paragraph"/>
      </w:pPr>
      <w:r w:rsidRPr="00385045">
        <w:tab/>
        <w:t>(f)</w:t>
      </w:r>
      <w:r w:rsidRPr="00385045">
        <w:tab/>
        <w:t xml:space="preserve">definition of </w:t>
      </w:r>
      <w:r w:rsidRPr="00385045">
        <w:rPr>
          <w:b/>
          <w:i/>
        </w:rPr>
        <w:t>egg product</w:t>
      </w:r>
      <w:r w:rsidRPr="00385045">
        <w:t>;</w:t>
      </w:r>
    </w:p>
    <w:p w:rsidR="009E6E05" w:rsidRPr="00385045" w:rsidRDefault="008437FF" w:rsidP="00385045">
      <w:pPr>
        <w:pStyle w:val="paragraph"/>
      </w:pPr>
      <w:r w:rsidRPr="00385045">
        <w:tab/>
        <w:t>(g</w:t>
      </w:r>
      <w:r w:rsidR="00915ADC" w:rsidRPr="00385045">
        <w:t>)</w:t>
      </w:r>
      <w:r w:rsidR="00915ADC" w:rsidRPr="00385045">
        <w:tab/>
      </w:r>
      <w:r w:rsidR="009E6E05" w:rsidRPr="00385045">
        <w:t xml:space="preserve">definition of </w:t>
      </w:r>
      <w:r w:rsidR="009E6E05" w:rsidRPr="00385045">
        <w:rPr>
          <w:b/>
          <w:i/>
        </w:rPr>
        <w:t>eggs</w:t>
      </w:r>
      <w:r w:rsidR="0035459C" w:rsidRPr="00385045">
        <w:t>.</w:t>
      </w:r>
    </w:p>
    <w:p w:rsidR="0035459C" w:rsidRPr="00385045" w:rsidRDefault="00105F33" w:rsidP="00385045">
      <w:pPr>
        <w:pStyle w:val="ItemHead"/>
      </w:pPr>
      <w:r w:rsidRPr="00385045">
        <w:t>6</w:t>
      </w:r>
      <w:r w:rsidR="0035459C" w:rsidRPr="00385045">
        <w:t xml:space="preserve">  Subsection</w:t>
      </w:r>
      <w:r w:rsidR="00385045" w:rsidRPr="00385045">
        <w:t> </w:t>
      </w:r>
      <w:r w:rsidR="0035459C" w:rsidRPr="00385045">
        <w:t xml:space="preserve">3(1) (definition of </w:t>
      </w:r>
      <w:r w:rsidR="0035459C" w:rsidRPr="00385045">
        <w:rPr>
          <w:i/>
        </w:rPr>
        <w:t>establishment</w:t>
      </w:r>
      <w:r w:rsidR="0035459C" w:rsidRPr="00385045">
        <w:t>)</w:t>
      </w:r>
    </w:p>
    <w:p w:rsidR="0035459C" w:rsidRPr="00385045" w:rsidRDefault="0035459C" w:rsidP="00385045">
      <w:pPr>
        <w:pStyle w:val="Item"/>
      </w:pPr>
      <w:r w:rsidRPr="00385045">
        <w:t>Omit “prescribed commodities”, substitute “prescribed goods”.</w:t>
      </w:r>
    </w:p>
    <w:p w:rsidR="0035459C" w:rsidRPr="00385045" w:rsidRDefault="00105F33" w:rsidP="00385045">
      <w:pPr>
        <w:pStyle w:val="ItemHead"/>
      </w:pPr>
      <w:r w:rsidRPr="00385045">
        <w:t>7</w:t>
      </w:r>
      <w:r w:rsidR="0035459C" w:rsidRPr="00385045">
        <w:t xml:space="preserve">  Subsection</w:t>
      </w:r>
      <w:r w:rsidR="00385045" w:rsidRPr="00385045">
        <w:t> </w:t>
      </w:r>
      <w:r w:rsidR="0035459C" w:rsidRPr="00385045">
        <w:t xml:space="preserve">3(1) (definition of </w:t>
      </w:r>
      <w:r w:rsidR="0035459C" w:rsidRPr="00385045">
        <w:rPr>
          <w:i/>
        </w:rPr>
        <w:t>exporter</w:t>
      </w:r>
      <w:r w:rsidR="0035459C" w:rsidRPr="00385045">
        <w:t>)</w:t>
      </w:r>
    </w:p>
    <w:p w:rsidR="0035459C" w:rsidRPr="00385045" w:rsidRDefault="0035459C" w:rsidP="00385045">
      <w:pPr>
        <w:pStyle w:val="Item"/>
      </w:pPr>
      <w:r w:rsidRPr="00385045">
        <w:t>Repeal the definition, substitute:</w:t>
      </w:r>
    </w:p>
    <w:p w:rsidR="0035459C" w:rsidRPr="00385045" w:rsidRDefault="0035459C" w:rsidP="00385045">
      <w:pPr>
        <w:pStyle w:val="Definition"/>
      </w:pPr>
      <w:r w:rsidRPr="00385045">
        <w:rPr>
          <w:b/>
          <w:i/>
        </w:rPr>
        <w:t>exporter</w:t>
      </w:r>
      <w:r w:rsidRPr="00385045">
        <w:t xml:space="preserve">, of prescribed goods, means the person in whose name an export permit in respect of the prescribed goods </w:t>
      </w:r>
      <w:r w:rsidR="007276B5" w:rsidRPr="00385045">
        <w:t>is</w:t>
      </w:r>
      <w:r w:rsidRPr="00385045">
        <w:t xml:space="preserve"> granted.</w:t>
      </w:r>
    </w:p>
    <w:p w:rsidR="0035459C" w:rsidRPr="00385045" w:rsidRDefault="00105F33" w:rsidP="00385045">
      <w:pPr>
        <w:pStyle w:val="ItemHead"/>
      </w:pPr>
      <w:r w:rsidRPr="00385045">
        <w:t>8</w:t>
      </w:r>
      <w:r w:rsidR="0035459C" w:rsidRPr="00385045">
        <w:t xml:space="preserve">  Subsection</w:t>
      </w:r>
      <w:r w:rsidR="00385045" w:rsidRPr="00385045">
        <w:t> </w:t>
      </w:r>
      <w:r w:rsidR="0035459C" w:rsidRPr="00385045">
        <w:t>3(1)</w:t>
      </w:r>
    </w:p>
    <w:p w:rsidR="0035459C" w:rsidRPr="00385045" w:rsidRDefault="0035459C" w:rsidP="00385045">
      <w:pPr>
        <w:pStyle w:val="Item"/>
      </w:pPr>
      <w:r w:rsidRPr="00385045">
        <w:t>Repeal the following definitions:</w:t>
      </w:r>
    </w:p>
    <w:p w:rsidR="0035459C" w:rsidRPr="00385045" w:rsidRDefault="0035459C" w:rsidP="00385045">
      <w:pPr>
        <w:pStyle w:val="paragraph"/>
      </w:pPr>
      <w:r w:rsidRPr="00385045">
        <w:tab/>
        <w:t>(a)</w:t>
      </w:r>
      <w:r w:rsidRPr="00385045">
        <w:tab/>
        <w:t xml:space="preserve">definition of </w:t>
      </w:r>
      <w:r w:rsidRPr="00385045">
        <w:rPr>
          <w:b/>
          <w:i/>
        </w:rPr>
        <w:t>fish</w:t>
      </w:r>
      <w:r w:rsidRPr="00385045">
        <w:t>;</w:t>
      </w:r>
    </w:p>
    <w:p w:rsidR="0035459C" w:rsidRPr="00385045" w:rsidRDefault="0035459C" w:rsidP="00385045">
      <w:pPr>
        <w:pStyle w:val="paragraph"/>
      </w:pPr>
      <w:r w:rsidRPr="00385045">
        <w:tab/>
        <w:t>(b)</w:t>
      </w:r>
      <w:r w:rsidRPr="00385045">
        <w:tab/>
        <w:t xml:space="preserve">definition of </w:t>
      </w:r>
      <w:r w:rsidRPr="00385045">
        <w:rPr>
          <w:b/>
          <w:i/>
        </w:rPr>
        <w:t>fish product</w:t>
      </w:r>
      <w:r w:rsidRPr="00385045">
        <w:t>;</w:t>
      </w:r>
    </w:p>
    <w:p w:rsidR="0035459C" w:rsidRPr="00385045" w:rsidRDefault="0035459C" w:rsidP="00385045">
      <w:pPr>
        <w:pStyle w:val="paragraph"/>
      </w:pPr>
      <w:r w:rsidRPr="00385045">
        <w:tab/>
        <w:t>(c)</w:t>
      </w:r>
      <w:r w:rsidRPr="00385045">
        <w:tab/>
        <w:t xml:space="preserve">definition of </w:t>
      </w:r>
      <w:r w:rsidRPr="00385045">
        <w:rPr>
          <w:b/>
          <w:i/>
        </w:rPr>
        <w:t>fruit juice</w:t>
      </w:r>
      <w:r w:rsidRPr="00385045">
        <w:t>;</w:t>
      </w:r>
    </w:p>
    <w:p w:rsidR="0035459C" w:rsidRPr="00385045" w:rsidRDefault="0035459C" w:rsidP="00385045">
      <w:pPr>
        <w:pStyle w:val="paragraph"/>
      </w:pPr>
      <w:r w:rsidRPr="00385045">
        <w:tab/>
        <w:t>(d)</w:t>
      </w:r>
      <w:r w:rsidRPr="00385045">
        <w:tab/>
        <w:t xml:space="preserve">definition of </w:t>
      </w:r>
      <w:r w:rsidRPr="00385045">
        <w:rPr>
          <w:b/>
          <w:i/>
        </w:rPr>
        <w:t>fruit product</w:t>
      </w:r>
      <w:r w:rsidRPr="00385045">
        <w:t>;</w:t>
      </w:r>
    </w:p>
    <w:p w:rsidR="0035459C" w:rsidRPr="00385045" w:rsidRDefault="0035459C" w:rsidP="00385045">
      <w:pPr>
        <w:pStyle w:val="paragraph"/>
      </w:pPr>
      <w:r w:rsidRPr="00385045">
        <w:tab/>
        <w:t>(e)</w:t>
      </w:r>
      <w:r w:rsidRPr="00385045">
        <w:tab/>
        <w:t xml:space="preserve">definition of </w:t>
      </w:r>
      <w:r w:rsidRPr="00385045">
        <w:rPr>
          <w:b/>
          <w:i/>
        </w:rPr>
        <w:t>game animal</w:t>
      </w:r>
      <w:r w:rsidRPr="00385045">
        <w:t>;</w:t>
      </w:r>
    </w:p>
    <w:p w:rsidR="0035459C" w:rsidRPr="00385045" w:rsidRDefault="0035459C" w:rsidP="00385045">
      <w:pPr>
        <w:pStyle w:val="paragraph"/>
      </w:pPr>
      <w:r w:rsidRPr="00385045">
        <w:tab/>
        <w:t>(f)</w:t>
      </w:r>
      <w:r w:rsidRPr="00385045">
        <w:tab/>
        <w:t xml:space="preserve">definition of </w:t>
      </w:r>
      <w:r w:rsidRPr="00385045">
        <w:rPr>
          <w:b/>
          <w:i/>
        </w:rPr>
        <w:t>game meat</w:t>
      </w:r>
      <w:r w:rsidRPr="00385045">
        <w:t>;</w:t>
      </w:r>
    </w:p>
    <w:p w:rsidR="0035459C" w:rsidRPr="00385045" w:rsidRDefault="0035459C" w:rsidP="00385045">
      <w:pPr>
        <w:pStyle w:val="paragraph"/>
      </w:pPr>
      <w:r w:rsidRPr="00385045">
        <w:tab/>
        <w:t>(g)</w:t>
      </w:r>
      <w:r w:rsidRPr="00385045">
        <w:tab/>
        <w:t xml:space="preserve">definition of </w:t>
      </w:r>
      <w:r w:rsidRPr="00385045">
        <w:rPr>
          <w:b/>
          <w:i/>
        </w:rPr>
        <w:t>game meat product</w:t>
      </w:r>
      <w:r w:rsidRPr="00385045">
        <w:t>;</w:t>
      </w:r>
    </w:p>
    <w:p w:rsidR="0035459C" w:rsidRPr="00385045" w:rsidRDefault="0035459C" w:rsidP="00385045">
      <w:pPr>
        <w:pStyle w:val="paragraph"/>
      </w:pPr>
      <w:r w:rsidRPr="00385045">
        <w:tab/>
        <w:t>(h)</w:t>
      </w:r>
      <w:r w:rsidRPr="00385045">
        <w:tab/>
        <w:t xml:space="preserve">definition of </w:t>
      </w:r>
      <w:r w:rsidRPr="00385045">
        <w:rPr>
          <w:b/>
          <w:i/>
        </w:rPr>
        <w:t>grain</w:t>
      </w:r>
      <w:r w:rsidRPr="00385045">
        <w:t>;</w:t>
      </w:r>
    </w:p>
    <w:p w:rsidR="0035459C" w:rsidRPr="00385045" w:rsidRDefault="0035459C" w:rsidP="00385045">
      <w:pPr>
        <w:pStyle w:val="paragraph"/>
      </w:pPr>
      <w:r w:rsidRPr="00385045">
        <w:tab/>
        <w:t>(</w:t>
      </w:r>
      <w:proofErr w:type="spellStart"/>
      <w:r w:rsidRPr="00385045">
        <w:t>i</w:t>
      </w:r>
      <w:proofErr w:type="spellEnd"/>
      <w:r w:rsidRPr="00385045">
        <w:t>)</w:t>
      </w:r>
      <w:r w:rsidRPr="00385045">
        <w:tab/>
        <w:t xml:space="preserve">definition of </w:t>
      </w:r>
      <w:r w:rsidRPr="00385045">
        <w:rPr>
          <w:b/>
          <w:i/>
        </w:rPr>
        <w:t>meat</w:t>
      </w:r>
      <w:r w:rsidRPr="00385045">
        <w:t xml:space="preserve"> and </w:t>
      </w:r>
      <w:r w:rsidRPr="00385045">
        <w:rPr>
          <w:b/>
          <w:i/>
        </w:rPr>
        <w:t>meat product</w:t>
      </w:r>
      <w:r w:rsidRPr="00385045">
        <w:t>;</w:t>
      </w:r>
    </w:p>
    <w:p w:rsidR="0035459C" w:rsidRPr="00385045" w:rsidRDefault="0035459C" w:rsidP="00385045">
      <w:pPr>
        <w:pStyle w:val="paragraph"/>
      </w:pPr>
      <w:r w:rsidRPr="00385045">
        <w:tab/>
        <w:t>(j)</w:t>
      </w:r>
      <w:r w:rsidRPr="00385045">
        <w:tab/>
        <w:t xml:space="preserve">definition of </w:t>
      </w:r>
      <w:r w:rsidRPr="00385045">
        <w:rPr>
          <w:b/>
          <w:i/>
        </w:rPr>
        <w:t>milk product</w:t>
      </w:r>
      <w:r w:rsidRPr="00385045">
        <w:t>;</w:t>
      </w:r>
    </w:p>
    <w:p w:rsidR="0035459C" w:rsidRPr="00385045" w:rsidRDefault="0035459C" w:rsidP="00385045">
      <w:pPr>
        <w:pStyle w:val="paragraph"/>
      </w:pPr>
      <w:r w:rsidRPr="00385045">
        <w:tab/>
        <w:t>(k)</w:t>
      </w:r>
      <w:r w:rsidRPr="00385045">
        <w:tab/>
        <w:t xml:space="preserve">definition of </w:t>
      </w:r>
      <w:r w:rsidRPr="00385045">
        <w:rPr>
          <w:b/>
          <w:i/>
        </w:rPr>
        <w:t>poultry</w:t>
      </w:r>
      <w:r w:rsidRPr="00385045">
        <w:t>;</w:t>
      </w:r>
    </w:p>
    <w:p w:rsidR="0035459C" w:rsidRPr="00385045" w:rsidRDefault="0035459C" w:rsidP="00385045">
      <w:pPr>
        <w:pStyle w:val="paragraph"/>
      </w:pPr>
      <w:r w:rsidRPr="00385045">
        <w:tab/>
        <w:t>(l)</w:t>
      </w:r>
      <w:r w:rsidRPr="00385045">
        <w:tab/>
        <w:t xml:space="preserve">definition of </w:t>
      </w:r>
      <w:r w:rsidRPr="00385045">
        <w:rPr>
          <w:b/>
          <w:i/>
        </w:rPr>
        <w:t>poultry meat</w:t>
      </w:r>
      <w:r w:rsidRPr="00385045">
        <w:t>;</w:t>
      </w:r>
    </w:p>
    <w:p w:rsidR="0035459C" w:rsidRPr="00385045" w:rsidRDefault="0035459C" w:rsidP="00385045">
      <w:pPr>
        <w:pStyle w:val="paragraph"/>
      </w:pPr>
      <w:r w:rsidRPr="00385045">
        <w:tab/>
        <w:t>(m)</w:t>
      </w:r>
      <w:r w:rsidRPr="00385045">
        <w:tab/>
        <w:t xml:space="preserve">definition of </w:t>
      </w:r>
      <w:r w:rsidRPr="00385045">
        <w:rPr>
          <w:b/>
          <w:i/>
        </w:rPr>
        <w:t>poultry meat product</w:t>
      </w:r>
      <w:r w:rsidRPr="00385045">
        <w:t>.</w:t>
      </w:r>
    </w:p>
    <w:p w:rsidR="002E44C1" w:rsidRPr="00385045" w:rsidRDefault="00105F33" w:rsidP="00385045">
      <w:pPr>
        <w:pStyle w:val="ItemHead"/>
      </w:pPr>
      <w:r w:rsidRPr="00385045">
        <w:t>9</w:t>
      </w:r>
      <w:r w:rsidR="002E44C1" w:rsidRPr="00385045">
        <w:t xml:space="preserve">  Subsection</w:t>
      </w:r>
      <w:r w:rsidR="00385045" w:rsidRPr="00385045">
        <w:t> </w:t>
      </w:r>
      <w:r w:rsidR="002E44C1" w:rsidRPr="00385045">
        <w:t xml:space="preserve">3(1) (definition of </w:t>
      </w:r>
      <w:r w:rsidR="002E44C1" w:rsidRPr="00385045">
        <w:rPr>
          <w:i/>
        </w:rPr>
        <w:t>preparation</w:t>
      </w:r>
      <w:r w:rsidR="002E44C1" w:rsidRPr="00385045">
        <w:t>)</w:t>
      </w:r>
    </w:p>
    <w:p w:rsidR="002E44C1" w:rsidRPr="00385045" w:rsidRDefault="002E44C1" w:rsidP="00385045">
      <w:pPr>
        <w:pStyle w:val="Item"/>
      </w:pPr>
      <w:r w:rsidRPr="00385045">
        <w:t>Omit “prescribed commodities” (wherever occurring), substitute “prescribed goods”.</w:t>
      </w:r>
    </w:p>
    <w:p w:rsidR="005E508F" w:rsidRPr="00385045" w:rsidRDefault="00105F33" w:rsidP="00385045">
      <w:pPr>
        <w:pStyle w:val="ItemHead"/>
      </w:pPr>
      <w:r w:rsidRPr="00385045">
        <w:t>10</w:t>
      </w:r>
      <w:r w:rsidR="005E508F" w:rsidRPr="00385045">
        <w:t xml:space="preserve">  Subsection</w:t>
      </w:r>
      <w:r w:rsidR="00385045" w:rsidRPr="00385045">
        <w:t> </w:t>
      </w:r>
      <w:r w:rsidR="005E508F" w:rsidRPr="00385045">
        <w:t xml:space="preserve">3(1) (definition of </w:t>
      </w:r>
      <w:r w:rsidR="005E508F" w:rsidRPr="00385045">
        <w:rPr>
          <w:i/>
        </w:rPr>
        <w:t>prescribed commodity</w:t>
      </w:r>
      <w:r w:rsidR="005E508F" w:rsidRPr="00385045">
        <w:t>)</w:t>
      </w:r>
    </w:p>
    <w:p w:rsidR="005E508F" w:rsidRPr="00385045" w:rsidRDefault="005E508F" w:rsidP="00385045">
      <w:pPr>
        <w:pStyle w:val="Item"/>
      </w:pPr>
      <w:r w:rsidRPr="00385045">
        <w:t>Re</w:t>
      </w:r>
      <w:r w:rsidR="007163C4" w:rsidRPr="00385045">
        <w:t>peal the definition.</w:t>
      </w:r>
    </w:p>
    <w:p w:rsidR="007163C4" w:rsidRPr="00385045" w:rsidRDefault="00105F33" w:rsidP="00385045">
      <w:pPr>
        <w:pStyle w:val="ItemHead"/>
      </w:pPr>
      <w:r w:rsidRPr="00385045">
        <w:t>11</w:t>
      </w:r>
      <w:r w:rsidR="007163C4" w:rsidRPr="00385045">
        <w:t xml:space="preserve">  Subsection</w:t>
      </w:r>
      <w:r w:rsidR="00385045" w:rsidRPr="00385045">
        <w:t> </w:t>
      </w:r>
      <w:r w:rsidR="007163C4" w:rsidRPr="00385045">
        <w:t>3(1)</w:t>
      </w:r>
    </w:p>
    <w:p w:rsidR="007163C4" w:rsidRPr="00385045" w:rsidRDefault="007163C4" w:rsidP="00385045">
      <w:pPr>
        <w:pStyle w:val="Item"/>
      </w:pPr>
      <w:r w:rsidRPr="00385045">
        <w:t>Insert:</w:t>
      </w:r>
    </w:p>
    <w:p w:rsidR="00D52B58" w:rsidRPr="00385045" w:rsidRDefault="00D52B58" w:rsidP="00385045">
      <w:pPr>
        <w:pStyle w:val="Definition"/>
      </w:pPr>
      <w:r w:rsidRPr="00385045">
        <w:rPr>
          <w:b/>
          <w:i/>
        </w:rPr>
        <w:lastRenderedPageBreak/>
        <w:t xml:space="preserve">prescribed </w:t>
      </w:r>
      <w:r w:rsidR="007163C4" w:rsidRPr="00385045">
        <w:rPr>
          <w:b/>
          <w:i/>
        </w:rPr>
        <w:t>goods</w:t>
      </w:r>
      <w:r w:rsidRPr="00385045">
        <w:t xml:space="preserve"> </w:t>
      </w:r>
      <w:r w:rsidR="007163C4" w:rsidRPr="00385045">
        <w:t xml:space="preserve">has the same meaning as in the </w:t>
      </w:r>
      <w:r w:rsidR="007163C4" w:rsidRPr="00385045">
        <w:rPr>
          <w:i/>
        </w:rPr>
        <w:t>Export Control Act 1982</w:t>
      </w:r>
      <w:r w:rsidR="007163C4" w:rsidRPr="00385045">
        <w:t>.</w:t>
      </w:r>
    </w:p>
    <w:p w:rsidR="00672195" w:rsidRPr="00385045" w:rsidRDefault="00105F33" w:rsidP="00385045">
      <w:pPr>
        <w:pStyle w:val="ItemHead"/>
      </w:pPr>
      <w:r w:rsidRPr="00385045">
        <w:t>12</w:t>
      </w:r>
      <w:r w:rsidR="00672195" w:rsidRPr="00385045">
        <w:t xml:space="preserve">  Subsection</w:t>
      </w:r>
      <w:r w:rsidR="00385045" w:rsidRPr="00385045">
        <w:t> </w:t>
      </w:r>
      <w:r w:rsidR="00672195" w:rsidRPr="00385045">
        <w:t>3(1)</w:t>
      </w:r>
    </w:p>
    <w:p w:rsidR="00672195" w:rsidRPr="00385045" w:rsidRDefault="00672195" w:rsidP="00385045">
      <w:pPr>
        <w:pStyle w:val="Item"/>
      </w:pPr>
      <w:r w:rsidRPr="00385045">
        <w:t>Repeal the following definitions:</w:t>
      </w:r>
    </w:p>
    <w:p w:rsidR="00672195" w:rsidRPr="00385045" w:rsidRDefault="00663415" w:rsidP="00385045">
      <w:pPr>
        <w:pStyle w:val="paragraph"/>
      </w:pPr>
      <w:r w:rsidRPr="00385045">
        <w:tab/>
        <w:t>(a)</w:t>
      </w:r>
      <w:r w:rsidRPr="00385045">
        <w:tab/>
      </w:r>
      <w:r w:rsidR="00E6597A" w:rsidRPr="00385045">
        <w:t xml:space="preserve">definition of </w:t>
      </w:r>
      <w:r w:rsidRPr="00385045">
        <w:rPr>
          <w:b/>
          <w:i/>
        </w:rPr>
        <w:t>rabbit</w:t>
      </w:r>
      <w:r w:rsidR="00672195" w:rsidRPr="00385045">
        <w:t>;</w:t>
      </w:r>
    </w:p>
    <w:p w:rsidR="00E6597A" w:rsidRPr="00385045" w:rsidRDefault="00663415" w:rsidP="00385045">
      <w:pPr>
        <w:pStyle w:val="paragraph"/>
      </w:pPr>
      <w:r w:rsidRPr="00385045">
        <w:tab/>
        <w:t>(b)</w:t>
      </w:r>
      <w:r w:rsidRPr="00385045">
        <w:tab/>
      </w:r>
      <w:r w:rsidR="00E6597A" w:rsidRPr="00385045">
        <w:t xml:space="preserve">definition of </w:t>
      </w:r>
      <w:r w:rsidRPr="00385045">
        <w:rPr>
          <w:b/>
          <w:i/>
        </w:rPr>
        <w:t>rabbit meat</w:t>
      </w:r>
      <w:r w:rsidR="00E6597A" w:rsidRPr="00385045">
        <w:t>;</w:t>
      </w:r>
    </w:p>
    <w:p w:rsidR="00E6597A" w:rsidRPr="00385045" w:rsidRDefault="00663415" w:rsidP="00385045">
      <w:pPr>
        <w:pStyle w:val="paragraph"/>
      </w:pPr>
      <w:r w:rsidRPr="00385045">
        <w:tab/>
        <w:t>(c)</w:t>
      </w:r>
      <w:r w:rsidRPr="00385045">
        <w:tab/>
      </w:r>
      <w:r w:rsidR="00E6597A" w:rsidRPr="00385045">
        <w:t xml:space="preserve">definition of </w:t>
      </w:r>
      <w:r w:rsidRPr="00385045">
        <w:rPr>
          <w:b/>
          <w:i/>
        </w:rPr>
        <w:t>rabbit meat product</w:t>
      </w:r>
      <w:r w:rsidR="00E6597A" w:rsidRPr="00385045">
        <w:t>;</w:t>
      </w:r>
    </w:p>
    <w:p w:rsidR="00E6597A" w:rsidRPr="00385045" w:rsidRDefault="00663415" w:rsidP="00385045">
      <w:pPr>
        <w:pStyle w:val="paragraph"/>
      </w:pPr>
      <w:r w:rsidRPr="00385045">
        <w:tab/>
        <w:t>(d)</w:t>
      </w:r>
      <w:r w:rsidRPr="00385045">
        <w:tab/>
      </w:r>
      <w:r w:rsidR="00E6597A" w:rsidRPr="00385045">
        <w:t xml:space="preserve">definition of </w:t>
      </w:r>
      <w:r w:rsidRPr="00385045">
        <w:rPr>
          <w:b/>
          <w:i/>
        </w:rPr>
        <w:t>vegetable juice</w:t>
      </w:r>
      <w:r w:rsidR="00E6597A" w:rsidRPr="00385045">
        <w:t>;</w:t>
      </w:r>
    </w:p>
    <w:p w:rsidR="00E6597A" w:rsidRPr="00385045" w:rsidRDefault="00663415" w:rsidP="00385045">
      <w:pPr>
        <w:pStyle w:val="paragraph"/>
      </w:pPr>
      <w:r w:rsidRPr="00385045">
        <w:tab/>
        <w:t>(e)</w:t>
      </w:r>
      <w:r w:rsidRPr="00385045">
        <w:tab/>
      </w:r>
      <w:r w:rsidR="00E6597A" w:rsidRPr="00385045">
        <w:t xml:space="preserve">definition of </w:t>
      </w:r>
      <w:r w:rsidRPr="00385045">
        <w:rPr>
          <w:b/>
          <w:i/>
        </w:rPr>
        <w:t>vegetable product</w:t>
      </w:r>
      <w:r w:rsidRPr="00385045">
        <w:t>.</w:t>
      </w:r>
    </w:p>
    <w:p w:rsidR="002E44C1" w:rsidRPr="00385045" w:rsidRDefault="00105F33" w:rsidP="00385045">
      <w:pPr>
        <w:pStyle w:val="ItemHead"/>
      </w:pPr>
      <w:r w:rsidRPr="00385045">
        <w:t>13</w:t>
      </w:r>
      <w:r w:rsidR="002E44C1" w:rsidRPr="00385045">
        <w:t xml:space="preserve">  Subparagraph 3A(1)(b)(ii)</w:t>
      </w:r>
    </w:p>
    <w:p w:rsidR="002E44C1" w:rsidRPr="00385045" w:rsidRDefault="002E44C1" w:rsidP="00385045">
      <w:pPr>
        <w:pStyle w:val="Item"/>
      </w:pPr>
      <w:r w:rsidRPr="00385045">
        <w:t>Omit “a prescribed commodity”, substitute “prescribed goods”.</w:t>
      </w:r>
    </w:p>
    <w:p w:rsidR="002E44C1" w:rsidRPr="00385045" w:rsidRDefault="00105F33" w:rsidP="00385045">
      <w:pPr>
        <w:pStyle w:val="ItemHead"/>
      </w:pPr>
      <w:r w:rsidRPr="00385045">
        <w:t>14</w:t>
      </w:r>
      <w:r w:rsidR="002E44C1" w:rsidRPr="00385045">
        <w:t xml:space="preserve">  Paragraph 3A(1)(b)</w:t>
      </w:r>
    </w:p>
    <w:p w:rsidR="002E44C1" w:rsidRPr="00385045" w:rsidRDefault="002E44C1" w:rsidP="00385045">
      <w:pPr>
        <w:pStyle w:val="Item"/>
      </w:pPr>
      <w:r w:rsidRPr="00385045">
        <w:t>Omit “the prescribed commodity”, substitute “the prescribed goods”.</w:t>
      </w:r>
    </w:p>
    <w:p w:rsidR="002E44C1" w:rsidRPr="00385045" w:rsidRDefault="00105F33" w:rsidP="00385045">
      <w:pPr>
        <w:pStyle w:val="ItemHead"/>
      </w:pPr>
      <w:r w:rsidRPr="00385045">
        <w:t>15</w:t>
      </w:r>
      <w:r w:rsidR="002E44C1" w:rsidRPr="00385045">
        <w:t xml:space="preserve">  Subsection</w:t>
      </w:r>
      <w:r w:rsidR="00385045" w:rsidRPr="00385045">
        <w:t> </w:t>
      </w:r>
      <w:r w:rsidR="002E44C1" w:rsidRPr="00385045">
        <w:t>5(1)</w:t>
      </w:r>
    </w:p>
    <w:p w:rsidR="002E44C1" w:rsidRPr="00385045" w:rsidRDefault="002E44C1" w:rsidP="00385045">
      <w:pPr>
        <w:pStyle w:val="Item"/>
      </w:pPr>
      <w:r w:rsidRPr="00385045">
        <w:t>Omit “a prescribed commodity”, substitute “prescribed goods”.</w:t>
      </w:r>
    </w:p>
    <w:p w:rsidR="002E44C1" w:rsidRPr="00385045" w:rsidRDefault="00105F33" w:rsidP="00385045">
      <w:pPr>
        <w:pStyle w:val="ItemHead"/>
      </w:pPr>
      <w:r w:rsidRPr="00385045">
        <w:t>16</w:t>
      </w:r>
      <w:r w:rsidR="002E44C1" w:rsidRPr="00385045">
        <w:t xml:space="preserve">  Subsection</w:t>
      </w:r>
      <w:r w:rsidR="00385045" w:rsidRPr="00385045">
        <w:t> </w:t>
      </w:r>
      <w:r w:rsidR="002E44C1" w:rsidRPr="00385045">
        <w:t>5(1)</w:t>
      </w:r>
    </w:p>
    <w:p w:rsidR="002E44C1" w:rsidRPr="00385045" w:rsidRDefault="002E44C1" w:rsidP="00385045">
      <w:pPr>
        <w:pStyle w:val="Item"/>
      </w:pPr>
      <w:r w:rsidRPr="00385045">
        <w:t>Omit “that prescribed commodity”, substitute “the prescribed goods”.</w:t>
      </w:r>
    </w:p>
    <w:p w:rsidR="002E44C1" w:rsidRPr="00385045" w:rsidRDefault="00105F33" w:rsidP="00385045">
      <w:pPr>
        <w:pStyle w:val="ItemHead"/>
      </w:pPr>
      <w:r w:rsidRPr="00385045">
        <w:t>17</w:t>
      </w:r>
      <w:r w:rsidR="002E44C1" w:rsidRPr="00385045">
        <w:t xml:space="preserve">  Section</w:t>
      </w:r>
      <w:r w:rsidR="00CD54FD" w:rsidRPr="00385045">
        <w:t>s</w:t>
      </w:r>
      <w:r w:rsidR="00385045" w:rsidRPr="00385045">
        <w:t> </w:t>
      </w:r>
      <w:r w:rsidR="002E44C1" w:rsidRPr="00385045">
        <w:t>6</w:t>
      </w:r>
      <w:r w:rsidR="00CD54FD" w:rsidRPr="00385045">
        <w:t xml:space="preserve"> and 6A</w:t>
      </w:r>
    </w:p>
    <w:p w:rsidR="002E44C1" w:rsidRPr="00385045" w:rsidRDefault="002E44C1" w:rsidP="00385045">
      <w:pPr>
        <w:pStyle w:val="Item"/>
      </w:pPr>
      <w:r w:rsidRPr="00385045">
        <w:t>Repeal the section</w:t>
      </w:r>
      <w:r w:rsidR="00CD54FD" w:rsidRPr="00385045">
        <w:t>s</w:t>
      </w:r>
      <w:r w:rsidRPr="00385045">
        <w:t>, substitute:</w:t>
      </w:r>
    </w:p>
    <w:p w:rsidR="002E44C1" w:rsidRPr="00385045" w:rsidRDefault="002E44C1" w:rsidP="00385045">
      <w:pPr>
        <w:pStyle w:val="ActHead5"/>
      </w:pPr>
      <w:bookmarkStart w:id="11" w:name="_Toc391620903"/>
      <w:r w:rsidRPr="00385045">
        <w:rPr>
          <w:rStyle w:val="CharSectno"/>
        </w:rPr>
        <w:t>6</w:t>
      </w:r>
      <w:r w:rsidRPr="00385045">
        <w:t xml:space="preserve">  Returns in respect of quantity charge</w:t>
      </w:r>
      <w:bookmarkEnd w:id="11"/>
    </w:p>
    <w:p w:rsidR="002F718C" w:rsidRPr="00385045" w:rsidRDefault="002F718C" w:rsidP="00385045">
      <w:pPr>
        <w:pStyle w:val="subsection"/>
      </w:pPr>
      <w:r w:rsidRPr="00385045">
        <w:tab/>
      </w:r>
      <w:r w:rsidRPr="00385045">
        <w:tab/>
        <w:t>The exporter of prescribed goods in respect of which quantity charge is imposed must give the Secretary a return:</w:t>
      </w:r>
    </w:p>
    <w:p w:rsidR="002F718C" w:rsidRPr="00385045" w:rsidRDefault="002F718C" w:rsidP="00385045">
      <w:pPr>
        <w:pStyle w:val="paragraph"/>
      </w:pPr>
      <w:r w:rsidRPr="00385045">
        <w:tab/>
        <w:t>(a)</w:t>
      </w:r>
      <w:r w:rsidRPr="00385045">
        <w:tab/>
        <w:t xml:space="preserve">for each month in which export permits are granted in respect of the </w:t>
      </w:r>
      <w:r w:rsidR="00CD54FD" w:rsidRPr="00385045">
        <w:t xml:space="preserve">prescribed </w:t>
      </w:r>
      <w:r w:rsidRPr="00385045">
        <w:t>goods; and</w:t>
      </w:r>
    </w:p>
    <w:p w:rsidR="002F718C" w:rsidRPr="00385045" w:rsidRDefault="002F718C" w:rsidP="00385045">
      <w:pPr>
        <w:pStyle w:val="paragraph"/>
      </w:pPr>
      <w:r w:rsidRPr="00385045">
        <w:tab/>
        <w:t>(b)</w:t>
      </w:r>
      <w:r w:rsidRPr="00385045">
        <w:tab/>
        <w:t>that contains the particulars prescribed by the regulations.</w:t>
      </w:r>
    </w:p>
    <w:p w:rsidR="00CD54FD" w:rsidRPr="00385045" w:rsidRDefault="00CD54FD" w:rsidP="00385045">
      <w:pPr>
        <w:pStyle w:val="ActHead5"/>
      </w:pPr>
      <w:bookmarkStart w:id="12" w:name="_Toc391620904"/>
      <w:r w:rsidRPr="00385045">
        <w:rPr>
          <w:rStyle w:val="CharSectno"/>
        </w:rPr>
        <w:t>6A</w:t>
      </w:r>
      <w:r w:rsidRPr="00385045">
        <w:t xml:space="preserve">  Returns in respect of service charge</w:t>
      </w:r>
      <w:bookmarkEnd w:id="12"/>
    </w:p>
    <w:p w:rsidR="00203A17" w:rsidRPr="00385045" w:rsidRDefault="00203A17" w:rsidP="00385045">
      <w:pPr>
        <w:pStyle w:val="subsection"/>
      </w:pPr>
      <w:r w:rsidRPr="00385045">
        <w:tab/>
        <w:t>(1)</w:t>
      </w:r>
      <w:r w:rsidRPr="00385045">
        <w:tab/>
        <w:t>If service charge is imposed on the provision of an export inspection service at an establishment, the registered occupier of the establishment must give the Secretary a return:</w:t>
      </w:r>
    </w:p>
    <w:p w:rsidR="00203A17" w:rsidRPr="00385045" w:rsidRDefault="00203A17" w:rsidP="00385045">
      <w:pPr>
        <w:pStyle w:val="paragraph"/>
      </w:pPr>
      <w:r w:rsidRPr="00385045">
        <w:lastRenderedPageBreak/>
        <w:tab/>
        <w:t>(a)</w:t>
      </w:r>
      <w:r w:rsidRPr="00385045">
        <w:tab/>
        <w:t>for each month in which the service is so provided; and</w:t>
      </w:r>
    </w:p>
    <w:p w:rsidR="00203A17" w:rsidRPr="00385045" w:rsidRDefault="00203A17" w:rsidP="00385045">
      <w:pPr>
        <w:pStyle w:val="paragraph"/>
      </w:pPr>
      <w:r w:rsidRPr="00385045">
        <w:tab/>
        <w:t>(b)</w:t>
      </w:r>
      <w:r w:rsidRPr="00385045">
        <w:tab/>
        <w:t>that contains the particulars prescribed by the regulations.</w:t>
      </w:r>
    </w:p>
    <w:p w:rsidR="00203A17" w:rsidRPr="00385045" w:rsidRDefault="00203A17" w:rsidP="00385045">
      <w:pPr>
        <w:pStyle w:val="subsection"/>
      </w:pPr>
      <w:r w:rsidRPr="00385045">
        <w:tab/>
        <w:t>(2)</w:t>
      </w:r>
      <w:r w:rsidRPr="00385045">
        <w:tab/>
        <w:t>A person requesting the provision of an external export inspection service in respect of which service charge is imposed must give the Secretary a return:</w:t>
      </w:r>
    </w:p>
    <w:p w:rsidR="00203A17" w:rsidRPr="00385045" w:rsidRDefault="00203A17" w:rsidP="00385045">
      <w:pPr>
        <w:pStyle w:val="paragraph"/>
      </w:pPr>
      <w:r w:rsidRPr="00385045">
        <w:tab/>
        <w:t>(a)</w:t>
      </w:r>
      <w:r w:rsidRPr="00385045">
        <w:tab/>
        <w:t>for each month in which the service is so provided; and</w:t>
      </w:r>
    </w:p>
    <w:p w:rsidR="00203A17" w:rsidRPr="00385045" w:rsidRDefault="00203A17" w:rsidP="00385045">
      <w:pPr>
        <w:pStyle w:val="paragraph"/>
      </w:pPr>
      <w:r w:rsidRPr="00385045">
        <w:tab/>
        <w:t>(b)</w:t>
      </w:r>
      <w:r w:rsidRPr="00385045">
        <w:tab/>
        <w:t>that contains the particulars prescribed by the regulations.</w:t>
      </w:r>
    </w:p>
    <w:p w:rsidR="00903615" w:rsidRPr="00385045" w:rsidRDefault="00105F33" w:rsidP="00385045">
      <w:pPr>
        <w:pStyle w:val="ItemHead"/>
      </w:pPr>
      <w:r w:rsidRPr="00385045">
        <w:t>18</w:t>
      </w:r>
      <w:r w:rsidR="00903615" w:rsidRPr="00385045">
        <w:t xml:space="preserve">  Subsection</w:t>
      </w:r>
      <w:r w:rsidR="00385045" w:rsidRPr="00385045">
        <w:t> </w:t>
      </w:r>
      <w:r w:rsidR="00903615" w:rsidRPr="00385045">
        <w:t>9(1)</w:t>
      </w:r>
    </w:p>
    <w:p w:rsidR="00903615" w:rsidRPr="00385045" w:rsidRDefault="00903615" w:rsidP="00385045">
      <w:pPr>
        <w:pStyle w:val="Item"/>
      </w:pPr>
      <w:r w:rsidRPr="00385045">
        <w:t>Omit “a prescribed commodity shall”, substitute “prescribed goods must”.</w:t>
      </w:r>
    </w:p>
    <w:p w:rsidR="00903615" w:rsidRPr="00385045" w:rsidRDefault="00105F33" w:rsidP="00385045">
      <w:pPr>
        <w:pStyle w:val="ItemHead"/>
      </w:pPr>
      <w:r w:rsidRPr="00385045">
        <w:t>19</w:t>
      </w:r>
      <w:r w:rsidR="00903615" w:rsidRPr="00385045">
        <w:t xml:space="preserve">  Subsection</w:t>
      </w:r>
      <w:r w:rsidR="00385045" w:rsidRPr="00385045">
        <w:t> </w:t>
      </w:r>
      <w:r w:rsidR="00903615" w:rsidRPr="00385045">
        <w:t>9(1)</w:t>
      </w:r>
    </w:p>
    <w:p w:rsidR="00903615" w:rsidRPr="00385045" w:rsidRDefault="00903615" w:rsidP="00385045">
      <w:pPr>
        <w:pStyle w:val="Item"/>
      </w:pPr>
      <w:r w:rsidRPr="00385045">
        <w:t>Omit “that prescribed commodity”, substitute “</w:t>
      </w:r>
      <w:r w:rsidR="006711B6" w:rsidRPr="00385045">
        <w:t xml:space="preserve">the </w:t>
      </w:r>
      <w:r w:rsidRPr="00385045">
        <w:t>prescribed goods”.</w:t>
      </w:r>
    </w:p>
    <w:p w:rsidR="00903615" w:rsidRPr="00385045" w:rsidRDefault="00105F33" w:rsidP="00385045">
      <w:pPr>
        <w:pStyle w:val="ItemHead"/>
      </w:pPr>
      <w:r w:rsidRPr="00385045">
        <w:t>20</w:t>
      </w:r>
      <w:r w:rsidR="00903615" w:rsidRPr="00385045">
        <w:t xml:space="preserve">  Subsection</w:t>
      </w:r>
      <w:r w:rsidR="00385045" w:rsidRPr="00385045">
        <w:t> </w:t>
      </w:r>
      <w:r w:rsidR="00903615" w:rsidRPr="00385045">
        <w:t>9(1)</w:t>
      </w:r>
    </w:p>
    <w:p w:rsidR="00903615" w:rsidRPr="00385045" w:rsidRDefault="00903615" w:rsidP="00385045">
      <w:pPr>
        <w:pStyle w:val="Item"/>
      </w:pPr>
      <w:r w:rsidRPr="00385045">
        <w:t>Omit “subsection</w:t>
      </w:r>
      <w:r w:rsidR="00385045" w:rsidRPr="00385045">
        <w:t> </w:t>
      </w:r>
      <w:r w:rsidRPr="00385045">
        <w:t>6(1)”, substitute “section</w:t>
      </w:r>
      <w:r w:rsidR="00385045" w:rsidRPr="00385045">
        <w:t> </w:t>
      </w:r>
      <w:r w:rsidRPr="00385045">
        <w:t>6”.</w:t>
      </w:r>
    </w:p>
    <w:p w:rsidR="00855D53" w:rsidRPr="00385045" w:rsidRDefault="00105F33" w:rsidP="00385045">
      <w:pPr>
        <w:pStyle w:val="ItemHead"/>
      </w:pPr>
      <w:r w:rsidRPr="00385045">
        <w:t>21</w:t>
      </w:r>
      <w:r w:rsidR="00855D53" w:rsidRPr="00385045">
        <w:t xml:space="preserve">  Paragraph 12(1)(a)</w:t>
      </w:r>
    </w:p>
    <w:p w:rsidR="00855D53" w:rsidRPr="00385045" w:rsidRDefault="00855D53" w:rsidP="00385045">
      <w:pPr>
        <w:pStyle w:val="Item"/>
      </w:pPr>
      <w:r w:rsidRPr="00385045">
        <w:t>Omit “a prescribed commodity”, substitute “prescribed goods”.</w:t>
      </w:r>
    </w:p>
    <w:p w:rsidR="00855D53" w:rsidRPr="00385045" w:rsidRDefault="00105F33" w:rsidP="00385045">
      <w:pPr>
        <w:pStyle w:val="ItemHead"/>
      </w:pPr>
      <w:r w:rsidRPr="00385045">
        <w:t>22</w:t>
      </w:r>
      <w:r w:rsidR="00855D53" w:rsidRPr="00385045">
        <w:t xml:space="preserve">  Paragraph 12(1)(b)</w:t>
      </w:r>
    </w:p>
    <w:p w:rsidR="00855D53" w:rsidRPr="00385045" w:rsidRDefault="00855D53" w:rsidP="00385045">
      <w:pPr>
        <w:pStyle w:val="Item"/>
      </w:pPr>
      <w:r w:rsidRPr="00385045">
        <w:t>Omit “that prescribed commodity”, substitute “the prescribed goods”.</w:t>
      </w:r>
    </w:p>
    <w:p w:rsidR="00CE4814" w:rsidRPr="00385045" w:rsidRDefault="00105F33" w:rsidP="00385045">
      <w:pPr>
        <w:pStyle w:val="ItemHead"/>
      </w:pPr>
      <w:r w:rsidRPr="00385045">
        <w:t>23</w:t>
      </w:r>
      <w:r w:rsidR="00CE4814" w:rsidRPr="00385045">
        <w:t xml:space="preserve">  Section</w:t>
      </w:r>
      <w:r w:rsidR="00385045" w:rsidRPr="00385045">
        <w:t> </w:t>
      </w:r>
      <w:r w:rsidR="00CE4814" w:rsidRPr="00385045">
        <w:t>16B</w:t>
      </w:r>
    </w:p>
    <w:p w:rsidR="009D50AA" w:rsidRPr="00385045" w:rsidRDefault="009D50AA" w:rsidP="00385045">
      <w:pPr>
        <w:pStyle w:val="Item"/>
      </w:pPr>
      <w:r w:rsidRPr="00385045">
        <w:t>Repeal the section, substitute:</w:t>
      </w:r>
    </w:p>
    <w:p w:rsidR="009D50AA" w:rsidRPr="00385045" w:rsidRDefault="009D50AA" w:rsidP="00385045">
      <w:pPr>
        <w:pStyle w:val="ActHead5"/>
      </w:pPr>
      <w:bookmarkStart w:id="13" w:name="_Toc391620905"/>
      <w:r w:rsidRPr="00385045">
        <w:rPr>
          <w:rStyle w:val="CharSectno"/>
        </w:rPr>
        <w:t>16B</w:t>
      </w:r>
      <w:r w:rsidRPr="00385045">
        <w:t xml:space="preserve">  Delegation by Secretary</w:t>
      </w:r>
      <w:bookmarkEnd w:id="13"/>
    </w:p>
    <w:p w:rsidR="00BE1124" w:rsidRPr="00385045" w:rsidRDefault="00BE1124" w:rsidP="00385045">
      <w:pPr>
        <w:pStyle w:val="subsection"/>
      </w:pPr>
      <w:r w:rsidRPr="00385045">
        <w:tab/>
      </w:r>
      <w:r w:rsidRPr="00385045">
        <w:tab/>
        <w:t>The Secretary may delegate, in writing, the Secretary’s power under section</w:t>
      </w:r>
      <w:r w:rsidR="00385045" w:rsidRPr="00385045">
        <w:t> </w:t>
      </w:r>
      <w:r w:rsidRPr="00385045">
        <w:t>12A to an SES employee, or acting SES employee, in the Department.</w:t>
      </w:r>
    </w:p>
    <w:p w:rsidR="00855D53" w:rsidRPr="00385045" w:rsidRDefault="00105F33" w:rsidP="00385045">
      <w:pPr>
        <w:pStyle w:val="ItemHead"/>
      </w:pPr>
      <w:r w:rsidRPr="00385045">
        <w:t>24</w:t>
      </w:r>
      <w:r w:rsidR="00855D53" w:rsidRPr="00385045">
        <w:t xml:space="preserve">  Paragraph 17(c)</w:t>
      </w:r>
    </w:p>
    <w:p w:rsidR="00855D53" w:rsidRPr="00385045" w:rsidRDefault="00855D53" w:rsidP="00385045">
      <w:pPr>
        <w:pStyle w:val="Item"/>
      </w:pPr>
      <w:r w:rsidRPr="00385045">
        <w:t>Omit “a prescribed commodity”, substitute “prescribed goods”.</w:t>
      </w:r>
    </w:p>
    <w:p w:rsidR="00855D53" w:rsidRPr="00385045" w:rsidRDefault="00105F33" w:rsidP="00385045">
      <w:pPr>
        <w:pStyle w:val="ItemHead"/>
      </w:pPr>
      <w:r w:rsidRPr="00385045">
        <w:t>25</w:t>
      </w:r>
      <w:r w:rsidR="00855D53" w:rsidRPr="00385045">
        <w:t xml:space="preserve">  At the end of section</w:t>
      </w:r>
      <w:r w:rsidR="00385045" w:rsidRPr="00385045">
        <w:t> </w:t>
      </w:r>
      <w:r w:rsidR="00855D53" w:rsidRPr="00385045">
        <w:t>17</w:t>
      </w:r>
    </w:p>
    <w:p w:rsidR="00855D53" w:rsidRPr="00385045" w:rsidRDefault="00855D53" w:rsidP="00385045">
      <w:pPr>
        <w:pStyle w:val="Item"/>
      </w:pPr>
      <w:r w:rsidRPr="00385045">
        <w:t>Add:</w:t>
      </w:r>
    </w:p>
    <w:p w:rsidR="00855D53" w:rsidRPr="00385045" w:rsidRDefault="00855D53" w:rsidP="00385045">
      <w:pPr>
        <w:pStyle w:val="notetext"/>
      </w:pPr>
      <w:r w:rsidRPr="00385045">
        <w:lastRenderedPageBreak/>
        <w:t>N</w:t>
      </w:r>
      <w:r w:rsidR="00DC1BBA" w:rsidRPr="00385045">
        <w:t>ote:</w:t>
      </w:r>
      <w:r w:rsidR="00DC1BBA" w:rsidRPr="00385045">
        <w:tab/>
        <w:t>Regulations may prescribe some</w:t>
      </w:r>
      <w:r w:rsidRPr="00385045">
        <w:t>thing by class (see subsection</w:t>
      </w:r>
      <w:r w:rsidR="00385045" w:rsidRPr="00385045">
        <w:t> </w:t>
      </w:r>
      <w:r w:rsidRPr="00385045">
        <w:t xml:space="preserve">13(3) of the </w:t>
      </w:r>
      <w:r w:rsidRPr="00385045">
        <w:rPr>
          <w:i/>
        </w:rPr>
        <w:t>Legislative Instruments Act 2003</w:t>
      </w:r>
      <w:r w:rsidRPr="00385045">
        <w:t>).</w:t>
      </w:r>
    </w:p>
    <w:p w:rsidR="00A60D54" w:rsidRPr="00385045" w:rsidRDefault="00105F33" w:rsidP="00385045">
      <w:pPr>
        <w:pStyle w:val="ItemHead"/>
      </w:pPr>
      <w:r w:rsidRPr="00385045">
        <w:t>26</w:t>
      </w:r>
      <w:r w:rsidR="00A60D54" w:rsidRPr="00385045">
        <w:t xml:space="preserve">  Application of amendments</w:t>
      </w:r>
    </w:p>
    <w:p w:rsidR="00A60D54" w:rsidRPr="00385045" w:rsidRDefault="00FD3AF4" w:rsidP="00385045">
      <w:pPr>
        <w:pStyle w:val="Subitem"/>
      </w:pPr>
      <w:r w:rsidRPr="00385045">
        <w:t>(1)</w:t>
      </w:r>
      <w:r w:rsidRPr="00385045">
        <w:tab/>
      </w:r>
      <w:r w:rsidR="00A60D54" w:rsidRPr="00385045">
        <w:t>The amendments made by items</w:t>
      </w:r>
      <w:r w:rsidR="00385045" w:rsidRPr="00385045">
        <w:t> </w:t>
      </w:r>
      <w:r w:rsidR="00A60D54" w:rsidRPr="00385045">
        <w:t>5</w:t>
      </w:r>
      <w:r w:rsidR="00AC4191" w:rsidRPr="00385045">
        <w:t>, 7, 8, 10 to 12, 15 to</w:t>
      </w:r>
      <w:r w:rsidR="00903615" w:rsidRPr="00385045">
        <w:t xml:space="preserve"> 2</w:t>
      </w:r>
      <w:r w:rsidR="009D50AA" w:rsidRPr="00385045">
        <w:t>2 and 24</w:t>
      </w:r>
      <w:r w:rsidR="00A35F68" w:rsidRPr="00385045">
        <w:t xml:space="preserve"> </w:t>
      </w:r>
      <w:r w:rsidR="00A60D54" w:rsidRPr="00385045">
        <w:t>apply in relation to</w:t>
      </w:r>
      <w:r w:rsidR="00032C69" w:rsidRPr="00385045">
        <w:t xml:space="preserve"> </w:t>
      </w:r>
      <w:r w:rsidR="00A60D54" w:rsidRPr="00385045">
        <w:t xml:space="preserve">export permits granted on or after the first day of the first financial year starting on or after </w:t>
      </w:r>
      <w:r w:rsidR="00E327AB" w:rsidRPr="00385045">
        <w:t>the commencement of those items</w:t>
      </w:r>
      <w:r w:rsidR="00032C69" w:rsidRPr="00385045">
        <w:t>.</w:t>
      </w:r>
    </w:p>
    <w:p w:rsidR="00532011" w:rsidRPr="00385045" w:rsidRDefault="00AC4191" w:rsidP="00385045">
      <w:pPr>
        <w:pStyle w:val="Subitem"/>
      </w:pPr>
      <w:r w:rsidRPr="00385045">
        <w:t>(2</w:t>
      </w:r>
      <w:r w:rsidR="00532011" w:rsidRPr="00385045">
        <w:t>)</w:t>
      </w:r>
      <w:r w:rsidR="00532011" w:rsidRPr="00385045">
        <w:tab/>
        <w:t>The amendments made by items</w:t>
      </w:r>
      <w:r w:rsidR="00385045" w:rsidRPr="00385045">
        <w:t> </w:t>
      </w:r>
      <w:r w:rsidR="00532011" w:rsidRPr="00385045">
        <w:t>6 and 9 apply in relation to establishments registered (or whose registration</w:t>
      </w:r>
      <w:r w:rsidR="00501DA0" w:rsidRPr="00385045">
        <w:t>s</w:t>
      </w:r>
      <w:r w:rsidR="00532011" w:rsidRPr="00385045">
        <w:t xml:space="preserve"> </w:t>
      </w:r>
      <w:r w:rsidR="00501DA0" w:rsidRPr="00385045">
        <w:t>are</w:t>
      </w:r>
      <w:r w:rsidR="00532011" w:rsidRPr="00385045">
        <w:t xml:space="preserve"> renewed) on or after the first day of the first financial year starting on or after the commencement of this Schedule</w:t>
      </w:r>
      <w:r w:rsidR="003F4E60" w:rsidRPr="00385045">
        <w:t>.</w:t>
      </w:r>
    </w:p>
    <w:p w:rsidR="00BF7CC0" w:rsidRPr="00385045" w:rsidRDefault="00AC4191" w:rsidP="00385045">
      <w:pPr>
        <w:pStyle w:val="Subitem"/>
      </w:pPr>
      <w:r w:rsidRPr="00385045">
        <w:t>(3</w:t>
      </w:r>
      <w:r w:rsidR="00BF7CC0" w:rsidRPr="00385045">
        <w:t>)</w:t>
      </w:r>
      <w:r w:rsidR="00BF7CC0" w:rsidRPr="00385045">
        <w:tab/>
        <w:t>The amendments made by items</w:t>
      </w:r>
      <w:r w:rsidR="00385045" w:rsidRPr="00385045">
        <w:t> </w:t>
      </w:r>
      <w:r w:rsidR="00BF7CC0" w:rsidRPr="00385045">
        <w:t>13 and 14 apply in relation to attendances happening on or after the first day of the first financial year starting on or after the commencement of those items.</w:t>
      </w:r>
    </w:p>
    <w:p w:rsidR="000545B0" w:rsidRPr="00385045" w:rsidRDefault="00105F33" w:rsidP="00385045">
      <w:pPr>
        <w:pStyle w:val="ItemHead"/>
      </w:pPr>
      <w:r w:rsidRPr="00385045">
        <w:t>27</w:t>
      </w:r>
      <w:r w:rsidR="000545B0" w:rsidRPr="00385045">
        <w:t xml:space="preserve">  Transitional—</w:t>
      </w:r>
      <w:r w:rsidR="004040D0" w:rsidRPr="00385045">
        <w:t>initial regulations</w:t>
      </w:r>
    </w:p>
    <w:p w:rsidR="004040D0" w:rsidRPr="00385045" w:rsidRDefault="004040D0" w:rsidP="00385045">
      <w:pPr>
        <w:pStyle w:val="Subitem"/>
        <w:rPr>
          <w:i/>
          <w:iCs/>
          <w:sz w:val="24"/>
          <w:szCs w:val="24"/>
        </w:rPr>
      </w:pPr>
      <w:r w:rsidRPr="00385045">
        <w:t>(1)</w:t>
      </w:r>
      <w:r w:rsidRPr="00385045">
        <w:tab/>
        <w:t xml:space="preserve">This item applies to the </w:t>
      </w:r>
      <w:r w:rsidRPr="00385045">
        <w:rPr>
          <w:i/>
        </w:rPr>
        <w:t>Export Inspection and Meat Charges Collection Regulations</w:t>
      </w:r>
      <w:r w:rsidR="00385045" w:rsidRPr="00385045">
        <w:rPr>
          <w:i/>
        </w:rPr>
        <w:t> </w:t>
      </w:r>
      <w:r w:rsidRPr="00385045">
        <w:rPr>
          <w:i/>
        </w:rPr>
        <w:t>1985</w:t>
      </w:r>
      <w:r w:rsidRPr="00385045">
        <w:rPr>
          <w:i/>
          <w:iCs/>
          <w:sz w:val="24"/>
          <w:szCs w:val="24"/>
        </w:rPr>
        <w:t xml:space="preserve"> </w:t>
      </w:r>
      <w:r w:rsidRPr="00385045">
        <w:rPr>
          <w:szCs w:val="22"/>
        </w:rPr>
        <w:t>(</w:t>
      </w:r>
      <w:r w:rsidRPr="00385045">
        <w:t>as in force immediately before the commencement of this item).</w:t>
      </w:r>
    </w:p>
    <w:p w:rsidR="004040D0" w:rsidRPr="00385045" w:rsidRDefault="004040D0" w:rsidP="00385045">
      <w:pPr>
        <w:pStyle w:val="Subitem"/>
      </w:pPr>
      <w:r w:rsidRPr="00385045">
        <w:t>(2)</w:t>
      </w:r>
      <w:r w:rsidRPr="00385045">
        <w:tab/>
        <w:t xml:space="preserve">The regulations (to the extent that they specify or refer to commodities) have effect, after the commencement of this item, as if any of those commodities that is not a prescribed good (within the meaning of the </w:t>
      </w:r>
      <w:r w:rsidRPr="00385045">
        <w:rPr>
          <w:i/>
        </w:rPr>
        <w:t>Export Control Act 1982</w:t>
      </w:r>
      <w:r w:rsidRPr="00385045">
        <w:t>) were disregarded.</w:t>
      </w:r>
    </w:p>
    <w:p w:rsidR="001C6BFC" w:rsidRPr="00385045" w:rsidRDefault="001C6BFC" w:rsidP="00385045">
      <w:pPr>
        <w:pStyle w:val="Subitem"/>
      </w:pPr>
      <w:r w:rsidRPr="00385045">
        <w:t>(3)</w:t>
      </w:r>
      <w:r w:rsidRPr="00385045">
        <w:tab/>
      </w:r>
      <w:proofErr w:type="spellStart"/>
      <w:r w:rsidR="00385045" w:rsidRPr="00385045">
        <w:t>Subitem</w:t>
      </w:r>
      <w:proofErr w:type="spellEnd"/>
      <w:r w:rsidR="00385045" w:rsidRPr="00385045">
        <w:t> (</w:t>
      </w:r>
      <w:r w:rsidRPr="00385045">
        <w:t xml:space="preserve">2) does not apply to the extent that the regulations relate to charge imposed by the </w:t>
      </w:r>
      <w:r w:rsidRPr="00385045">
        <w:rPr>
          <w:i/>
        </w:rPr>
        <w:t>Domestic Meat Premises Charge Act 1993</w:t>
      </w:r>
      <w:r w:rsidRPr="00385045">
        <w:t>.</w:t>
      </w:r>
    </w:p>
    <w:p w:rsidR="0082632B" w:rsidRPr="00385045" w:rsidRDefault="0082632B" w:rsidP="00385045">
      <w:pPr>
        <w:pStyle w:val="Subitem"/>
      </w:pPr>
      <w:r w:rsidRPr="00385045">
        <w:t>(4)</w:t>
      </w:r>
      <w:r w:rsidRPr="00385045">
        <w:tab/>
        <w:t xml:space="preserve">The regulations have effect, after the commencement of this item, as if a reference in the regulations to a prescribed commodity were a reference to a prescribed good (within the meaning of the </w:t>
      </w:r>
      <w:r w:rsidRPr="00385045">
        <w:rPr>
          <w:i/>
        </w:rPr>
        <w:t>Export Control Act 1982</w:t>
      </w:r>
      <w:r w:rsidRPr="00385045">
        <w:t>).</w:t>
      </w:r>
    </w:p>
    <w:p w:rsidR="004040D0" w:rsidRPr="00385045" w:rsidRDefault="004040D0" w:rsidP="00385045">
      <w:pPr>
        <w:pStyle w:val="Subitem"/>
      </w:pPr>
      <w:r w:rsidRPr="00385045">
        <w:t>(</w:t>
      </w:r>
      <w:r w:rsidR="0082632B" w:rsidRPr="00385045">
        <w:t>5</w:t>
      </w:r>
      <w:r w:rsidRPr="00385045">
        <w:t>)</w:t>
      </w:r>
      <w:r w:rsidRPr="00385045">
        <w:tab/>
        <w:t>The regulations (to the extent that they were made for the purposes of section</w:t>
      </w:r>
      <w:r w:rsidR="00385045" w:rsidRPr="00385045">
        <w:t> </w:t>
      </w:r>
      <w:r w:rsidRPr="00385045">
        <w:t xml:space="preserve">6 or 6A of the </w:t>
      </w:r>
      <w:r w:rsidRPr="00385045">
        <w:rPr>
          <w:i/>
        </w:rPr>
        <w:t>Export Inspection and Meat Charges Collection Act 1985</w:t>
      </w:r>
      <w:r w:rsidRPr="00385045">
        <w:t>) have effect, after the commencement of this item, as if they were made for the purposes of that section as amended by this Act.</w:t>
      </w:r>
    </w:p>
    <w:p w:rsidR="00B51BB3" w:rsidRPr="00385045" w:rsidRDefault="00B51BB3" w:rsidP="00385045">
      <w:pPr>
        <w:pStyle w:val="ActHead9"/>
        <w:rPr>
          <w:i w:val="0"/>
        </w:rPr>
      </w:pPr>
      <w:bookmarkStart w:id="14" w:name="_Toc391620906"/>
      <w:r w:rsidRPr="00385045">
        <w:lastRenderedPageBreak/>
        <w:t>Imported Food Control Act 1992</w:t>
      </w:r>
      <w:bookmarkEnd w:id="14"/>
    </w:p>
    <w:p w:rsidR="00B51BB3" w:rsidRPr="00385045" w:rsidRDefault="00105F33" w:rsidP="00385045">
      <w:pPr>
        <w:pStyle w:val="ItemHead"/>
      </w:pPr>
      <w:r w:rsidRPr="00385045">
        <w:t>28</w:t>
      </w:r>
      <w:r w:rsidR="00B51BB3" w:rsidRPr="00385045">
        <w:t xml:space="preserve">  Subsection</w:t>
      </w:r>
      <w:r w:rsidR="00385045" w:rsidRPr="00385045">
        <w:t> </w:t>
      </w:r>
      <w:r w:rsidR="00B51BB3" w:rsidRPr="00385045">
        <w:t xml:space="preserve">3(1) (definition of </w:t>
      </w:r>
      <w:r w:rsidR="00B51BB3" w:rsidRPr="00385045">
        <w:rPr>
          <w:i/>
        </w:rPr>
        <w:t>AQIS</w:t>
      </w:r>
      <w:r w:rsidR="00B51BB3" w:rsidRPr="00385045">
        <w:t>)</w:t>
      </w:r>
    </w:p>
    <w:p w:rsidR="00B51BB3" w:rsidRPr="00385045" w:rsidRDefault="00B51BB3" w:rsidP="00385045">
      <w:pPr>
        <w:pStyle w:val="Item"/>
      </w:pPr>
      <w:r w:rsidRPr="00385045">
        <w:t>Repeal the definition.</w:t>
      </w:r>
    </w:p>
    <w:p w:rsidR="00B51BB3" w:rsidRPr="00385045" w:rsidRDefault="00105F33" w:rsidP="00385045">
      <w:pPr>
        <w:pStyle w:val="ItemHead"/>
      </w:pPr>
      <w:r w:rsidRPr="00385045">
        <w:t>29</w:t>
      </w:r>
      <w:r w:rsidR="00B51BB3" w:rsidRPr="00385045">
        <w:t xml:space="preserve">  Subsection</w:t>
      </w:r>
      <w:r w:rsidR="00385045" w:rsidRPr="00385045">
        <w:t> </w:t>
      </w:r>
      <w:r w:rsidR="00B51BB3" w:rsidRPr="00385045">
        <w:t>3(1) (</w:t>
      </w:r>
      <w:r w:rsidR="00385045" w:rsidRPr="00385045">
        <w:t>paragraph (</w:t>
      </w:r>
      <w:r w:rsidR="00B51BB3" w:rsidRPr="00385045">
        <w:t xml:space="preserve">b) of the definition of </w:t>
      </w:r>
      <w:r w:rsidR="00B51BB3" w:rsidRPr="00385045">
        <w:rPr>
          <w:i/>
        </w:rPr>
        <w:t>authorised officer</w:t>
      </w:r>
      <w:r w:rsidR="00B51BB3" w:rsidRPr="00385045">
        <w:t>)</w:t>
      </w:r>
    </w:p>
    <w:p w:rsidR="00B51BB3" w:rsidRPr="00385045" w:rsidRDefault="00B51BB3" w:rsidP="00385045">
      <w:pPr>
        <w:pStyle w:val="Item"/>
      </w:pPr>
      <w:r w:rsidRPr="00385045">
        <w:t>Omit “</w:t>
      </w:r>
      <w:r w:rsidR="00A04013" w:rsidRPr="00385045">
        <w:t xml:space="preserve">an </w:t>
      </w:r>
      <w:r w:rsidRPr="00385045">
        <w:t>officer of AQIS”, substitute “</w:t>
      </w:r>
      <w:r w:rsidR="00A04013" w:rsidRPr="00385045">
        <w:t>a</w:t>
      </w:r>
      <w:r w:rsidR="00150533" w:rsidRPr="00385045">
        <w:t xml:space="preserve">n </w:t>
      </w:r>
      <w:r w:rsidR="007034BA" w:rsidRPr="00385045">
        <w:t xml:space="preserve">APS </w:t>
      </w:r>
      <w:r w:rsidR="00150533" w:rsidRPr="00385045">
        <w:t>employee in the</w:t>
      </w:r>
      <w:r w:rsidR="00A04013" w:rsidRPr="00385045">
        <w:t xml:space="preserve"> </w:t>
      </w:r>
      <w:r w:rsidR="007B0864" w:rsidRPr="00385045">
        <w:t>Department</w:t>
      </w:r>
      <w:r w:rsidRPr="00385045">
        <w:t>”.</w:t>
      </w:r>
    </w:p>
    <w:p w:rsidR="00B51BB3" w:rsidRPr="00385045" w:rsidRDefault="00105F33" w:rsidP="00385045">
      <w:pPr>
        <w:pStyle w:val="ItemHead"/>
      </w:pPr>
      <w:r w:rsidRPr="00385045">
        <w:t>30</w:t>
      </w:r>
      <w:r w:rsidR="00B51BB3" w:rsidRPr="00385045">
        <w:t xml:space="preserve">  Subsection</w:t>
      </w:r>
      <w:r w:rsidR="00385045" w:rsidRPr="00385045">
        <w:t> </w:t>
      </w:r>
      <w:r w:rsidR="00B51BB3" w:rsidRPr="00385045">
        <w:t>40(1)</w:t>
      </w:r>
    </w:p>
    <w:p w:rsidR="00B51BB3" w:rsidRPr="00385045" w:rsidRDefault="00B51BB3" w:rsidP="00385045">
      <w:pPr>
        <w:pStyle w:val="Item"/>
      </w:pPr>
      <w:r w:rsidRPr="00385045">
        <w:t>Omit “</w:t>
      </w:r>
      <w:r w:rsidR="00A04013" w:rsidRPr="00385045">
        <w:t xml:space="preserve">an </w:t>
      </w:r>
      <w:r w:rsidRPr="00385045">
        <w:t>officer of AQIS”, substitute “</w:t>
      </w:r>
      <w:r w:rsidR="00150533" w:rsidRPr="00385045">
        <w:t>an APS employee in the Department</w:t>
      </w:r>
      <w:r w:rsidRPr="00385045">
        <w:t>”.</w:t>
      </w:r>
    </w:p>
    <w:p w:rsidR="00150533" w:rsidRPr="00385045" w:rsidRDefault="00105F33" w:rsidP="00385045">
      <w:pPr>
        <w:pStyle w:val="ItemHead"/>
      </w:pPr>
      <w:r w:rsidRPr="00385045">
        <w:t>31</w:t>
      </w:r>
      <w:r w:rsidR="00B51BB3" w:rsidRPr="00385045">
        <w:t xml:space="preserve">  </w:t>
      </w:r>
      <w:r w:rsidR="00150533" w:rsidRPr="00385045">
        <w:t>Section</w:t>
      </w:r>
      <w:r w:rsidR="00385045" w:rsidRPr="00385045">
        <w:t> </w:t>
      </w:r>
      <w:r w:rsidR="00150533" w:rsidRPr="00385045">
        <w:t>41</w:t>
      </w:r>
    </w:p>
    <w:p w:rsidR="00150533" w:rsidRPr="00385045" w:rsidRDefault="00150533" w:rsidP="00385045">
      <w:pPr>
        <w:pStyle w:val="Item"/>
      </w:pPr>
      <w:r w:rsidRPr="00385045">
        <w:t>Repeal the section, substitute:</w:t>
      </w:r>
    </w:p>
    <w:p w:rsidR="00150533" w:rsidRPr="00385045" w:rsidRDefault="00150533" w:rsidP="00385045">
      <w:pPr>
        <w:pStyle w:val="ActHead5"/>
      </w:pPr>
      <w:bookmarkStart w:id="15" w:name="_Toc391620907"/>
      <w:r w:rsidRPr="00385045">
        <w:rPr>
          <w:rStyle w:val="CharSectno"/>
        </w:rPr>
        <w:t>41</w:t>
      </w:r>
      <w:r w:rsidRPr="00385045">
        <w:t xml:space="preserve">  Delegation by Secretary</w:t>
      </w:r>
      <w:bookmarkEnd w:id="15"/>
    </w:p>
    <w:p w:rsidR="00150533" w:rsidRPr="00385045" w:rsidRDefault="00150533" w:rsidP="00385045">
      <w:pPr>
        <w:pStyle w:val="subsection"/>
      </w:pPr>
      <w:r w:rsidRPr="00385045">
        <w:tab/>
      </w:r>
      <w:r w:rsidRPr="00385045">
        <w:tab/>
        <w:t>The Secretary may</w:t>
      </w:r>
      <w:r w:rsidR="00A3188F" w:rsidRPr="00385045">
        <w:t>, by signed instrument, delegate</w:t>
      </w:r>
      <w:r w:rsidRPr="00385045">
        <w:t xml:space="preserve"> any or all of the Secretary’s powers under this Act to:</w:t>
      </w:r>
    </w:p>
    <w:p w:rsidR="00150533" w:rsidRPr="00385045" w:rsidRDefault="00150533" w:rsidP="00385045">
      <w:pPr>
        <w:pStyle w:val="paragraph"/>
      </w:pPr>
      <w:r w:rsidRPr="00385045">
        <w:tab/>
        <w:t>(a)</w:t>
      </w:r>
      <w:r w:rsidRPr="00385045">
        <w:tab/>
        <w:t>an SES employee, or acting SES employee, in the Department; or</w:t>
      </w:r>
    </w:p>
    <w:p w:rsidR="0099787C" w:rsidRDefault="00150533" w:rsidP="00385045">
      <w:pPr>
        <w:pStyle w:val="paragraph"/>
      </w:pPr>
      <w:r w:rsidRPr="00385045">
        <w:tab/>
        <w:t>(b)</w:t>
      </w:r>
      <w:r w:rsidRPr="00385045">
        <w:tab/>
        <w:t>an APS employee who holds or performs the duties of an Executive Level 1 or 2 position, or an equivalent position, in the Department.</w:t>
      </w:r>
    </w:p>
    <w:p w:rsidR="00220AD6" w:rsidRDefault="00220AD6" w:rsidP="00220AD6">
      <w:pPr>
        <w:pStyle w:val="AssentBk"/>
        <w:keepNext/>
      </w:pPr>
    </w:p>
    <w:p w:rsidR="00220AD6" w:rsidRDefault="00220AD6" w:rsidP="00220AD6">
      <w:pPr>
        <w:pStyle w:val="AssentBk"/>
        <w:keepNext/>
      </w:pPr>
    </w:p>
    <w:p w:rsidR="00220AD6" w:rsidRDefault="00220AD6" w:rsidP="00220AD6"/>
    <w:p w:rsidR="00220AD6" w:rsidRDefault="00220AD6" w:rsidP="00220AD6">
      <w:pPr>
        <w:pStyle w:val="2ndRd"/>
        <w:keepNext/>
        <w:pBdr>
          <w:top w:val="single" w:sz="2" w:space="1" w:color="auto"/>
        </w:pBdr>
      </w:pPr>
    </w:p>
    <w:p w:rsidR="00220AD6" w:rsidRDefault="00220AD6" w:rsidP="00220AD6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220AD6" w:rsidRDefault="00220AD6" w:rsidP="00220AD6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27 March 2014</w:t>
      </w:r>
    </w:p>
    <w:p w:rsidR="00220AD6" w:rsidRDefault="00220AD6" w:rsidP="00220AD6">
      <w:pPr>
        <w:pStyle w:val="2ndRd"/>
        <w:keepNext/>
        <w:spacing w:line="260" w:lineRule="atLeast"/>
        <w:rPr>
          <w:i/>
        </w:rPr>
      </w:pPr>
      <w:r>
        <w:rPr>
          <w:i/>
        </w:rPr>
        <w:t>Senate on 16 June 2014</w:t>
      </w:r>
      <w:r>
        <w:t>]</w:t>
      </w:r>
    </w:p>
    <w:p w:rsidR="00220AD6" w:rsidRDefault="00220AD6" w:rsidP="00220AD6">
      <w:pPr>
        <w:framePr w:hSpace="180" w:wrap="around" w:vAnchor="text" w:hAnchor="page" w:x="2401" w:y="1669"/>
      </w:pPr>
      <w:r>
        <w:t>(68/14)</w:t>
      </w:r>
    </w:p>
    <w:p w:rsidR="00220AD6" w:rsidRDefault="00220AD6" w:rsidP="00220AD6"/>
    <w:p w:rsidR="00220AD6" w:rsidRDefault="00220AD6" w:rsidP="00385045">
      <w:pPr>
        <w:pStyle w:val="paragraph"/>
        <w:sectPr w:rsidR="00220AD6" w:rsidSect="00A71A47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220AD6" w:rsidRDefault="00220AD6" w:rsidP="00220AD6">
      <w:pPr>
        <w:pStyle w:val="paragraph"/>
      </w:pPr>
    </w:p>
    <w:sectPr w:rsidR="00220AD6" w:rsidSect="00220AD6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type w:val="continuous"/>
      <w:pgSz w:w="11907" w:h="16839"/>
      <w:pgMar w:top="1871" w:right="2409" w:bottom="4252" w:left="2409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B06" w:rsidRDefault="00C07B06" w:rsidP="0048364F">
      <w:pPr>
        <w:spacing w:line="240" w:lineRule="auto"/>
      </w:pPr>
      <w:r>
        <w:separator/>
      </w:r>
    </w:p>
  </w:endnote>
  <w:endnote w:type="continuationSeparator" w:id="0">
    <w:p w:rsidR="00C07B06" w:rsidRDefault="00C07B0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38504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A47" w:rsidRPr="00A961C4" w:rsidRDefault="00A71A47" w:rsidP="0038504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A71A47" w:rsidTr="00385045">
      <w:tc>
        <w:tcPr>
          <w:tcW w:w="1247" w:type="dxa"/>
        </w:tcPr>
        <w:p w:rsidR="00A71A47" w:rsidRDefault="00A71A47" w:rsidP="0066090A">
          <w:pPr>
            <w:rPr>
              <w:sz w:val="18"/>
            </w:rPr>
          </w:pPr>
          <w:r>
            <w:rPr>
              <w:i/>
              <w:sz w:val="18"/>
            </w:rPr>
            <w:t>No.      , 2014</w:t>
          </w:r>
        </w:p>
      </w:tc>
      <w:tc>
        <w:tcPr>
          <w:tcW w:w="5387" w:type="dxa"/>
        </w:tcPr>
        <w:p w:rsidR="00A71A47" w:rsidRDefault="00A71A47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Export Legislation Amendment Act 2014</w:t>
          </w:r>
        </w:p>
      </w:tc>
      <w:tc>
        <w:tcPr>
          <w:tcW w:w="669" w:type="dxa"/>
        </w:tcPr>
        <w:p w:rsidR="00A71A47" w:rsidRDefault="00A71A47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3D7312">
            <w:rPr>
              <w:i/>
              <w:noProof/>
              <w:sz w:val="18"/>
            </w:rPr>
            <w:t>8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A71A47" w:rsidRPr="00055B5C" w:rsidRDefault="00A71A47" w:rsidP="00055B5C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A47" w:rsidRPr="00A961C4" w:rsidRDefault="00A71A47" w:rsidP="0038504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A71A47" w:rsidTr="00385045">
      <w:tc>
        <w:tcPr>
          <w:tcW w:w="1247" w:type="dxa"/>
        </w:tcPr>
        <w:p w:rsidR="00A71A47" w:rsidRDefault="00A71A47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3D7312">
            <w:rPr>
              <w:i/>
              <w:sz w:val="18"/>
            </w:rPr>
            <w:t>No. 37,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A71A47" w:rsidRDefault="00A71A47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3D7312">
            <w:rPr>
              <w:i/>
              <w:sz w:val="18"/>
            </w:rPr>
            <w:t>Export Legislation Amendment Act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A71A47" w:rsidRDefault="00A71A47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3D7312">
            <w:rPr>
              <w:i/>
              <w:noProof/>
              <w:sz w:val="18"/>
            </w:rPr>
            <w:t>8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A71A47" w:rsidRPr="00A961C4" w:rsidRDefault="00A71A47" w:rsidP="00055B5C">
    <w:pPr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AD6" w:rsidRDefault="00A93AD6" w:rsidP="003B1CD0">
    <w:pPr>
      <w:pStyle w:val="ScalePlusRef"/>
    </w:pPr>
    <w:r>
      <w:t xml:space="preserve">Note: An electronic version of this Act is available in </w:t>
    </w:r>
    <w:proofErr w:type="spellStart"/>
    <w:r>
      <w:t>ComLaw</w:t>
    </w:r>
    <w:proofErr w:type="spellEnd"/>
    <w:r>
      <w:t xml:space="preserve"> (</w:t>
    </w:r>
    <w:hyperlink r:id="rId1" w:history="1">
      <w:r>
        <w:t>http://www.comlaw.gov.au/</w:t>
      </w:r>
    </w:hyperlink>
    <w:r>
      <w:t>)</w:t>
    </w:r>
  </w:p>
  <w:p w:rsidR="00055B5C" w:rsidRDefault="00055B5C" w:rsidP="00385045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38504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38504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D7312">
            <w:rPr>
              <w:i/>
              <w:noProof/>
              <w:sz w:val="18"/>
            </w:rPr>
            <w:t>viii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A71A47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Export Legislation Amendment Act 2014</w:t>
          </w:r>
        </w:p>
      </w:tc>
      <w:tc>
        <w:tcPr>
          <w:tcW w:w="1270" w:type="dxa"/>
        </w:tcPr>
        <w:p w:rsidR="00055B5C" w:rsidRDefault="00A71A47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2014</w:t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38504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A71A47" w:rsidP="00220AD6">
          <w:pPr>
            <w:rPr>
              <w:i/>
              <w:sz w:val="18"/>
            </w:rPr>
          </w:pPr>
          <w:r>
            <w:rPr>
              <w:i/>
              <w:sz w:val="18"/>
            </w:rPr>
            <w:t xml:space="preserve">No. </w:t>
          </w:r>
          <w:r w:rsidR="00220AD6">
            <w:rPr>
              <w:i/>
              <w:sz w:val="18"/>
            </w:rPr>
            <w:t>37</w:t>
          </w:r>
          <w:r>
            <w:rPr>
              <w:i/>
              <w:sz w:val="18"/>
            </w:rPr>
            <w:t>, 2014</w:t>
          </w:r>
        </w:p>
      </w:tc>
      <w:tc>
        <w:tcPr>
          <w:tcW w:w="5387" w:type="dxa"/>
        </w:tcPr>
        <w:p w:rsidR="00055B5C" w:rsidRDefault="00A71A47" w:rsidP="0066090A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Export Legislation Amendment Act 2014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D73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385045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385045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3D7312">
            <w:rPr>
              <w:i/>
              <w:noProof/>
              <w:sz w:val="18"/>
            </w:rPr>
            <w:t>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A71A47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Export Legislation Amendment Act 2014</w:t>
          </w:r>
        </w:p>
      </w:tc>
      <w:tc>
        <w:tcPr>
          <w:tcW w:w="1270" w:type="dxa"/>
        </w:tcPr>
        <w:p w:rsidR="00055B5C" w:rsidRDefault="00220AD6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37, 2014</w:t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38504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385045">
      <w:tc>
        <w:tcPr>
          <w:tcW w:w="1247" w:type="dxa"/>
        </w:tcPr>
        <w:p w:rsidR="00055B5C" w:rsidRDefault="00220AD6" w:rsidP="0066090A">
          <w:pPr>
            <w:rPr>
              <w:sz w:val="18"/>
            </w:rPr>
          </w:pPr>
          <w:r>
            <w:rPr>
              <w:i/>
              <w:sz w:val="18"/>
            </w:rPr>
            <w:t>No. 37, 2014</w:t>
          </w:r>
        </w:p>
      </w:tc>
      <w:tc>
        <w:tcPr>
          <w:tcW w:w="5387" w:type="dxa"/>
        </w:tcPr>
        <w:p w:rsidR="00055B5C" w:rsidRDefault="00A71A47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Export Legislation Amendment Act 2014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3D7312">
            <w:rPr>
              <w:i/>
              <w:noProof/>
              <w:sz w:val="18"/>
            </w:rPr>
            <w:t>7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38504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385045">
      <w:tc>
        <w:tcPr>
          <w:tcW w:w="1247" w:type="dxa"/>
        </w:tcPr>
        <w:p w:rsidR="00055B5C" w:rsidRDefault="00220AD6" w:rsidP="0066090A">
          <w:pPr>
            <w:rPr>
              <w:sz w:val="18"/>
            </w:rPr>
          </w:pPr>
          <w:r>
            <w:rPr>
              <w:i/>
              <w:sz w:val="18"/>
            </w:rPr>
            <w:t>No. 37, 2014</w:t>
          </w:r>
        </w:p>
      </w:tc>
      <w:tc>
        <w:tcPr>
          <w:tcW w:w="5387" w:type="dxa"/>
        </w:tcPr>
        <w:p w:rsidR="00055B5C" w:rsidRDefault="00A71A47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Export Legislation Amendment Act 2014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3D7312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A47" w:rsidRPr="00A961C4" w:rsidRDefault="00A71A47" w:rsidP="00385045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A71A47" w:rsidTr="00385045">
      <w:tc>
        <w:tcPr>
          <w:tcW w:w="646" w:type="dxa"/>
        </w:tcPr>
        <w:p w:rsidR="00A71A47" w:rsidRDefault="00A71A47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3D7312">
            <w:rPr>
              <w:i/>
              <w:noProof/>
              <w:sz w:val="18"/>
            </w:rPr>
            <w:t>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A71A47" w:rsidRDefault="00A71A47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Export Legislation Amendment Act 2014</w:t>
          </w:r>
        </w:p>
      </w:tc>
      <w:tc>
        <w:tcPr>
          <w:tcW w:w="1270" w:type="dxa"/>
        </w:tcPr>
        <w:p w:rsidR="00A71A47" w:rsidRDefault="00A71A47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2014</w:t>
          </w:r>
        </w:p>
      </w:tc>
    </w:tr>
  </w:tbl>
  <w:p w:rsidR="00A71A47" w:rsidRPr="00A961C4" w:rsidRDefault="00A71A47" w:rsidP="00055B5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B06" w:rsidRDefault="00C07B06" w:rsidP="0048364F">
      <w:pPr>
        <w:spacing w:line="240" w:lineRule="auto"/>
      </w:pPr>
      <w:r>
        <w:separator/>
      </w:r>
    </w:p>
  </w:footnote>
  <w:footnote w:type="continuationSeparator" w:id="0">
    <w:p w:rsidR="00C07B06" w:rsidRDefault="00C07B0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A47" w:rsidRPr="00A961C4" w:rsidRDefault="00A71A47" w:rsidP="0048364F">
    <w:pPr>
      <w:rPr>
        <w:b/>
        <w:sz w:val="20"/>
      </w:rPr>
    </w:pPr>
  </w:p>
  <w:p w:rsidR="00A71A47" w:rsidRPr="00A961C4" w:rsidRDefault="00A71A47" w:rsidP="0048364F">
    <w:pPr>
      <w:rPr>
        <w:b/>
        <w:sz w:val="20"/>
      </w:rPr>
    </w:pPr>
  </w:p>
  <w:p w:rsidR="00A71A47" w:rsidRPr="00A961C4" w:rsidRDefault="00A71A47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A47" w:rsidRPr="00A961C4" w:rsidRDefault="00A71A47" w:rsidP="0048364F">
    <w:pPr>
      <w:jc w:val="right"/>
      <w:rPr>
        <w:sz w:val="20"/>
      </w:rPr>
    </w:pPr>
  </w:p>
  <w:p w:rsidR="00A71A47" w:rsidRPr="00A961C4" w:rsidRDefault="00A71A47" w:rsidP="0048364F">
    <w:pPr>
      <w:jc w:val="right"/>
      <w:rPr>
        <w:b/>
        <w:sz w:val="20"/>
      </w:rPr>
    </w:pPr>
  </w:p>
  <w:p w:rsidR="00A71A47" w:rsidRPr="00A961C4" w:rsidRDefault="00A71A47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A47" w:rsidRPr="00A961C4" w:rsidRDefault="00A71A47" w:rsidP="004836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3D7312">
      <w:rPr>
        <w:b/>
        <w:sz w:val="20"/>
      </w:rPr>
      <w:fldChar w:fldCharType="separate"/>
    </w:r>
    <w:r w:rsidR="003D731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3D7312">
      <w:rPr>
        <w:sz w:val="20"/>
      </w:rPr>
      <w:fldChar w:fldCharType="separate"/>
    </w:r>
    <w:r w:rsidR="003D7312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3D7312">
      <w:rPr>
        <w:sz w:val="20"/>
      </w:rPr>
      <w:fldChar w:fldCharType="separate"/>
    </w:r>
    <w:r w:rsidR="003D7312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3D7312">
      <w:rPr>
        <w:b/>
        <w:sz w:val="20"/>
      </w:rPr>
      <w:fldChar w:fldCharType="separate"/>
    </w:r>
    <w:r w:rsidR="003D7312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B06"/>
    <w:rsid w:val="00002622"/>
    <w:rsid w:val="000113BC"/>
    <w:rsid w:val="000136AF"/>
    <w:rsid w:val="000243AB"/>
    <w:rsid w:val="00032C69"/>
    <w:rsid w:val="000417C9"/>
    <w:rsid w:val="000545B0"/>
    <w:rsid w:val="00055B5C"/>
    <w:rsid w:val="00060FF9"/>
    <w:rsid w:val="000614BF"/>
    <w:rsid w:val="0006735B"/>
    <w:rsid w:val="0007161A"/>
    <w:rsid w:val="00087A2F"/>
    <w:rsid w:val="000A06AF"/>
    <w:rsid w:val="000B1FD2"/>
    <w:rsid w:val="000C2C7E"/>
    <w:rsid w:val="000D05EF"/>
    <w:rsid w:val="000D7B98"/>
    <w:rsid w:val="000E472D"/>
    <w:rsid w:val="000F21C1"/>
    <w:rsid w:val="00101D90"/>
    <w:rsid w:val="00102F7C"/>
    <w:rsid w:val="001055D7"/>
    <w:rsid w:val="00105F33"/>
    <w:rsid w:val="0010745C"/>
    <w:rsid w:val="001106DA"/>
    <w:rsid w:val="00113BD1"/>
    <w:rsid w:val="00122206"/>
    <w:rsid w:val="00126871"/>
    <w:rsid w:val="001311D7"/>
    <w:rsid w:val="001347B7"/>
    <w:rsid w:val="001431DD"/>
    <w:rsid w:val="00150533"/>
    <w:rsid w:val="0015646E"/>
    <w:rsid w:val="00161C40"/>
    <w:rsid w:val="001643C9"/>
    <w:rsid w:val="00165568"/>
    <w:rsid w:val="00166A6A"/>
    <w:rsid w:val="00166C2F"/>
    <w:rsid w:val="001716C9"/>
    <w:rsid w:val="00173363"/>
    <w:rsid w:val="00173B94"/>
    <w:rsid w:val="001854B4"/>
    <w:rsid w:val="001901B4"/>
    <w:rsid w:val="001939E1"/>
    <w:rsid w:val="00195382"/>
    <w:rsid w:val="001A3658"/>
    <w:rsid w:val="001A525F"/>
    <w:rsid w:val="001A759A"/>
    <w:rsid w:val="001B7A5D"/>
    <w:rsid w:val="001C2418"/>
    <w:rsid w:val="001C544A"/>
    <w:rsid w:val="001C69C4"/>
    <w:rsid w:val="001C6BFC"/>
    <w:rsid w:val="001E3590"/>
    <w:rsid w:val="001E6697"/>
    <w:rsid w:val="001E6785"/>
    <w:rsid w:val="001E7407"/>
    <w:rsid w:val="001E7F2B"/>
    <w:rsid w:val="00201D27"/>
    <w:rsid w:val="00203A17"/>
    <w:rsid w:val="002059DF"/>
    <w:rsid w:val="002101C1"/>
    <w:rsid w:val="00220AD6"/>
    <w:rsid w:val="002277EA"/>
    <w:rsid w:val="0023060B"/>
    <w:rsid w:val="00240749"/>
    <w:rsid w:val="00283746"/>
    <w:rsid w:val="00297ECB"/>
    <w:rsid w:val="002B5A30"/>
    <w:rsid w:val="002D043A"/>
    <w:rsid w:val="002D395A"/>
    <w:rsid w:val="002D621D"/>
    <w:rsid w:val="002E44C1"/>
    <w:rsid w:val="002E6E98"/>
    <w:rsid w:val="002F718C"/>
    <w:rsid w:val="00324C14"/>
    <w:rsid w:val="00336863"/>
    <w:rsid w:val="003415D3"/>
    <w:rsid w:val="00342AC2"/>
    <w:rsid w:val="00350417"/>
    <w:rsid w:val="00352B0F"/>
    <w:rsid w:val="0035459C"/>
    <w:rsid w:val="0036351A"/>
    <w:rsid w:val="00375C6C"/>
    <w:rsid w:val="00380357"/>
    <w:rsid w:val="00384DD4"/>
    <w:rsid w:val="00385045"/>
    <w:rsid w:val="0039132F"/>
    <w:rsid w:val="003C06F1"/>
    <w:rsid w:val="003C5F2B"/>
    <w:rsid w:val="003D0BFE"/>
    <w:rsid w:val="003D5700"/>
    <w:rsid w:val="003D7312"/>
    <w:rsid w:val="003F27D3"/>
    <w:rsid w:val="003F4E60"/>
    <w:rsid w:val="004040D0"/>
    <w:rsid w:val="00410B8E"/>
    <w:rsid w:val="004116CD"/>
    <w:rsid w:val="00417253"/>
    <w:rsid w:val="00421FC1"/>
    <w:rsid w:val="004229C7"/>
    <w:rsid w:val="00424CA9"/>
    <w:rsid w:val="00436785"/>
    <w:rsid w:val="00436BD5"/>
    <w:rsid w:val="00437E4B"/>
    <w:rsid w:val="0044291A"/>
    <w:rsid w:val="004440F9"/>
    <w:rsid w:val="00451405"/>
    <w:rsid w:val="004550EE"/>
    <w:rsid w:val="00461C0B"/>
    <w:rsid w:val="00464E7F"/>
    <w:rsid w:val="004749A1"/>
    <w:rsid w:val="0048364F"/>
    <w:rsid w:val="00496F97"/>
    <w:rsid w:val="004C7C8C"/>
    <w:rsid w:val="004D17C9"/>
    <w:rsid w:val="004E2A4A"/>
    <w:rsid w:val="004F0D23"/>
    <w:rsid w:val="004F1FAC"/>
    <w:rsid w:val="00501DA0"/>
    <w:rsid w:val="00516B8D"/>
    <w:rsid w:val="00532011"/>
    <w:rsid w:val="0053531C"/>
    <w:rsid w:val="00537FBC"/>
    <w:rsid w:val="00543469"/>
    <w:rsid w:val="00547345"/>
    <w:rsid w:val="00551B54"/>
    <w:rsid w:val="00554647"/>
    <w:rsid w:val="00560467"/>
    <w:rsid w:val="00584811"/>
    <w:rsid w:val="0058537E"/>
    <w:rsid w:val="00593AA6"/>
    <w:rsid w:val="00594161"/>
    <w:rsid w:val="00594749"/>
    <w:rsid w:val="005A0D92"/>
    <w:rsid w:val="005A4B8D"/>
    <w:rsid w:val="005B4067"/>
    <w:rsid w:val="005C3F41"/>
    <w:rsid w:val="005E508F"/>
    <w:rsid w:val="00600219"/>
    <w:rsid w:val="0064144B"/>
    <w:rsid w:val="00641DE5"/>
    <w:rsid w:val="00651BEC"/>
    <w:rsid w:val="00656F0C"/>
    <w:rsid w:val="00660818"/>
    <w:rsid w:val="00663415"/>
    <w:rsid w:val="006711B6"/>
    <w:rsid w:val="00672195"/>
    <w:rsid w:val="00672E51"/>
    <w:rsid w:val="00677CC2"/>
    <w:rsid w:val="00681F92"/>
    <w:rsid w:val="006842C2"/>
    <w:rsid w:val="00685F42"/>
    <w:rsid w:val="0069207B"/>
    <w:rsid w:val="00697BD8"/>
    <w:rsid w:val="006C2874"/>
    <w:rsid w:val="006C7F8C"/>
    <w:rsid w:val="006D277D"/>
    <w:rsid w:val="006D380D"/>
    <w:rsid w:val="006E0135"/>
    <w:rsid w:val="006E303A"/>
    <w:rsid w:val="006F7E19"/>
    <w:rsid w:val="00700B2C"/>
    <w:rsid w:val="007034BA"/>
    <w:rsid w:val="00712D8D"/>
    <w:rsid w:val="00713084"/>
    <w:rsid w:val="00714B26"/>
    <w:rsid w:val="007163C4"/>
    <w:rsid w:val="007276B5"/>
    <w:rsid w:val="00731B55"/>
    <w:rsid w:val="00731E00"/>
    <w:rsid w:val="007440B7"/>
    <w:rsid w:val="007634AD"/>
    <w:rsid w:val="007710A0"/>
    <w:rsid w:val="007715C9"/>
    <w:rsid w:val="00774EDD"/>
    <w:rsid w:val="007757EC"/>
    <w:rsid w:val="007839A5"/>
    <w:rsid w:val="00791C56"/>
    <w:rsid w:val="007A0537"/>
    <w:rsid w:val="007B0864"/>
    <w:rsid w:val="007B2AE4"/>
    <w:rsid w:val="007B3B76"/>
    <w:rsid w:val="007C30B6"/>
    <w:rsid w:val="007D7C59"/>
    <w:rsid w:val="007D7DAB"/>
    <w:rsid w:val="007E7D4A"/>
    <w:rsid w:val="007F3157"/>
    <w:rsid w:val="008006CC"/>
    <w:rsid w:val="00802D43"/>
    <w:rsid w:val="00807F18"/>
    <w:rsid w:val="0082632B"/>
    <w:rsid w:val="00843794"/>
    <w:rsid w:val="008437FF"/>
    <w:rsid w:val="00855D53"/>
    <w:rsid w:val="00856A31"/>
    <w:rsid w:val="00857D6B"/>
    <w:rsid w:val="008614D8"/>
    <w:rsid w:val="008709BA"/>
    <w:rsid w:val="008754D0"/>
    <w:rsid w:val="00877D48"/>
    <w:rsid w:val="008804C8"/>
    <w:rsid w:val="008819E6"/>
    <w:rsid w:val="00883781"/>
    <w:rsid w:val="00885570"/>
    <w:rsid w:val="00893958"/>
    <w:rsid w:val="008A2E77"/>
    <w:rsid w:val="008C6F6F"/>
    <w:rsid w:val="008D0657"/>
    <w:rsid w:val="008D0EE0"/>
    <w:rsid w:val="008E5DAC"/>
    <w:rsid w:val="008F4F1C"/>
    <w:rsid w:val="008F6861"/>
    <w:rsid w:val="008F77C4"/>
    <w:rsid w:val="00903615"/>
    <w:rsid w:val="009103F3"/>
    <w:rsid w:val="00915ADC"/>
    <w:rsid w:val="00932377"/>
    <w:rsid w:val="00937EAB"/>
    <w:rsid w:val="00940A56"/>
    <w:rsid w:val="00941583"/>
    <w:rsid w:val="00967042"/>
    <w:rsid w:val="00973240"/>
    <w:rsid w:val="0098255A"/>
    <w:rsid w:val="009845BE"/>
    <w:rsid w:val="009969C9"/>
    <w:rsid w:val="0099787C"/>
    <w:rsid w:val="009D1EA0"/>
    <w:rsid w:val="009D50AA"/>
    <w:rsid w:val="009E6E05"/>
    <w:rsid w:val="00A04013"/>
    <w:rsid w:val="00A06300"/>
    <w:rsid w:val="00A07CB3"/>
    <w:rsid w:val="00A10775"/>
    <w:rsid w:val="00A231E2"/>
    <w:rsid w:val="00A25282"/>
    <w:rsid w:val="00A31861"/>
    <w:rsid w:val="00A3188F"/>
    <w:rsid w:val="00A35F68"/>
    <w:rsid w:val="00A36C48"/>
    <w:rsid w:val="00A37EE3"/>
    <w:rsid w:val="00A5039E"/>
    <w:rsid w:val="00A60D54"/>
    <w:rsid w:val="00A62E5E"/>
    <w:rsid w:val="00A64912"/>
    <w:rsid w:val="00A70A74"/>
    <w:rsid w:val="00A71A47"/>
    <w:rsid w:val="00A73E38"/>
    <w:rsid w:val="00A93AD6"/>
    <w:rsid w:val="00AA3795"/>
    <w:rsid w:val="00AB2056"/>
    <w:rsid w:val="00AC1E75"/>
    <w:rsid w:val="00AC36AF"/>
    <w:rsid w:val="00AC4191"/>
    <w:rsid w:val="00AD5641"/>
    <w:rsid w:val="00AE1088"/>
    <w:rsid w:val="00AE17DF"/>
    <w:rsid w:val="00B032D8"/>
    <w:rsid w:val="00B266C0"/>
    <w:rsid w:val="00B33B3C"/>
    <w:rsid w:val="00B51BB3"/>
    <w:rsid w:val="00B6382D"/>
    <w:rsid w:val="00B65596"/>
    <w:rsid w:val="00B96B2D"/>
    <w:rsid w:val="00BA5026"/>
    <w:rsid w:val="00BB40BF"/>
    <w:rsid w:val="00BC037C"/>
    <w:rsid w:val="00BD3212"/>
    <w:rsid w:val="00BD59C2"/>
    <w:rsid w:val="00BE0751"/>
    <w:rsid w:val="00BE1124"/>
    <w:rsid w:val="00BE4B9B"/>
    <w:rsid w:val="00BE719A"/>
    <w:rsid w:val="00BE720A"/>
    <w:rsid w:val="00BF0461"/>
    <w:rsid w:val="00BF4944"/>
    <w:rsid w:val="00BF7CC0"/>
    <w:rsid w:val="00C013AA"/>
    <w:rsid w:val="00C04289"/>
    <w:rsid w:val="00C04409"/>
    <w:rsid w:val="00C067E5"/>
    <w:rsid w:val="00C07B06"/>
    <w:rsid w:val="00C13F68"/>
    <w:rsid w:val="00C164CA"/>
    <w:rsid w:val="00C176CF"/>
    <w:rsid w:val="00C2527D"/>
    <w:rsid w:val="00C42BF8"/>
    <w:rsid w:val="00C460AE"/>
    <w:rsid w:val="00C50043"/>
    <w:rsid w:val="00C54E84"/>
    <w:rsid w:val="00C7573B"/>
    <w:rsid w:val="00C76CF3"/>
    <w:rsid w:val="00C8615F"/>
    <w:rsid w:val="00CB50B7"/>
    <w:rsid w:val="00CC285B"/>
    <w:rsid w:val="00CC5DF8"/>
    <w:rsid w:val="00CD4343"/>
    <w:rsid w:val="00CD54FD"/>
    <w:rsid w:val="00CE1E31"/>
    <w:rsid w:val="00CE2706"/>
    <w:rsid w:val="00CE4814"/>
    <w:rsid w:val="00CF0BB2"/>
    <w:rsid w:val="00D00EAA"/>
    <w:rsid w:val="00D028BD"/>
    <w:rsid w:val="00D05E44"/>
    <w:rsid w:val="00D12780"/>
    <w:rsid w:val="00D13441"/>
    <w:rsid w:val="00D21F1B"/>
    <w:rsid w:val="00D243A3"/>
    <w:rsid w:val="00D477C3"/>
    <w:rsid w:val="00D52B58"/>
    <w:rsid w:val="00D52BCB"/>
    <w:rsid w:val="00D52EFE"/>
    <w:rsid w:val="00D63EF6"/>
    <w:rsid w:val="00D70DFB"/>
    <w:rsid w:val="00D73029"/>
    <w:rsid w:val="00D766DF"/>
    <w:rsid w:val="00D96B58"/>
    <w:rsid w:val="00DA5B06"/>
    <w:rsid w:val="00DC1BBA"/>
    <w:rsid w:val="00DD3D0D"/>
    <w:rsid w:val="00DF2286"/>
    <w:rsid w:val="00DF7AE9"/>
    <w:rsid w:val="00E05704"/>
    <w:rsid w:val="00E24D66"/>
    <w:rsid w:val="00E327AB"/>
    <w:rsid w:val="00E40E9C"/>
    <w:rsid w:val="00E54292"/>
    <w:rsid w:val="00E6597A"/>
    <w:rsid w:val="00E67D94"/>
    <w:rsid w:val="00E73F2F"/>
    <w:rsid w:val="00E74DC7"/>
    <w:rsid w:val="00E87699"/>
    <w:rsid w:val="00EA0723"/>
    <w:rsid w:val="00EA1B70"/>
    <w:rsid w:val="00EA21E3"/>
    <w:rsid w:val="00EA35C0"/>
    <w:rsid w:val="00EC31EA"/>
    <w:rsid w:val="00ED0EA3"/>
    <w:rsid w:val="00ED492F"/>
    <w:rsid w:val="00EE4D98"/>
    <w:rsid w:val="00EF2E3A"/>
    <w:rsid w:val="00F047E2"/>
    <w:rsid w:val="00F078DC"/>
    <w:rsid w:val="00F13B75"/>
    <w:rsid w:val="00F13E86"/>
    <w:rsid w:val="00F17B00"/>
    <w:rsid w:val="00F37B3E"/>
    <w:rsid w:val="00F576B8"/>
    <w:rsid w:val="00F677A9"/>
    <w:rsid w:val="00F84CF5"/>
    <w:rsid w:val="00F852D8"/>
    <w:rsid w:val="00F95807"/>
    <w:rsid w:val="00FA420B"/>
    <w:rsid w:val="00FD1E13"/>
    <w:rsid w:val="00FD3AF4"/>
    <w:rsid w:val="00FD7747"/>
    <w:rsid w:val="00FE41C9"/>
    <w:rsid w:val="00FE7F93"/>
    <w:rsid w:val="00FF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504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7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7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7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7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7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7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74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7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7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85045"/>
  </w:style>
  <w:style w:type="paragraph" w:customStyle="1" w:styleId="OPCParaBase">
    <w:name w:val="OPCParaBase"/>
    <w:link w:val="OPCParaBaseChar"/>
    <w:qFormat/>
    <w:rsid w:val="0038504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38504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8504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8504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8504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8504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8504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8504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8504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8504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8504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385045"/>
  </w:style>
  <w:style w:type="paragraph" w:customStyle="1" w:styleId="Blocks">
    <w:name w:val="Blocks"/>
    <w:aliases w:val="bb"/>
    <w:basedOn w:val="OPCParaBase"/>
    <w:qFormat/>
    <w:rsid w:val="0038504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8504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8504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85045"/>
    <w:rPr>
      <w:i/>
    </w:rPr>
  </w:style>
  <w:style w:type="paragraph" w:customStyle="1" w:styleId="BoxList">
    <w:name w:val="BoxList"/>
    <w:aliases w:val="bl"/>
    <w:basedOn w:val="BoxText"/>
    <w:qFormat/>
    <w:rsid w:val="0038504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8504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8504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85045"/>
    <w:pPr>
      <w:ind w:left="1985" w:hanging="851"/>
    </w:pPr>
  </w:style>
  <w:style w:type="character" w:customStyle="1" w:styleId="CharAmPartNo">
    <w:name w:val="CharAmPartNo"/>
    <w:basedOn w:val="OPCCharBase"/>
    <w:qFormat/>
    <w:rsid w:val="00385045"/>
  </w:style>
  <w:style w:type="character" w:customStyle="1" w:styleId="CharAmPartText">
    <w:name w:val="CharAmPartText"/>
    <w:basedOn w:val="OPCCharBase"/>
    <w:qFormat/>
    <w:rsid w:val="00385045"/>
  </w:style>
  <w:style w:type="character" w:customStyle="1" w:styleId="CharAmSchNo">
    <w:name w:val="CharAmSchNo"/>
    <w:basedOn w:val="OPCCharBase"/>
    <w:qFormat/>
    <w:rsid w:val="00385045"/>
  </w:style>
  <w:style w:type="character" w:customStyle="1" w:styleId="CharAmSchText">
    <w:name w:val="CharAmSchText"/>
    <w:basedOn w:val="OPCCharBase"/>
    <w:qFormat/>
    <w:rsid w:val="00385045"/>
  </w:style>
  <w:style w:type="character" w:customStyle="1" w:styleId="CharBoldItalic">
    <w:name w:val="CharBoldItalic"/>
    <w:basedOn w:val="OPCCharBase"/>
    <w:uiPriority w:val="1"/>
    <w:qFormat/>
    <w:rsid w:val="00385045"/>
    <w:rPr>
      <w:b/>
      <w:i/>
    </w:rPr>
  </w:style>
  <w:style w:type="character" w:customStyle="1" w:styleId="CharChapNo">
    <w:name w:val="CharChapNo"/>
    <w:basedOn w:val="OPCCharBase"/>
    <w:uiPriority w:val="1"/>
    <w:qFormat/>
    <w:rsid w:val="00385045"/>
  </w:style>
  <w:style w:type="character" w:customStyle="1" w:styleId="CharChapText">
    <w:name w:val="CharChapText"/>
    <w:basedOn w:val="OPCCharBase"/>
    <w:uiPriority w:val="1"/>
    <w:qFormat/>
    <w:rsid w:val="00385045"/>
  </w:style>
  <w:style w:type="character" w:customStyle="1" w:styleId="CharDivNo">
    <w:name w:val="CharDivNo"/>
    <w:basedOn w:val="OPCCharBase"/>
    <w:uiPriority w:val="1"/>
    <w:qFormat/>
    <w:rsid w:val="00385045"/>
  </w:style>
  <w:style w:type="character" w:customStyle="1" w:styleId="CharDivText">
    <w:name w:val="CharDivText"/>
    <w:basedOn w:val="OPCCharBase"/>
    <w:uiPriority w:val="1"/>
    <w:qFormat/>
    <w:rsid w:val="00385045"/>
  </w:style>
  <w:style w:type="character" w:customStyle="1" w:styleId="CharItalic">
    <w:name w:val="CharItalic"/>
    <w:basedOn w:val="OPCCharBase"/>
    <w:uiPriority w:val="1"/>
    <w:qFormat/>
    <w:rsid w:val="00385045"/>
    <w:rPr>
      <w:i/>
    </w:rPr>
  </w:style>
  <w:style w:type="character" w:customStyle="1" w:styleId="CharPartNo">
    <w:name w:val="CharPartNo"/>
    <w:basedOn w:val="OPCCharBase"/>
    <w:uiPriority w:val="1"/>
    <w:qFormat/>
    <w:rsid w:val="00385045"/>
  </w:style>
  <w:style w:type="character" w:customStyle="1" w:styleId="CharPartText">
    <w:name w:val="CharPartText"/>
    <w:basedOn w:val="OPCCharBase"/>
    <w:uiPriority w:val="1"/>
    <w:qFormat/>
    <w:rsid w:val="00385045"/>
  </w:style>
  <w:style w:type="character" w:customStyle="1" w:styleId="CharSectno">
    <w:name w:val="CharSectno"/>
    <w:basedOn w:val="OPCCharBase"/>
    <w:qFormat/>
    <w:rsid w:val="00385045"/>
  </w:style>
  <w:style w:type="character" w:customStyle="1" w:styleId="CharSubdNo">
    <w:name w:val="CharSubdNo"/>
    <w:basedOn w:val="OPCCharBase"/>
    <w:uiPriority w:val="1"/>
    <w:qFormat/>
    <w:rsid w:val="00385045"/>
  </w:style>
  <w:style w:type="character" w:customStyle="1" w:styleId="CharSubdText">
    <w:name w:val="CharSubdText"/>
    <w:basedOn w:val="OPCCharBase"/>
    <w:uiPriority w:val="1"/>
    <w:qFormat/>
    <w:rsid w:val="00385045"/>
  </w:style>
  <w:style w:type="paragraph" w:customStyle="1" w:styleId="CTA--">
    <w:name w:val="CTA --"/>
    <w:basedOn w:val="OPCParaBase"/>
    <w:next w:val="Normal"/>
    <w:rsid w:val="0038504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8504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8504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8504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8504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8504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8504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8504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8504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8504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8504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8504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8504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8504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8504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8504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8504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8504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8504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8504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8504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8504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8504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8504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8504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8504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8504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8504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8504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8504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8504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85045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8504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8504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8504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8504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8504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8504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8504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8504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8504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8504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8504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8504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8504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8504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8504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8504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8504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8504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8504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8504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8504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8504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8504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85045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85045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85045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85045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8504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8504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8504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8504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8504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8504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8504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8504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8504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8504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8504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8504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8504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85045"/>
    <w:rPr>
      <w:sz w:val="16"/>
    </w:rPr>
  </w:style>
  <w:style w:type="table" w:customStyle="1" w:styleId="CFlag">
    <w:name w:val="CFlag"/>
    <w:basedOn w:val="TableNormal"/>
    <w:uiPriority w:val="99"/>
    <w:rsid w:val="00385045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38504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85045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38504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8504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38504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8504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8504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8504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8504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385045"/>
    <w:pPr>
      <w:spacing w:before="120"/>
    </w:pPr>
  </w:style>
  <w:style w:type="paragraph" w:customStyle="1" w:styleId="TableTextEndNotes">
    <w:name w:val="TableTextEndNotes"/>
    <w:aliases w:val="Tten"/>
    <w:basedOn w:val="Normal"/>
    <w:rsid w:val="00385045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385045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38504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8504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8504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8504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8504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8504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8504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8504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8504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85045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385045"/>
  </w:style>
  <w:style w:type="character" w:customStyle="1" w:styleId="CharSubPartNoCASA">
    <w:name w:val="CharSubPartNo(CASA)"/>
    <w:basedOn w:val="OPCCharBase"/>
    <w:uiPriority w:val="1"/>
    <w:rsid w:val="00385045"/>
  </w:style>
  <w:style w:type="paragraph" w:customStyle="1" w:styleId="ENoteTTIndentHeadingSub">
    <w:name w:val="ENoteTTIndentHeadingSub"/>
    <w:aliases w:val="enTTHis"/>
    <w:basedOn w:val="OPCParaBase"/>
    <w:rsid w:val="0038504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8504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8504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85045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385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rsid w:val="0038504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8504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85045"/>
    <w:rPr>
      <w:sz w:val="22"/>
    </w:rPr>
  </w:style>
  <w:style w:type="paragraph" w:customStyle="1" w:styleId="SOTextNote">
    <w:name w:val="SO TextNote"/>
    <w:aliases w:val="sont"/>
    <w:basedOn w:val="SOText"/>
    <w:qFormat/>
    <w:rsid w:val="0038504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8504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85045"/>
    <w:rPr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8504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8504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8504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85045"/>
    <w:rPr>
      <w:sz w:val="18"/>
    </w:rPr>
  </w:style>
  <w:style w:type="paragraph" w:customStyle="1" w:styleId="FileName">
    <w:name w:val="FileName"/>
    <w:basedOn w:val="Normal"/>
    <w:rsid w:val="00385045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8504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8504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8504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85045"/>
    <w:rPr>
      <w:i/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13F68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D7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7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74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7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74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74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74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74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7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OText2">
    <w:name w:val="SO Text2"/>
    <w:aliases w:val="sot2"/>
    <w:basedOn w:val="Normal"/>
    <w:next w:val="SOText"/>
    <w:link w:val="SOText2Char"/>
    <w:rsid w:val="0038504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85045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5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596"/>
    <w:rPr>
      <w:rFonts w:ascii="Tahoma" w:hAnsi="Tahoma" w:cs="Tahoma"/>
      <w:sz w:val="16"/>
      <w:szCs w:val="16"/>
    </w:rPr>
  </w:style>
  <w:style w:type="paragraph" w:customStyle="1" w:styleId="ShortTP1">
    <w:name w:val="ShortTP1"/>
    <w:basedOn w:val="ShortT"/>
    <w:link w:val="ShortTP1Char"/>
    <w:rsid w:val="00A71A47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A71A47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A71A47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A71A47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A71A47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A71A47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A71A47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A71A47"/>
  </w:style>
  <w:style w:type="character" w:customStyle="1" w:styleId="ShortTCPChar">
    <w:name w:val="ShortTCP Char"/>
    <w:basedOn w:val="ShortTChar"/>
    <w:link w:val="ShortTCP"/>
    <w:rsid w:val="00A71A47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A71A47"/>
    <w:pPr>
      <w:spacing w:before="400"/>
    </w:pPr>
  </w:style>
  <w:style w:type="character" w:customStyle="1" w:styleId="ActNoCPChar">
    <w:name w:val="ActNoCP Char"/>
    <w:basedOn w:val="ActnoChar"/>
    <w:link w:val="ActNoCP"/>
    <w:rsid w:val="00A71A47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A71A4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A93AD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A93AD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A93AD6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504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7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7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7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7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7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7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74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7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7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85045"/>
  </w:style>
  <w:style w:type="paragraph" w:customStyle="1" w:styleId="OPCParaBase">
    <w:name w:val="OPCParaBase"/>
    <w:link w:val="OPCParaBaseChar"/>
    <w:qFormat/>
    <w:rsid w:val="0038504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38504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8504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8504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8504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8504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8504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8504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8504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8504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8504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385045"/>
  </w:style>
  <w:style w:type="paragraph" w:customStyle="1" w:styleId="Blocks">
    <w:name w:val="Blocks"/>
    <w:aliases w:val="bb"/>
    <w:basedOn w:val="OPCParaBase"/>
    <w:qFormat/>
    <w:rsid w:val="0038504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8504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8504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85045"/>
    <w:rPr>
      <w:i/>
    </w:rPr>
  </w:style>
  <w:style w:type="paragraph" w:customStyle="1" w:styleId="BoxList">
    <w:name w:val="BoxList"/>
    <w:aliases w:val="bl"/>
    <w:basedOn w:val="BoxText"/>
    <w:qFormat/>
    <w:rsid w:val="0038504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8504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8504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85045"/>
    <w:pPr>
      <w:ind w:left="1985" w:hanging="851"/>
    </w:pPr>
  </w:style>
  <w:style w:type="character" w:customStyle="1" w:styleId="CharAmPartNo">
    <w:name w:val="CharAmPartNo"/>
    <w:basedOn w:val="OPCCharBase"/>
    <w:qFormat/>
    <w:rsid w:val="00385045"/>
  </w:style>
  <w:style w:type="character" w:customStyle="1" w:styleId="CharAmPartText">
    <w:name w:val="CharAmPartText"/>
    <w:basedOn w:val="OPCCharBase"/>
    <w:qFormat/>
    <w:rsid w:val="00385045"/>
  </w:style>
  <w:style w:type="character" w:customStyle="1" w:styleId="CharAmSchNo">
    <w:name w:val="CharAmSchNo"/>
    <w:basedOn w:val="OPCCharBase"/>
    <w:qFormat/>
    <w:rsid w:val="00385045"/>
  </w:style>
  <w:style w:type="character" w:customStyle="1" w:styleId="CharAmSchText">
    <w:name w:val="CharAmSchText"/>
    <w:basedOn w:val="OPCCharBase"/>
    <w:qFormat/>
    <w:rsid w:val="00385045"/>
  </w:style>
  <w:style w:type="character" w:customStyle="1" w:styleId="CharBoldItalic">
    <w:name w:val="CharBoldItalic"/>
    <w:basedOn w:val="OPCCharBase"/>
    <w:uiPriority w:val="1"/>
    <w:qFormat/>
    <w:rsid w:val="00385045"/>
    <w:rPr>
      <w:b/>
      <w:i/>
    </w:rPr>
  </w:style>
  <w:style w:type="character" w:customStyle="1" w:styleId="CharChapNo">
    <w:name w:val="CharChapNo"/>
    <w:basedOn w:val="OPCCharBase"/>
    <w:uiPriority w:val="1"/>
    <w:qFormat/>
    <w:rsid w:val="00385045"/>
  </w:style>
  <w:style w:type="character" w:customStyle="1" w:styleId="CharChapText">
    <w:name w:val="CharChapText"/>
    <w:basedOn w:val="OPCCharBase"/>
    <w:uiPriority w:val="1"/>
    <w:qFormat/>
    <w:rsid w:val="00385045"/>
  </w:style>
  <w:style w:type="character" w:customStyle="1" w:styleId="CharDivNo">
    <w:name w:val="CharDivNo"/>
    <w:basedOn w:val="OPCCharBase"/>
    <w:uiPriority w:val="1"/>
    <w:qFormat/>
    <w:rsid w:val="00385045"/>
  </w:style>
  <w:style w:type="character" w:customStyle="1" w:styleId="CharDivText">
    <w:name w:val="CharDivText"/>
    <w:basedOn w:val="OPCCharBase"/>
    <w:uiPriority w:val="1"/>
    <w:qFormat/>
    <w:rsid w:val="00385045"/>
  </w:style>
  <w:style w:type="character" w:customStyle="1" w:styleId="CharItalic">
    <w:name w:val="CharItalic"/>
    <w:basedOn w:val="OPCCharBase"/>
    <w:uiPriority w:val="1"/>
    <w:qFormat/>
    <w:rsid w:val="00385045"/>
    <w:rPr>
      <w:i/>
    </w:rPr>
  </w:style>
  <w:style w:type="character" w:customStyle="1" w:styleId="CharPartNo">
    <w:name w:val="CharPartNo"/>
    <w:basedOn w:val="OPCCharBase"/>
    <w:uiPriority w:val="1"/>
    <w:qFormat/>
    <w:rsid w:val="00385045"/>
  </w:style>
  <w:style w:type="character" w:customStyle="1" w:styleId="CharPartText">
    <w:name w:val="CharPartText"/>
    <w:basedOn w:val="OPCCharBase"/>
    <w:uiPriority w:val="1"/>
    <w:qFormat/>
    <w:rsid w:val="00385045"/>
  </w:style>
  <w:style w:type="character" w:customStyle="1" w:styleId="CharSectno">
    <w:name w:val="CharSectno"/>
    <w:basedOn w:val="OPCCharBase"/>
    <w:qFormat/>
    <w:rsid w:val="00385045"/>
  </w:style>
  <w:style w:type="character" w:customStyle="1" w:styleId="CharSubdNo">
    <w:name w:val="CharSubdNo"/>
    <w:basedOn w:val="OPCCharBase"/>
    <w:uiPriority w:val="1"/>
    <w:qFormat/>
    <w:rsid w:val="00385045"/>
  </w:style>
  <w:style w:type="character" w:customStyle="1" w:styleId="CharSubdText">
    <w:name w:val="CharSubdText"/>
    <w:basedOn w:val="OPCCharBase"/>
    <w:uiPriority w:val="1"/>
    <w:qFormat/>
    <w:rsid w:val="00385045"/>
  </w:style>
  <w:style w:type="paragraph" w:customStyle="1" w:styleId="CTA--">
    <w:name w:val="CTA --"/>
    <w:basedOn w:val="OPCParaBase"/>
    <w:next w:val="Normal"/>
    <w:rsid w:val="0038504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8504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8504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8504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8504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8504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8504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8504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8504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8504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8504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8504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8504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8504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8504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8504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8504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8504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8504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8504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8504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8504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8504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8504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8504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8504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8504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8504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8504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8504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8504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85045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8504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8504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8504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8504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8504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8504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8504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8504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8504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8504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8504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8504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8504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8504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8504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8504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8504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8504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8504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8504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8504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8504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8504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85045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85045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85045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85045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8504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8504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8504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8504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8504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8504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8504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8504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8504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8504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8504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8504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8504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85045"/>
    <w:rPr>
      <w:sz w:val="16"/>
    </w:rPr>
  </w:style>
  <w:style w:type="table" w:customStyle="1" w:styleId="CFlag">
    <w:name w:val="CFlag"/>
    <w:basedOn w:val="TableNormal"/>
    <w:uiPriority w:val="99"/>
    <w:rsid w:val="00385045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38504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85045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38504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8504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38504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8504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8504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8504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8504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385045"/>
    <w:pPr>
      <w:spacing w:before="120"/>
    </w:pPr>
  </w:style>
  <w:style w:type="paragraph" w:customStyle="1" w:styleId="TableTextEndNotes">
    <w:name w:val="TableTextEndNotes"/>
    <w:aliases w:val="Tten"/>
    <w:basedOn w:val="Normal"/>
    <w:rsid w:val="00385045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385045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38504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8504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8504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8504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8504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8504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8504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8504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8504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85045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385045"/>
  </w:style>
  <w:style w:type="character" w:customStyle="1" w:styleId="CharSubPartNoCASA">
    <w:name w:val="CharSubPartNo(CASA)"/>
    <w:basedOn w:val="OPCCharBase"/>
    <w:uiPriority w:val="1"/>
    <w:rsid w:val="00385045"/>
  </w:style>
  <w:style w:type="paragraph" w:customStyle="1" w:styleId="ENoteTTIndentHeadingSub">
    <w:name w:val="ENoteTTIndentHeadingSub"/>
    <w:aliases w:val="enTTHis"/>
    <w:basedOn w:val="OPCParaBase"/>
    <w:rsid w:val="0038504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8504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8504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85045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385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rsid w:val="0038504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8504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85045"/>
    <w:rPr>
      <w:sz w:val="22"/>
    </w:rPr>
  </w:style>
  <w:style w:type="paragraph" w:customStyle="1" w:styleId="SOTextNote">
    <w:name w:val="SO TextNote"/>
    <w:aliases w:val="sont"/>
    <w:basedOn w:val="SOText"/>
    <w:qFormat/>
    <w:rsid w:val="0038504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8504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85045"/>
    <w:rPr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8504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8504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8504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85045"/>
    <w:rPr>
      <w:sz w:val="18"/>
    </w:rPr>
  </w:style>
  <w:style w:type="paragraph" w:customStyle="1" w:styleId="FileName">
    <w:name w:val="FileName"/>
    <w:basedOn w:val="Normal"/>
    <w:rsid w:val="00385045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8504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8504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8504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85045"/>
    <w:rPr>
      <w:i/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13F68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D7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7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74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7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74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74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74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74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7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OText2">
    <w:name w:val="SO Text2"/>
    <w:aliases w:val="sot2"/>
    <w:basedOn w:val="Normal"/>
    <w:next w:val="SOText"/>
    <w:link w:val="SOText2Char"/>
    <w:rsid w:val="0038504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85045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5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596"/>
    <w:rPr>
      <w:rFonts w:ascii="Tahoma" w:hAnsi="Tahoma" w:cs="Tahoma"/>
      <w:sz w:val="16"/>
      <w:szCs w:val="16"/>
    </w:rPr>
  </w:style>
  <w:style w:type="paragraph" w:customStyle="1" w:styleId="ShortTP1">
    <w:name w:val="ShortTP1"/>
    <w:basedOn w:val="ShortT"/>
    <w:link w:val="ShortTP1Char"/>
    <w:rsid w:val="00A71A47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A71A47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A71A47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A71A47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A71A47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A71A47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A71A47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A71A47"/>
  </w:style>
  <w:style w:type="character" w:customStyle="1" w:styleId="ShortTCPChar">
    <w:name w:val="ShortTCP Char"/>
    <w:basedOn w:val="ShortTChar"/>
    <w:link w:val="ShortTCP"/>
    <w:rsid w:val="00A71A47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A71A47"/>
    <w:pPr>
      <w:spacing w:before="400"/>
    </w:pPr>
  </w:style>
  <w:style w:type="character" w:customStyle="1" w:styleId="ActNoCPChar">
    <w:name w:val="ActNoCP Char"/>
    <w:basedOn w:val="ActnoChar"/>
    <w:link w:val="ActNoCP"/>
    <w:rsid w:val="00A71A47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A71A4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A93AD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A93AD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A93AD6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header" Target="header1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1310</Words>
  <Characters>7469</Characters>
  <Application>Microsoft Office Word</Application>
  <DocSecurity>0</DocSecurity>
  <PresentationFormat/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8762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2014-06-26T22:20:00Z</dcterms:created>
  <dcterms:modified xsi:type="dcterms:W3CDTF">2014-06-26T22:30:00Z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Export Legislation Amendment Act 2014</vt:lpwstr>
  </property>
  <property fmtid="{D5CDD505-2E9C-101B-9397-08002B2CF9AE}" pid="3" name="Actno">
    <vt:lpwstr>No. 37, 2014</vt:lpwstr>
  </property>
</Properties>
</file>