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D6" w:rsidRDefault="003F583E">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7.25pt" fillcolor="window">
            <v:imagedata r:id="rId8" o:title=""/>
          </v:shape>
        </w:pict>
      </w:r>
    </w:p>
    <w:p w:rsidR="003C2CD6" w:rsidRDefault="003C2CD6"/>
    <w:p w:rsidR="003C2CD6" w:rsidRDefault="003C2CD6" w:rsidP="003C2CD6">
      <w:pPr>
        <w:spacing w:line="240" w:lineRule="auto"/>
      </w:pPr>
    </w:p>
    <w:p w:rsidR="003C2CD6" w:rsidRDefault="003C2CD6" w:rsidP="003C2CD6"/>
    <w:p w:rsidR="003C2CD6" w:rsidRDefault="003C2CD6" w:rsidP="003C2CD6"/>
    <w:p w:rsidR="003C2CD6" w:rsidRDefault="003C2CD6" w:rsidP="003C2CD6"/>
    <w:p w:rsidR="003C2CD6" w:rsidRDefault="003C2CD6" w:rsidP="003C2CD6"/>
    <w:p w:rsidR="0048364F" w:rsidRPr="00D51A7A" w:rsidRDefault="00F15345" w:rsidP="0048364F">
      <w:pPr>
        <w:pStyle w:val="ShortT"/>
      </w:pPr>
      <w:r w:rsidRPr="00D51A7A">
        <w:t xml:space="preserve">Tertiary Education </w:t>
      </w:r>
      <w:r w:rsidR="00B20EB5" w:rsidRPr="00D51A7A">
        <w:t xml:space="preserve">Quality </w:t>
      </w:r>
      <w:r w:rsidR="00E04C42" w:rsidRPr="00D51A7A">
        <w:t xml:space="preserve">and </w:t>
      </w:r>
      <w:r w:rsidRPr="00D51A7A">
        <w:t>Standards Agency Amendment</w:t>
      </w:r>
      <w:r w:rsidR="00C164CA" w:rsidRPr="00D51A7A">
        <w:t xml:space="preserve"> </w:t>
      </w:r>
      <w:r w:rsidR="003C2CD6">
        <w:t>Act</w:t>
      </w:r>
      <w:r w:rsidR="00C164CA" w:rsidRPr="00D51A7A">
        <w:t xml:space="preserve"> 201</w:t>
      </w:r>
      <w:r w:rsidRPr="00D51A7A">
        <w:t>4</w:t>
      </w:r>
    </w:p>
    <w:p w:rsidR="0048364F" w:rsidRPr="00D51A7A" w:rsidRDefault="0048364F" w:rsidP="0048364F"/>
    <w:p w:rsidR="0048364F" w:rsidRPr="00D51A7A" w:rsidRDefault="00C164CA" w:rsidP="003C2CD6">
      <w:pPr>
        <w:pStyle w:val="Actno"/>
        <w:spacing w:before="400"/>
      </w:pPr>
      <w:r w:rsidRPr="00D51A7A">
        <w:t>No.</w:t>
      </w:r>
      <w:r w:rsidR="00E71F88">
        <w:t xml:space="preserve"> 130</w:t>
      </w:r>
      <w:r w:rsidRPr="00D51A7A">
        <w:t>, 201</w:t>
      </w:r>
      <w:r w:rsidR="000902C1" w:rsidRPr="00D51A7A">
        <w:t>4</w:t>
      </w:r>
    </w:p>
    <w:p w:rsidR="0048364F" w:rsidRPr="00D51A7A" w:rsidRDefault="0048364F" w:rsidP="0048364F"/>
    <w:p w:rsidR="003C2CD6" w:rsidRDefault="003C2CD6" w:rsidP="003C2CD6"/>
    <w:p w:rsidR="003C2CD6" w:rsidRDefault="003C2CD6" w:rsidP="003C2CD6"/>
    <w:p w:rsidR="003C2CD6" w:rsidRDefault="003C2CD6" w:rsidP="003C2CD6"/>
    <w:p w:rsidR="003C2CD6" w:rsidRDefault="003C2CD6" w:rsidP="003C2CD6"/>
    <w:p w:rsidR="0048364F" w:rsidRPr="00D51A7A" w:rsidRDefault="003C2CD6" w:rsidP="0048364F">
      <w:pPr>
        <w:pStyle w:val="LongT"/>
      </w:pPr>
      <w:r>
        <w:t>An Act</w:t>
      </w:r>
      <w:r w:rsidR="0048364F" w:rsidRPr="00D51A7A">
        <w:t xml:space="preserve"> to </w:t>
      </w:r>
      <w:r w:rsidR="00F15345" w:rsidRPr="00D51A7A">
        <w:t xml:space="preserve">amend the </w:t>
      </w:r>
      <w:r w:rsidR="00F15345" w:rsidRPr="00D51A7A">
        <w:rPr>
          <w:i/>
        </w:rPr>
        <w:t>Tertiary Education Quality and Standards Agency Act 2011</w:t>
      </w:r>
      <w:r w:rsidR="0048364F" w:rsidRPr="00D51A7A">
        <w:t xml:space="preserve">, and for </w:t>
      </w:r>
      <w:r w:rsidR="005700EC" w:rsidRPr="00D51A7A">
        <w:t>other</w:t>
      </w:r>
      <w:r w:rsidR="0048364F" w:rsidRPr="00D51A7A">
        <w:t xml:space="preserve"> purposes</w:t>
      </w:r>
    </w:p>
    <w:p w:rsidR="0048364F" w:rsidRPr="00D51A7A" w:rsidRDefault="0048364F" w:rsidP="0048364F">
      <w:pPr>
        <w:pStyle w:val="Header"/>
        <w:tabs>
          <w:tab w:val="clear" w:pos="4150"/>
          <w:tab w:val="clear" w:pos="8307"/>
        </w:tabs>
      </w:pPr>
      <w:r w:rsidRPr="00D51A7A">
        <w:rPr>
          <w:rStyle w:val="CharAmSchNo"/>
        </w:rPr>
        <w:t xml:space="preserve"> </w:t>
      </w:r>
      <w:r w:rsidRPr="00D51A7A">
        <w:rPr>
          <w:rStyle w:val="CharAmSchText"/>
        </w:rPr>
        <w:t xml:space="preserve"> </w:t>
      </w:r>
    </w:p>
    <w:p w:rsidR="0048364F" w:rsidRPr="00D51A7A" w:rsidRDefault="0048364F" w:rsidP="0048364F">
      <w:pPr>
        <w:pStyle w:val="Header"/>
        <w:tabs>
          <w:tab w:val="clear" w:pos="4150"/>
          <w:tab w:val="clear" w:pos="8307"/>
        </w:tabs>
      </w:pPr>
      <w:r w:rsidRPr="00D51A7A">
        <w:rPr>
          <w:rStyle w:val="CharAmPartNo"/>
        </w:rPr>
        <w:t xml:space="preserve"> </w:t>
      </w:r>
      <w:r w:rsidRPr="00D51A7A">
        <w:rPr>
          <w:rStyle w:val="CharAmPartText"/>
        </w:rPr>
        <w:t xml:space="preserve"> </w:t>
      </w:r>
    </w:p>
    <w:p w:rsidR="0048364F" w:rsidRPr="00D51A7A" w:rsidRDefault="0048364F" w:rsidP="0048364F">
      <w:pPr>
        <w:sectPr w:rsidR="0048364F" w:rsidRPr="00D51A7A" w:rsidSect="003C2CD6">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D51A7A" w:rsidRDefault="0048364F" w:rsidP="00545029">
      <w:pPr>
        <w:rPr>
          <w:sz w:val="36"/>
        </w:rPr>
      </w:pPr>
      <w:r w:rsidRPr="00D51A7A">
        <w:rPr>
          <w:sz w:val="36"/>
        </w:rPr>
        <w:lastRenderedPageBreak/>
        <w:t>Contents</w:t>
      </w:r>
    </w:p>
    <w:bookmarkStart w:id="1" w:name="BKCheck15B_1"/>
    <w:bookmarkEnd w:id="1"/>
    <w:p w:rsidR="00E71F88" w:rsidRDefault="00E71F8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71F88">
        <w:rPr>
          <w:noProof/>
        </w:rPr>
        <w:tab/>
      </w:r>
      <w:r w:rsidRPr="00E71F88">
        <w:rPr>
          <w:noProof/>
        </w:rPr>
        <w:fldChar w:fldCharType="begin"/>
      </w:r>
      <w:r w:rsidRPr="00E71F88">
        <w:rPr>
          <w:noProof/>
        </w:rPr>
        <w:instrText xml:space="preserve"> PAGEREF _Toc406573154 \h </w:instrText>
      </w:r>
      <w:r w:rsidRPr="00E71F88">
        <w:rPr>
          <w:noProof/>
        </w:rPr>
      </w:r>
      <w:r w:rsidRPr="00E71F88">
        <w:rPr>
          <w:noProof/>
        </w:rPr>
        <w:fldChar w:fldCharType="separate"/>
      </w:r>
      <w:r w:rsidR="003F583E">
        <w:rPr>
          <w:noProof/>
        </w:rPr>
        <w:t>1</w:t>
      </w:r>
      <w:r w:rsidRPr="00E71F88">
        <w:rPr>
          <w:noProof/>
        </w:rPr>
        <w:fldChar w:fldCharType="end"/>
      </w:r>
    </w:p>
    <w:p w:rsidR="00E71F88" w:rsidRDefault="00E71F88">
      <w:pPr>
        <w:pStyle w:val="TOC5"/>
        <w:rPr>
          <w:rFonts w:asciiTheme="minorHAnsi" w:eastAsiaTheme="minorEastAsia" w:hAnsiTheme="minorHAnsi" w:cstheme="minorBidi"/>
          <w:noProof/>
          <w:kern w:val="0"/>
          <w:sz w:val="22"/>
          <w:szCs w:val="22"/>
        </w:rPr>
      </w:pPr>
      <w:r>
        <w:rPr>
          <w:noProof/>
        </w:rPr>
        <w:t>2</w:t>
      </w:r>
      <w:r>
        <w:rPr>
          <w:noProof/>
        </w:rPr>
        <w:tab/>
        <w:t>Commencement</w:t>
      </w:r>
      <w:r w:rsidRPr="00E71F88">
        <w:rPr>
          <w:noProof/>
        </w:rPr>
        <w:tab/>
      </w:r>
      <w:r w:rsidRPr="00E71F88">
        <w:rPr>
          <w:noProof/>
        </w:rPr>
        <w:fldChar w:fldCharType="begin"/>
      </w:r>
      <w:r w:rsidRPr="00E71F88">
        <w:rPr>
          <w:noProof/>
        </w:rPr>
        <w:instrText xml:space="preserve"> PAGEREF _Toc406573155 \h </w:instrText>
      </w:r>
      <w:r w:rsidRPr="00E71F88">
        <w:rPr>
          <w:noProof/>
        </w:rPr>
      </w:r>
      <w:r w:rsidRPr="00E71F88">
        <w:rPr>
          <w:noProof/>
        </w:rPr>
        <w:fldChar w:fldCharType="separate"/>
      </w:r>
      <w:r w:rsidR="003F583E">
        <w:rPr>
          <w:noProof/>
        </w:rPr>
        <w:t>2</w:t>
      </w:r>
      <w:r w:rsidRPr="00E71F88">
        <w:rPr>
          <w:noProof/>
        </w:rPr>
        <w:fldChar w:fldCharType="end"/>
      </w:r>
    </w:p>
    <w:p w:rsidR="00E71F88" w:rsidRDefault="00E71F88">
      <w:pPr>
        <w:pStyle w:val="TOC5"/>
        <w:rPr>
          <w:rFonts w:asciiTheme="minorHAnsi" w:eastAsiaTheme="minorEastAsia" w:hAnsiTheme="minorHAnsi" w:cstheme="minorBidi"/>
          <w:noProof/>
          <w:kern w:val="0"/>
          <w:sz w:val="22"/>
          <w:szCs w:val="22"/>
        </w:rPr>
      </w:pPr>
      <w:r>
        <w:rPr>
          <w:noProof/>
        </w:rPr>
        <w:t>3</w:t>
      </w:r>
      <w:r>
        <w:rPr>
          <w:noProof/>
        </w:rPr>
        <w:tab/>
        <w:t>Schedule(s)</w:t>
      </w:r>
      <w:r w:rsidRPr="00E71F88">
        <w:rPr>
          <w:noProof/>
        </w:rPr>
        <w:tab/>
      </w:r>
      <w:r w:rsidRPr="00E71F88">
        <w:rPr>
          <w:noProof/>
        </w:rPr>
        <w:fldChar w:fldCharType="begin"/>
      </w:r>
      <w:r w:rsidRPr="00E71F88">
        <w:rPr>
          <w:noProof/>
        </w:rPr>
        <w:instrText xml:space="preserve"> PAGEREF _Toc406573156 \h </w:instrText>
      </w:r>
      <w:r w:rsidRPr="00E71F88">
        <w:rPr>
          <w:noProof/>
        </w:rPr>
      </w:r>
      <w:r w:rsidRPr="00E71F88">
        <w:rPr>
          <w:noProof/>
        </w:rPr>
        <w:fldChar w:fldCharType="separate"/>
      </w:r>
      <w:r w:rsidR="003F583E">
        <w:rPr>
          <w:noProof/>
        </w:rPr>
        <w:t>2</w:t>
      </w:r>
      <w:r w:rsidRPr="00E71F88">
        <w:rPr>
          <w:noProof/>
        </w:rPr>
        <w:fldChar w:fldCharType="end"/>
      </w:r>
    </w:p>
    <w:p w:rsidR="00E71F88" w:rsidRDefault="00E71F88">
      <w:pPr>
        <w:pStyle w:val="TOC6"/>
        <w:rPr>
          <w:rFonts w:asciiTheme="minorHAnsi" w:eastAsiaTheme="minorEastAsia" w:hAnsiTheme="minorHAnsi" w:cstheme="minorBidi"/>
          <w:b w:val="0"/>
          <w:noProof/>
          <w:kern w:val="0"/>
          <w:sz w:val="22"/>
          <w:szCs w:val="22"/>
        </w:rPr>
      </w:pPr>
      <w:r>
        <w:rPr>
          <w:noProof/>
        </w:rPr>
        <w:t>Schedule 1—Amendments</w:t>
      </w:r>
      <w:r w:rsidRPr="00E71F88">
        <w:rPr>
          <w:b w:val="0"/>
          <w:noProof/>
          <w:sz w:val="18"/>
        </w:rPr>
        <w:tab/>
      </w:r>
      <w:r w:rsidRPr="00E71F88">
        <w:rPr>
          <w:b w:val="0"/>
          <w:noProof/>
          <w:sz w:val="18"/>
        </w:rPr>
        <w:fldChar w:fldCharType="begin"/>
      </w:r>
      <w:r w:rsidRPr="00E71F88">
        <w:rPr>
          <w:b w:val="0"/>
          <w:noProof/>
          <w:sz w:val="18"/>
        </w:rPr>
        <w:instrText xml:space="preserve"> PAGEREF _Toc406573157 \h </w:instrText>
      </w:r>
      <w:r w:rsidRPr="00E71F88">
        <w:rPr>
          <w:b w:val="0"/>
          <w:noProof/>
          <w:sz w:val="18"/>
        </w:rPr>
      </w:r>
      <w:r w:rsidRPr="00E71F88">
        <w:rPr>
          <w:b w:val="0"/>
          <w:noProof/>
          <w:sz w:val="18"/>
        </w:rPr>
        <w:fldChar w:fldCharType="separate"/>
      </w:r>
      <w:r w:rsidR="003F583E">
        <w:rPr>
          <w:b w:val="0"/>
          <w:noProof/>
          <w:sz w:val="18"/>
        </w:rPr>
        <w:t>3</w:t>
      </w:r>
      <w:r w:rsidRPr="00E71F88">
        <w:rPr>
          <w:b w:val="0"/>
          <w:noProof/>
          <w:sz w:val="18"/>
        </w:rPr>
        <w:fldChar w:fldCharType="end"/>
      </w:r>
    </w:p>
    <w:p w:rsidR="00E71F88" w:rsidRDefault="00E71F88">
      <w:pPr>
        <w:pStyle w:val="TOC7"/>
        <w:rPr>
          <w:rFonts w:asciiTheme="minorHAnsi" w:eastAsiaTheme="minorEastAsia" w:hAnsiTheme="minorHAnsi" w:cstheme="minorBidi"/>
          <w:noProof/>
          <w:kern w:val="0"/>
          <w:sz w:val="22"/>
          <w:szCs w:val="22"/>
        </w:rPr>
      </w:pPr>
      <w:r>
        <w:rPr>
          <w:noProof/>
        </w:rPr>
        <w:t>Part 2—Delegations</w:t>
      </w:r>
      <w:r w:rsidRPr="00E71F88">
        <w:rPr>
          <w:noProof/>
          <w:sz w:val="18"/>
        </w:rPr>
        <w:tab/>
      </w:r>
      <w:r w:rsidRPr="00E71F88">
        <w:rPr>
          <w:noProof/>
          <w:sz w:val="18"/>
        </w:rPr>
        <w:fldChar w:fldCharType="begin"/>
      </w:r>
      <w:r w:rsidRPr="00E71F88">
        <w:rPr>
          <w:noProof/>
          <w:sz w:val="18"/>
        </w:rPr>
        <w:instrText xml:space="preserve"> PAGEREF _Toc406573158 \h </w:instrText>
      </w:r>
      <w:r w:rsidRPr="00E71F88">
        <w:rPr>
          <w:noProof/>
          <w:sz w:val="18"/>
        </w:rPr>
      </w:r>
      <w:r w:rsidRPr="00E71F88">
        <w:rPr>
          <w:noProof/>
          <w:sz w:val="18"/>
        </w:rPr>
        <w:fldChar w:fldCharType="separate"/>
      </w:r>
      <w:r w:rsidR="003F583E">
        <w:rPr>
          <w:noProof/>
          <w:sz w:val="18"/>
        </w:rPr>
        <w:t>3</w:t>
      </w:r>
      <w:r w:rsidRPr="00E71F88">
        <w:rPr>
          <w:noProof/>
          <w:sz w:val="18"/>
        </w:rPr>
        <w:fldChar w:fldCharType="end"/>
      </w:r>
    </w:p>
    <w:p w:rsidR="00E71F88" w:rsidRDefault="00E71F88">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E71F88">
        <w:rPr>
          <w:i w:val="0"/>
          <w:noProof/>
          <w:sz w:val="18"/>
        </w:rPr>
        <w:tab/>
      </w:r>
      <w:r w:rsidRPr="00E71F88">
        <w:rPr>
          <w:i w:val="0"/>
          <w:noProof/>
          <w:sz w:val="18"/>
        </w:rPr>
        <w:fldChar w:fldCharType="begin"/>
      </w:r>
      <w:r w:rsidRPr="00E71F88">
        <w:rPr>
          <w:i w:val="0"/>
          <w:noProof/>
          <w:sz w:val="18"/>
        </w:rPr>
        <w:instrText xml:space="preserve"> PAGEREF _Toc406573159 \h </w:instrText>
      </w:r>
      <w:r w:rsidRPr="00E71F88">
        <w:rPr>
          <w:i w:val="0"/>
          <w:noProof/>
          <w:sz w:val="18"/>
        </w:rPr>
      </w:r>
      <w:r w:rsidRPr="00E71F88">
        <w:rPr>
          <w:i w:val="0"/>
          <w:noProof/>
          <w:sz w:val="18"/>
        </w:rPr>
        <w:fldChar w:fldCharType="separate"/>
      </w:r>
      <w:r w:rsidR="003F583E">
        <w:rPr>
          <w:i w:val="0"/>
          <w:noProof/>
          <w:sz w:val="18"/>
        </w:rPr>
        <w:t>3</w:t>
      </w:r>
      <w:r w:rsidRPr="00E71F88">
        <w:rPr>
          <w:i w:val="0"/>
          <w:noProof/>
          <w:sz w:val="18"/>
        </w:rPr>
        <w:fldChar w:fldCharType="end"/>
      </w:r>
    </w:p>
    <w:p w:rsidR="00E71F88" w:rsidRDefault="00E71F88">
      <w:pPr>
        <w:pStyle w:val="TOC7"/>
        <w:rPr>
          <w:rFonts w:asciiTheme="minorHAnsi" w:eastAsiaTheme="minorEastAsia" w:hAnsiTheme="minorHAnsi" w:cstheme="minorBidi"/>
          <w:noProof/>
          <w:kern w:val="0"/>
          <w:sz w:val="22"/>
          <w:szCs w:val="22"/>
        </w:rPr>
      </w:pPr>
      <w:r>
        <w:rPr>
          <w:noProof/>
        </w:rPr>
        <w:t>Part 3—Period of registration or accreditation</w:t>
      </w:r>
      <w:r w:rsidRPr="00E71F88">
        <w:rPr>
          <w:noProof/>
          <w:sz w:val="18"/>
        </w:rPr>
        <w:tab/>
      </w:r>
      <w:r w:rsidRPr="00E71F88">
        <w:rPr>
          <w:noProof/>
          <w:sz w:val="18"/>
        </w:rPr>
        <w:fldChar w:fldCharType="begin"/>
      </w:r>
      <w:r w:rsidRPr="00E71F88">
        <w:rPr>
          <w:noProof/>
          <w:sz w:val="18"/>
        </w:rPr>
        <w:instrText xml:space="preserve"> PAGEREF _Toc406573161 \h </w:instrText>
      </w:r>
      <w:r w:rsidRPr="00E71F88">
        <w:rPr>
          <w:noProof/>
          <w:sz w:val="18"/>
        </w:rPr>
      </w:r>
      <w:r w:rsidRPr="00E71F88">
        <w:rPr>
          <w:noProof/>
          <w:sz w:val="18"/>
        </w:rPr>
        <w:fldChar w:fldCharType="separate"/>
      </w:r>
      <w:r w:rsidR="003F583E">
        <w:rPr>
          <w:noProof/>
          <w:sz w:val="18"/>
        </w:rPr>
        <w:t>5</w:t>
      </w:r>
      <w:r w:rsidRPr="00E71F88">
        <w:rPr>
          <w:noProof/>
          <w:sz w:val="18"/>
        </w:rPr>
        <w:fldChar w:fldCharType="end"/>
      </w:r>
    </w:p>
    <w:p w:rsidR="00E71F88" w:rsidRDefault="00E71F88">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E71F88">
        <w:rPr>
          <w:i w:val="0"/>
          <w:noProof/>
          <w:sz w:val="18"/>
        </w:rPr>
        <w:tab/>
      </w:r>
      <w:r w:rsidRPr="00E71F88">
        <w:rPr>
          <w:i w:val="0"/>
          <w:noProof/>
          <w:sz w:val="18"/>
        </w:rPr>
        <w:fldChar w:fldCharType="begin"/>
      </w:r>
      <w:r w:rsidRPr="00E71F88">
        <w:rPr>
          <w:i w:val="0"/>
          <w:noProof/>
          <w:sz w:val="18"/>
        </w:rPr>
        <w:instrText xml:space="preserve"> PAGEREF _Toc406573162 \h </w:instrText>
      </w:r>
      <w:r w:rsidRPr="00E71F88">
        <w:rPr>
          <w:i w:val="0"/>
          <w:noProof/>
          <w:sz w:val="18"/>
        </w:rPr>
      </w:r>
      <w:r w:rsidRPr="00E71F88">
        <w:rPr>
          <w:i w:val="0"/>
          <w:noProof/>
          <w:sz w:val="18"/>
        </w:rPr>
        <w:fldChar w:fldCharType="separate"/>
      </w:r>
      <w:r w:rsidR="003F583E">
        <w:rPr>
          <w:i w:val="0"/>
          <w:noProof/>
          <w:sz w:val="18"/>
        </w:rPr>
        <w:t>5</w:t>
      </w:r>
      <w:r w:rsidRPr="00E71F88">
        <w:rPr>
          <w:i w:val="0"/>
          <w:noProof/>
          <w:sz w:val="18"/>
        </w:rPr>
        <w:fldChar w:fldCharType="end"/>
      </w:r>
    </w:p>
    <w:p w:rsidR="00E71F88" w:rsidRDefault="00E71F88">
      <w:pPr>
        <w:pStyle w:val="TOC7"/>
        <w:rPr>
          <w:rFonts w:asciiTheme="minorHAnsi" w:eastAsiaTheme="minorEastAsia" w:hAnsiTheme="minorHAnsi" w:cstheme="minorBidi"/>
          <w:noProof/>
          <w:kern w:val="0"/>
          <w:sz w:val="22"/>
          <w:szCs w:val="22"/>
        </w:rPr>
      </w:pPr>
      <w:r>
        <w:rPr>
          <w:noProof/>
        </w:rPr>
        <w:t>Part 4—Commissioners</w:t>
      </w:r>
      <w:r w:rsidRPr="00E71F88">
        <w:rPr>
          <w:noProof/>
          <w:sz w:val="18"/>
        </w:rPr>
        <w:tab/>
      </w:r>
      <w:r w:rsidRPr="00E71F88">
        <w:rPr>
          <w:noProof/>
          <w:sz w:val="18"/>
        </w:rPr>
        <w:fldChar w:fldCharType="begin"/>
      </w:r>
      <w:r w:rsidRPr="00E71F88">
        <w:rPr>
          <w:noProof/>
          <w:sz w:val="18"/>
        </w:rPr>
        <w:instrText xml:space="preserve"> PAGEREF _Toc406573167 \h </w:instrText>
      </w:r>
      <w:r w:rsidRPr="00E71F88">
        <w:rPr>
          <w:noProof/>
          <w:sz w:val="18"/>
        </w:rPr>
      </w:r>
      <w:r w:rsidRPr="00E71F88">
        <w:rPr>
          <w:noProof/>
          <w:sz w:val="18"/>
        </w:rPr>
        <w:fldChar w:fldCharType="separate"/>
      </w:r>
      <w:r w:rsidR="003F583E">
        <w:rPr>
          <w:noProof/>
          <w:sz w:val="18"/>
        </w:rPr>
        <w:t>8</w:t>
      </w:r>
      <w:r w:rsidRPr="00E71F88">
        <w:rPr>
          <w:noProof/>
          <w:sz w:val="18"/>
        </w:rPr>
        <w:fldChar w:fldCharType="end"/>
      </w:r>
    </w:p>
    <w:p w:rsidR="00E71F88" w:rsidRDefault="00E71F88">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E71F88">
        <w:rPr>
          <w:i w:val="0"/>
          <w:noProof/>
          <w:sz w:val="18"/>
        </w:rPr>
        <w:tab/>
      </w:r>
      <w:r w:rsidRPr="00E71F88">
        <w:rPr>
          <w:i w:val="0"/>
          <w:noProof/>
          <w:sz w:val="18"/>
        </w:rPr>
        <w:fldChar w:fldCharType="begin"/>
      </w:r>
      <w:r w:rsidRPr="00E71F88">
        <w:rPr>
          <w:i w:val="0"/>
          <w:noProof/>
          <w:sz w:val="18"/>
        </w:rPr>
        <w:instrText xml:space="preserve"> PAGEREF _Toc406573168 \h </w:instrText>
      </w:r>
      <w:r w:rsidRPr="00E71F88">
        <w:rPr>
          <w:i w:val="0"/>
          <w:noProof/>
          <w:sz w:val="18"/>
        </w:rPr>
      </w:r>
      <w:r w:rsidRPr="00E71F88">
        <w:rPr>
          <w:i w:val="0"/>
          <w:noProof/>
          <w:sz w:val="18"/>
        </w:rPr>
        <w:fldChar w:fldCharType="separate"/>
      </w:r>
      <w:r w:rsidR="003F583E">
        <w:rPr>
          <w:i w:val="0"/>
          <w:noProof/>
          <w:sz w:val="18"/>
        </w:rPr>
        <w:t>8</w:t>
      </w:r>
      <w:r w:rsidRPr="00E71F88">
        <w:rPr>
          <w:i w:val="0"/>
          <w:noProof/>
          <w:sz w:val="18"/>
        </w:rPr>
        <w:fldChar w:fldCharType="end"/>
      </w:r>
    </w:p>
    <w:p w:rsidR="00E71F88" w:rsidRDefault="00E71F88">
      <w:pPr>
        <w:pStyle w:val="TOC7"/>
        <w:rPr>
          <w:rFonts w:asciiTheme="minorHAnsi" w:eastAsiaTheme="minorEastAsia" w:hAnsiTheme="minorHAnsi" w:cstheme="minorBidi"/>
          <w:noProof/>
          <w:kern w:val="0"/>
          <w:sz w:val="22"/>
          <w:szCs w:val="22"/>
        </w:rPr>
      </w:pPr>
      <w:r>
        <w:rPr>
          <w:noProof/>
        </w:rPr>
        <w:t>Part 5—Chief Executive Officer etc.</w:t>
      </w:r>
      <w:r w:rsidRPr="00E71F88">
        <w:rPr>
          <w:noProof/>
          <w:sz w:val="18"/>
        </w:rPr>
        <w:tab/>
      </w:r>
      <w:r w:rsidRPr="00E71F88">
        <w:rPr>
          <w:noProof/>
          <w:sz w:val="18"/>
        </w:rPr>
        <w:fldChar w:fldCharType="begin"/>
      </w:r>
      <w:r w:rsidRPr="00E71F88">
        <w:rPr>
          <w:noProof/>
          <w:sz w:val="18"/>
        </w:rPr>
        <w:instrText xml:space="preserve"> PAGEREF _Toc406573169 \h </w:instrText>
      </w:r>
      <w:r w:rsidRPr="00E71F88">
        <w:rPr>
          <w:noProof/>
          <w:sz w:val="18"/>
        </w:rPr>
      </w:r>
      <w:r w:rsidRPr="00E71F88">
        <w:rPr>
          <w:noProof/>
          <w:sz w:val="18"/>
        </w:rPr>
        <w:fldChar w:fldCharType="separate"/>
      </w:r>
      <w:r w:rsidR="003F583E">
        <w:rPr>
          <w:noProof/>
          <w:sz w:val="18"/>
        </w:rPr>
        <w:t>11</w:t>
      </w:r>
      <w:r w:rsidRPr="00E71F88">
        <w:rPr>
          <w:noProof/>
          <w:sz w:val="18"/>
        </w:rPr>
        <w:fldChar w:fldCharType="end"/>
      </w:r>
    </w:p>
    <w:p w:rsidR="00E71F88" w:rsidRDefault="00E71F88">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E71F88">
        <w:rPr>
          <w:i w:val="0"/>
          <w:noProof/>
          <w:sz w:val="18"/>
        </w:rPr>
        <w:tab/>
      </w:r>
      <w:r w:rsidRPr="00E71F88">
        <w:rPr>
          <w:i w:val="0"/>
          <w:noProof/>
          <w:sz w:val="18"/>
        </w:rPr>
        <w:fldChar w:fldCharType="begin"/>
      </w:r>
      <w:r w:rsidRPr="00E71F88">
        <w:rPr>
          <w:i w:val="0"/>
          <w:noProof/>
          <w:sz w:val="18"/>
        </w:rPr>
        <w:instrText xml:space="preserve"> PAGEREF _Toc406573170 \h </w:instrText>
      </w:r>
      <w:r w:rsidRPr="00E71F88">
        <w:rPr>
          <w:i w:val="0"/>
          <w:noProof/>
          <w:sz w:val="18"/>
        </w:rPr>
      </w:r>
      <w:r w:rsidRPr="00E71F88">
        <w:rPr>
          <w:i w:val="0"/>
          <w:noProof/>
          <w:sz w:val="18"/>
        </w:rPr>
        <w:fldChar w:fldCharType="separate"/>
      </w:r>
      <w:r w:rsidR="003F583E">
        <w:rPr>
          <w:i w:val="0"/>
          <w:noProof/>
          <w:sz w:val="18"/>
        </w:rPr>
        <w:t>11</w:t>
      </w:r>
      <w:r w:rsidRPr="00E71F88">
        <w:rPr>
          <w:i w:val="0"/>
          <w:noProof/>
          <w:sz w:val="18"/>
        </w:rPr>
        <w:fldChar w:fldCharType="end"/>
      </w:r>
    </w:p>
    <w:p w:rsidR="00E71F88" w:rsidRDefault="00E71F88">
      <w:pPr>
        <w:pStyle w:val="TOC7"/>
        <w:rPr>
          <w:rFonts w:asciiTheme="minorHAnsi" w:eastAsiaTheme="minorEastAsia" w:hAnsiTheme="minorHAnsi" w:cstheme="minorBidi"/>
          <w:noProof/>
          <w:kern w:val="0"/>
          <w:sz w:val="22"/>
          <w:szCs w:val="22"/>
        </w:rPr>
      </w:pPr>
      <w:r>
        <w:rPr>
          <w:noProof/>
        </w:rPr>
        <w:t>Part 6—Notifications of decisions etc.</w:t>
      </w:r>
      <w:r w:rsidRPr="00E71F88">
        <w:rPr>
          <w:noProof/>
          <w:sz w:val="18"/>
        </w:rPr>
        <w:tab/>
      </w:r>
      <w:r w:rsidRPr="00E71F88">
        <w:rPr>
          <w:noProof/>
          <w:sz w:val="18"/>
        </w:rPr>
        <w:fldChar w:fldCharType="begin"/>
      </w:r>
      <w:r w:rsidRPr="00E71F88">
        <w:rPr>
          <w:noProof/>
          <w:sz w:val="18"/>
        </w:rPr>
        <w:instrText xml:space="preserve"> PAGEREF _Toc406573189 \h </w:instrText>
      </w:r>
      <w:r w:rsidRPr="00E71F88">
        <w:rPr>
          <w:noProof/>
          <w:sz w:val="18"/>
        </w:rPr>
      </w:r>
      <w:r w:rsidRPr="00E71F88">
        <w:rPr>
          <w:noProof/>
          <w:sz w:val="18"/>
        </w:rPr>
        <w:fldChar w:fldCharType="separate"/>
      </w:r>
      <w:r w:rsidR="003F583E">
        <w:rPr>
          <w:noProof/>
          <w:sz w:val="18"/>
        </w:rPr>
        <w:t>18</w:t>
      </w:r>
      <w:r w:rsidRPr="00E71F88">
        <w:rPr>
          <w:noProof/>
          <w:sz w:val="18"/>
        </w:rPr>
        <w:fldChar w:fldCharType="end"/>
      </w:r>
    </w:p>
    <w:p w:rsidR="00E71F88" w:rsidRDefault="00E71F88">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E71F88">
        <w:rPr>
          <w:i w:val="0"/>
          <w:noProof/>
          <w:sz w:val="18"/>
        </w:rPr>
        <w:tab/>
      </w:r>
      <w:r w:rsidRPr="00E71F88">
        <w:rPr>
          <w:i w:val="0"/>
          <w:noProof/>
          <w:sz w:val="18"/>
        </w:rPr>
        <w:fldChar w:fldCharType="begin"/>
      </w:r>
      <w:r w:rsidRPr="00E71F88">
        <w:rPr>
          <w:i w:val="0"/>
          <w:noProof/>
          <w:sz w:val="18"/>
        </w:rPr>
        <w:instrText xml:space="preserve"> PAGEREF _Toc406573190 \h </w:instrText>
      </w:r>
      <w:r w:rsidRPr="00E71F88">
        <w:rPr>
          <w:i w:val="0"/>
          <w:noProof/>
          <w:sz w:val="18"/>
        </w:rPr>
      </w:r>
      <w:r w:rsidRPr="00E71F88">
        <w:rPr>
          <w:i w:val="0"/>
          <w:noProof/>
          <w:sz w:val="18"/>
        </w:rPr>
        <w:fldChar w:fldCharType="separate"/>
      </w:r>
      <w:r w:rsidR="003F583E">
        <w:rPr>
          <w:i w:val="0"/>
          <w:noProof/>
          <w:sz w:val="18"/>
        </w:rPr>
        <w:t>18</w:t>
      </w:r>
      <w:r w:rsidRPr="00E71F88">
        <w:rPr>
          <w:i w:val="0"/>
          <w:noProof/>
          <w:sz w:val="18"/>
        </w:rPr>
        <w:fldChar w:fldCharType="end"/>
      </w:r>
    </w:p>
    <w:p w:rsidR="00E71F88" w:rsidRDefault="00E71F88">
      <w:pPr>
        <w:pStyle w:val="TOC7"/>
        <w:rPr>
          <w:rFonts w:asciiTheme="minorHAnsi" w:eastAsiaTheme="minorEastAsia" w:hAnsiTheme="minorHAnsi" w:cstheme="minorBidi"/>
          <w:noProof/>
          <w:kern w:val="0"/>
          <w:sz w:val="22"/>
          <w:szCs w:val="22"/>
        </w:rPr>
      </w:pPr>
      <w:r>
        <w:rPr>
          <w:noProof/>
        </w:rPr>
        <w:t>Part 7—Directions to TEQSA</w:t>
      </w:r>
      <w:r w:rsidRPr="00E71F88">
        <w:rPr>
          <w:noProof/>
          <w:sz w:val="18"/>
        </w:rPr>
        <w:tab/>
      </w:r>
      <w:r w:rsidRPr="00E71F88">
        <w:rPr>
          <w:noProof/>
          <w:sz w:val="18"/>
        </w:rPr>
        <w:fldChar w:fldCharType="begin"/>
      </w:r>
      <w:r w:rsidRPr="00E71F88">
        <w:rPr>
          <w:noProof/>
          <w:sz w:val="18"/>
        </w:rPr>
        <w:instrText xml:space="preserve"> PAGEREF _Toc406573192 \h </w:instrText>
      </w:r>
      <w:r w:rsidRPr="00E71F88">
        <w:rPr>
          <w:noProof/>
          <w:sz w:val="18"/>
        </w:rPr>
      </w:r>
      <w:r w:rsidRPr="00E71F88">
        <w:rPr>
          <w:noProof/>
          <w:sz w:val="18"/>
        </w:rPr>
        <w:fldChar w:fldCharType="separate"/>
      </w:r>
      <w:r w:rsidR="003F583E">
        <w:rPr>
          <w:noProof/>
          <w:sz w:val="18"/>
        </w:rPr>
        <w:t>20</w:t>
      </w:r>
      <w:r w:rsidRPr="00E71F88">
        <w:rPr>
          <w:noProof/>
          <w:sz w:val="18"/>
        </w:rPr>
        <w:fldChar w:fldCharType="end"/>
      </w:r>
    </w:p>
    <w:p w:rsidR="00E71F88" w:rsidRDefault="00E71F88">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E71F88">
        <w:rPr>
          <w:i w:val="0"/>
          <w:noProof/>
          <w:sz w:val="18"/>
        </w:rPr>
        <w:tab/>
      </w:r>
      <w:r w:rsidRPr="00E71F88">
        <w:rPr>
          <w:i w:val="0"/>
          <w:noProof/>
          <w:sz w:val="18"/>
        </w:rPr>
        <w:fldChar w:fldCharType="begin"/>
      </w:r>
      <w:r w:rsidRPr="00E71F88">
        <w:rPr>
          <w:i w:val="0"/>
          <w:noProof/>
          <w:sz w:val="18"/>
        </w:rPr>
        <w:instrText xml:space="preserve"> PAGEREF _Toc406573193 \h </w:instrText>
      </w:r>
      <w:r w:rsidRPr="00E71F88">
        <w:rPr>
          <w:i w:val="0"/>
          <w:noProof/>
          <w:sz w:val="18"/>
        </w:rPr>
      </w:r>
      <w:r w:rsidRPr="00E71F88">
        <w:rPr>
          <w:i w:val="0"/>
          <w:noProof/>
          <w:sz w:val="18"/>
        </w:rPr>
        <w:fldChar w:fldCharType="separate"/>
      </w:r>
      <w:r w:rsidR="003F583E">
        <w:rPr>
          <w:i w:val="0"/>
          <w:noProof/>
          <w:sz w:val="18"/>
        </w:rPr>
        <w:t>20</w:t>
      </w:r>
      <w:r w:rsidRPr="00E71F88">
        <w:rPr>
          <w:i w:val="0"/>
          <w:noProof/>
          <w:sz w:val="18"/>
        </w:rPr>
        <w:fldChar w:fldCharType="end"/>
      </w:r>
    </w:p>
    <w:p w:rsidR="00E71F88" w:rsidRDefault="00E71F88">
      <w:pPr>
        <w:pStyle w:val="TOC7"/>
        <w:rPr>
          <w:rFonts w:asciiTheme="minorHAnsi" w:eastAsiaTheme="minorEastAsia" w:hAnsiTheme="minorHAnsi" w:cstheme="minorBidi"/>
          <w:noProof/>
          <w:kern w:val="0"/>
          <w:sz w:val="22"/>
          <w:szCs w:val="22"/>
        </w:rPr>
      </w:pPr>
      <w:r>
        <w:rPr>
          <w:noProof/>
        </w:rPr>
        <w:t>Part 8—Fees</w:t>
      </w:r>
      <w:r w:rsidRPr="00E71F88">
        <w:rPr>
          <w:noProof/>
          <w:sz w:val="18"/>
        </w:rPr>
        <w:tab/>
      </w:r>
      <w:r w:rsidRPr="00E71F88">
        <w:rPr>
          <w:noProof/>
          <w:sz w:val="18"/>
        </w:rPr>
        <w:fldChar w:fldCharType="begin"/>
      </w:r>
      <w:r w:rsidRPr="00E71F88">
        <w:rPr>
          <w:noProof/>
          <w:sz w:val="18"/>
        </w:rPr>
        <w:instrText xml:space="preserve"> PAGEREF _Toc406573194 \h </w:instrText>
      </w:r>
      <w:r w:rsidRPr="00E71F88">
        <w:rPr>
          <w:noProof/>
          <w:sz w:val="18"/>
        </w:rPr>
      </w:r>
      <w:r w:rsidRPr="00E71F88">
        <w:rPr>
          <w:noProof/>
          <w:sz w:val="18"/>
        </w:rPr>
        <w:fldChar w:fldCharType="separate"/>
      </w:r>
      <w:r w:rsidR="003F583E">
        <w:rPr>
          <w:noProof/>
          <w:sz w:val="18"/>
        </w:rPr>
        <w:t>21</w:t>
      </w:r>
      <w:r w:rsidRPr="00E71F88">
        <w:rPr>
          <w:noProof/>
          <w:sz w:val="18"/>
        </w:rPr>
        <w:fldChar w:fldCharType="end"/>
      </w:r>
    </w:p>
    <w:p w:rsidR="00E71F88" w:rsidRDefault="00E71F88">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E71F88">
        <w:rPr>
          <w:i w:val="0"/>
          <w:noProof/>
          <w:sz w:val="18"/>
        </w:rPr>
        <w:tab/>
      </w:r>
      <w:r w:rsidRPr="00E71F88">
        <w:rPr>
          <w:i w:val="0"/>
          <w:noProof/>
          <w:sz w:val="18"/>
        </w:rPr>
        <w:fldChar w:fldCharType="begin"/>
      </w:r>
      <w:r w:rsidRPr="00E71F88">
        <w:rPr>
          <w:i w:val="0"/>
          <w:noProof/>
          <w:sz w:val="18"/>
        </w:rPr>
        <w:instrText xml:space="preserve"> PAGEREF _Toc406573195 \h </w:instrText>
      </w:r>
      <w:r w:rsidRPr="00E71F88">
        <w:rPr>
          <w:i w:val="0"/>
          <w:noProof/>
          <w:sz w:val="18"/>
        </w:rPr>
      </w:r>
      <w:r w:rsidRPr="00E71F88">
        <w:rPr>
          <w:i w:val="0"/>
          <w:noProof/>
          <w:sz w:val="18"/>
        </w:rPr>
        <w:fldChar w:fldCharType="separate"/>
      </w:r>
      <w:r w:rsidR="003F583E">
        <w:rPr>
          <w:i w:val="0"/>
          <w:noProof/>
          <w:sz w:val="18"/>
        </w:rPr>
        <w:t>21</w:t>
      </w:r>
      <w:r w:rsidRPr="00E71F88">
        <w:rPr>
          <w:i w:val="0"/>
          <w:noProof/>
          <w:sz w:val="18"/>
        </w:rPr>
        <w:fldChar w:fldCharType="end"/>
      </w:r>
    </w:p>
    <w:p w:rsidR="00060FF9" w:rsidRPr="00D51A7A" w:rsidRDefault="00E71F88" w:rsidP="0048364F">
      <w:r>
        <w:fldChar w:fldCharType="end"/>
      </w:r>
    </w:p>
    <w:p w:rsidR="00FE7F93" w:rsidRPr="00D51A7A" w:rsidRDefault="00FE7F93" w:rsidP="0048364F">
      <w:pPr>
        <w:sectPr w:rsidR="00FE7F93" w:rsidRPr="00D51A7A" w:rsidSect="003C2CD6">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3C2CD6" w:rsidRDefault="003F583E">
      <w:r>
        <w:lastRenderedPageBreak/>
        <w:pict>
          <v:shape id="_x0000_i1026" type="#_x0000_t75" style="width:108.75pt;height:77.25pt" fillcolor="window">
            <v:imagedata r:id="rId8" o:title=""/>
          </v:shape>
        </w:pict>
      </w:r>
    </w:p>
    <w:p w:rsidR="003C2CD6" w:rsidRDefault="003C2CD6"/>
    <w:p w:rsidR="003C2CD6" w:rsidRDefault="003C2CD6" w:rsidP="003C2CD6">
      <w:pPr>
        <w:spacing w:line="240" w:lineRule="auto"/>
      </w:pPr>
    </w:p>
    <w:p w:rsidR="003C2CD6" w:rsidRDefault="003F583E" w:rsidP="003C2CD6">
      <w:pPr>
        <w:pStyle w:val="ShortTP1"/>
      </w:pPr>
      <w:r>
        <w:fldChar w:fldCharType="begin"/>
      </w:r>
      <w:r>
        <w:instrText xml:space="preserve"> STYLEREF ShortT </w:instrText>
      </w:r>
      <w:r>
        <w:fldChar w:fldCharType="separate"/>
      </w:r>
      <w:r>
        <w:rPr>
          <w:noProof/>
        </w:rPr>
        <w:t>Tertiary Education Quality and Standards Agency Amendment Act 2014</w:t>
      </w:r>
      <w:r>
        <w:rPr>
          <w:noProof/>
        </w:rPr>
        <w:fldChar w:fldCharType="end"/>
      </w:r>
    </w:p>
    <w:p w:rsidR="003C2CD6" w:rsidRDefault="003F583E" w:rsidP="003C2CD6">
      <w:pPr>
        <w:pStyle w:val="ActNoP1"/>
      </w:pPr>
      <w:r>
        <w:fldChar w:fldCharType="begin"/>
      </w:r>
      <w:r>
        <w:instrText xml:space="preserve"> STYLEREF Actno </w:instrText>
      </w:r>
      <w:r>
        <w:fldChar w:fldCharType="separate"/>
      </w:r>
      <w:r>
        <w:rPr>
          <w:noProof/>
        </w:rPr>
        <w:t>No. 130, 2014</w:t>
      </w:r>
      <w:r>
        <w:rPr>
          <w:noProof/>
        </w:rPr>
        <w:fldChar w:fldCharType="end"/>
      </w:r>
    </w:p>
    <w:p w:rsidR="003C2CD6" w:rsidRPr="009A0728" w:rsidRDefault="003C2CD6" w:rsidP="003C2CD6">
      <w:pPr>
        <w:pBdr>
          <w:bottom w:val="single" w:sz="6" w:space="0" w:color="auto"/>
        </w:pBdr>
        <w:spacing w:before="400" w:line="240" w:lineRule="auto"/>
        <w:rPr>
          <w:rFonts w:eastAsia="Times New Roman"/>
          <w:b/>
          <w:sz w:val="28"/>
        </w:rPr>
      </w:pPr>
    </w:p>
    <w:p w:rsidR="003C2CD6" w:rsidRPr="009A0728" w:rsidRDefault="003C2CD6" w:rsidP="003C2CD6">
      <w:pPr>
        <w:spacing w:line="40" w:lineRule="exact"/>
        <w:rPr>
          <w:rFonts w:eastAsia="Calibri"/>
          <w:b/>
          <w:sz w:val="28"/>
        </w:rPr>
      </w:pPr>
    </w:p>
    <w:p w:rsidR="003C2CD6" w:rsidRPr="009A0728" w:rsidRDefault="003C2CD6" w:rsidP="003C2CD6">
      <w:pPr>
        <w:pBdr>
          <w:top w:val="single" w:sz="12" w:space="0" w:color="auto"/>
        </w:pBdr>
        <w:spacing w:line="240" w:lineRule="auto"/>
        <w:rPr>
          <w:rFonts w:eastAsia="Times New Roman"/>
          <w:b/>
          <w:sz w:val="28"/>
        </w:rPr>
      </w:pPr>
    </w:p>
    <w:p w:rsidR="0048364F" w:rsidRPr="00D51A7A" w:rsidRDefault="003C2CD6" w:rsidP="00D51A7A">
      <w:pPr>
        <w:pStyle w:val="Page1"/>
      </w:pPr>
      <w:r>
        <w:t>An Act</w:t>
      </w:r>
      <w:r w:rsidR="00D51A7A" w:rsidRPr="00D51A7A">
        <w:t xml:space="preserve"> to amend the </w:t>
      </w:r>
      <w:r w:rsidR="00D51A7A" w:rsidRPr="00D51A7A">
        <w:rPr>
          <w:i/>
        </w:rPr>
        <w:t>Tertiary Education Quality and Standards Agency Act 2011</w:t>
      </w:r>
      <w:r w:rsidR="00D51A7A" w:rsidRPr="00D51A7A">
        <w:t>, and for other purposes</w:t>
      </w:r>
    </w:p>
    <w:p w:rsidR="00E71F88" w:rsidRDefault="00E71F88" w:rsidP="003B1CD0">
      <w:pPr>
        <w:pStyle w:val="AssentDt"/>
        <w:spacing w:before="240"/>
        <w:rPr>
          <w:sz w:val="24"/>
        </w:rPr>
      </w:pPr>
      <w:r>
        <w:rPr>
          <w:sz w:val="24"/>
        </w:rPr>
        <w:t>[</w:t>
      </w:r>
      <w:r>
        <w:rPr>
          <w:i/>
          <w:sz w:val="24"/>
        </w:rPr>
        <w:t>Assented to 12 December 2014</w:t>
      </w:r>
      <w:r>
        <w:rPr>
          <w:sz w:val="24"/>
        </w:rPr>
        <w:t>]</w:t>
      </w:r>
    </w:p>
    <w:p w:rsidR="0048364F" w:rsidRPr="00D51A7A" w:rsidRDefault="0048364F" w:rsidP="00D51A7A">
      <w:pPr>
        <w:spacing w:before="240" w:line="240" w:lineRule="auto"/>
        <w:rPr>
          <w:sz w:val="32"/>
        </w:rPr>
      </w:pPr>
      <w:r w:rsidRPr="00D51A7A">
        <w:rPr>
          <w:sz w:val="32"/>
        </w:rPr>
        <w:t>The Parliament of Australia enacts:</w:t>
      </w:r>
    </w:p>
    <w:p w:rsidR="0048364F" w:rsidRPr="00D51A7A" w:rsidRDefault="0048364F" w:rsidP="00D51A7A">
      <w:pPr>
        <w:pStyle w:val="ActHead5"/>
      </w:pPr>
      <w:bookmarkStart w:id="2" w:name="_Toc406573154"/>
      <w:r w:rsidRPr="00D51A7A">
        <w:rPr>
          <w:rStyle w:val="CharSectno"/>
        </w:rPr>
        <w:t>1</w:t>
      </w:r>
      <w:r w:rsidRPr="00D51A7A">
        <w:t xml:space="preserve">  Short title</w:t>
      </w:r>
      <w:bookmarkEnd w:id="2"/>
    </w:p>
    <w:p w:rsidR="0048364F" w:rsidRPr="00D51A7A" w:rsidRDefault="0048364F" w:rsidP="00D51A7A">
      <w:pPr>
        <w:pStyle w:val="subsection"/>
      </w:pPr>
      <w:r w:rsidRPr="00D51A7A">
        <w:tab/>
      </w:r>
      <w:r w:rsidRPr="00D51A7A">
        <w:tab/>
        <w:t xml:space="preserve">This Act may be cited as the </w:t>
      </w:r>
      <w:r w:rsidR="00F15345" w:rsidRPr="00D51A7A">
        <w:rPr>
          <w:i/>
        </w:rPr>
        <w:t>Tertiary Education Quality and Standards Agency Amendment</w:t>
      </w:r>
      <w:r w:rsidR="00C164CA" w:rsidRPr="00D51A7A">
        <w:rPr>
          <w:i/>
        </w:rPr>
        <w:t xml:space="preserve"> Act 201</w:t>
      </w:r>
      <w:r w:rsidR="00F15345" w:rsidRPr="00D51A7A">
        <w:rPr>
          <w:i/>
        </w:rPr>
        <w:t>4</w:t>
      </w:r>
      <w:r w:rsidRPr="00D51A7A">
        <w:t>.</w:t>
      </w:r>
    </w:p>
    <w:p w:rsidR="0048364F" w:rsidRPr="00D51A7A" w:rsidRDefault="0048364F" w:rsidP="00D51A7A">
      <w:pPr>
        <w:pStyle w:val="ActHead5"/>
      </w:pPr>
      <w:bookmarkStart w:id="3" w:name="_Toc406573155"/>
      <w:r w:rsidRPr="00D51A7A">
        <w:rPr>
          <w:rStyle w:val="CharSectno"/>
        </w:rPr>
        <w:lastRenderedPageBreak/>
        <w:t>2</w:t>
      </w:r>
      <w:r w:rsidRPr="00D51A7A">
        <w:t xml:space="preserve">  Commencement</w:t>
      </w:r>
      <w:bookmarkEnd w:id="3"/>
    </w:p>
    <w:p w:rsidR="0048364F" w:rsidRPr="00D51A7A" w:rsidRDefault="0048364F" w:rsidP="00D51A7A">
      <w:pPr>
        <w:pStyle w:val="subsection"/>
      </w:pPr>
      <w:r w:rsidRPr="00D51A7A">
        <w:tab/>
        <w:t>(1)</w:t>
      </w:r>
      <w:r w:rsidRPr="00D51A7A">
        <w:tab/>
        <w:t>Each provision of this Act specified in column 1 of the table commences, or is taken to have commenced, in accordance with column 2 of the table. Any other statement in column 2 has effect according to its terms.</w:t>
      </w:r>
    </w:p>
    <w:p w:rsidR="0048364F" w:rsidRPr="00D51A7A" w:rsidRDefault="0048364F" w:rsidP="00D51A7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51A7A" w:rsidTr="001630A8">
        <w:trPr>
          <w:tblHeader/>
        </w:trPr>
        <w:tc>
          <w:tcPr>
            <w:tcW w:w="7111" w:type="dxa"/>
            <w:gridSpan w:val="3"/>
            <w:tcBorders>
              <w:top w:val="single" w:sz="12" w:space="0" w:color="auto"/>
              <w:bottom w:val="single" w:sz="6" w:space="0" w:color="auto"/>
            </w:tcBorders>
            <w:shd w:val="clear" w:color="auto" w:fill="auto"/>
          </w:tcPr>
          <w:p w:rsidR="0048364F" w:rsidRPr="00D51A7A" w:rsidRDefault="0048364F" w:rsidP="00D51A7A">
            <w:pPr>
              <w:pStyle w:val="TableHeading"/>
            </w:pPr>
            <w:r w:rsidRPr="00D51A7A">
              <w:t>Commencement information</w:t>
            </w:r>
          </w:p>
        </w:tc>
      </w:tr>
      <w:tr w:rsidR="0048364F" w:rsidRPr="00D51A7A" w:rsidTr="001630A8">
        <w:trPr>
          <w:tblHeader/>
        </w:trPr>
        <w:tc>
          <w:tcPr>
            <w:tcW w:w="1701" w:type="dxa"/>
            <w:tcBorders>
              <w:top w:val="single" w:sz="6" w:space="0" w:color="auto"/>
              <w:bottom w:val="single" w:sz="6" w:space="0" w:color="auto"/>
            </w:tcBorders>
            <w:shd w:val="clear" w:color="auto" w:fill="auto"/>
          </w:tcPr>
          <w:p w:rsidR="0048364F" w:rsidRPr="00D51A7A" w:rsidRDefault="0048364F" w:rsidP="00D51A7A">
            <w:pPr>
              <w:pStyle w:val="TableHeading"/>
            </w:pPr>
            <w:r w:rsidRPr="00D51A7A">
              <w:t>Column 1</w:t>
            </w:r>
          </w:p>
        </w:tc>
        <w:tc>
          <w:tcPr>
            <w:tcW w:w="3828" w:type="dxa"/>
            <w:tcBorders>
              <w:top w:val="single" w:sz="6" w:space="0" w:color="auto"/>
              <w:bottom w:val="single" w:sz="6" w:space="0" w:color="auto"/>
            </w:tcBorders>
            <w:shd w:val="clear" w:color="auto" w:fill="auto"/>
          </w:tcPr>
          <w:p w:rsidR="0048364F" w:rsidRPr="00D51A7A" w:rsidRDefault="0048364F" w:rsidP="00D51A7A">
            <w:pPr>
              <w:pStyle w:val="TableHeading"/>
            </w:pPr>
            <w:r w:rsidRPr="00D51A7A">
              <w:t>Column 2</w:t>
            </w:r>
          </w:p>
        </w:tc>
        <w:tc>
          <w:tcPr>
            <w:tcW w:w="1582" w:type="dxa"/>
            <w:tcBorders>
              <w:top w:val="single" w:sz="6" w:space="0" w:color="auto"/>
              <w:bottom w:val="single" w:sz="6" w:space="0" w:color="auto"/>
            </w:tcBorders>
            <w:shd w:val="clear" w:color="auto" w:fill="auto"/>
          </w:tcPr>
          <w:p w:rsidR="0048364F" w:rsidRPr="00D51A7A" w:rsidRDefault="0048364F" w:rsidP="00D51A7A">
            <w:pPr>
              <w:pStyle w:val="TableHeading"/>
            </w:pPr>
            <w:r w:rsidRPr="00D51A7A">
              <w:t>Column 3</w:t>
            </w:r>
          </w:p>
        </w:tc>
      </w:tr>
      <w:tr w:rsidR="0048364F" w:rsidRPr="00D51A7A" w:rsidTr="001630A8">
        <w:trPr>
          <w:tblHeader/>
        </w:trPr>
        <w:tc>
          <w:tcPr>
            <w:tcW w:w="1701" w:type="dxa"/>
            <w:tcBorders>
              <w:top w:val="single" w:sz="6" w:space="0" w:color="auto"/>
              <w:bottom w:val="single" w:sz="12" w:space="0" w:color="auto"/>
            </w:tcBorders>
            <w:shd w:val="clear" w:color="auto" w:fill="auto"/>
          </w:tcPr>
          <w:p w:rsidR="0048364F" w:rsidRPr="00D51A7A" w:rsidRDefault="0048364F" w:rsidP="00D51A7A">
            <w:pPr>
              <w:pStyle w:val="TableHeading"/>
            </w:pPr>
            <w:r w:rsidRPr="00D51A7A">
              <w:t>Provision(s)</w:t>
            </w:r>
          </w:p>
        </w:tc>
        <w:tc>
          <w:tcPr>
            <w:tcW w:w="3828" w:type="dxa"/>
            <w:tcBorders>
              <w:top w:val="single" w:sz="6" w:space="0" w:color="auto"/>
              <w:bottom w:val="single" w:sz="12" w:space="0" w:color="auto"/>
            </w:tcBorders>
            <w:shd w:val="clear" w:color="auto" w:fill="auto"/>
          </w:tcPr>
          <w:p w:rsidR="0048364F" w:rsidRPr="00D51A7A" w:rsidRDefault="0048364F" w:rsidP="00D51A7A">
            <w:pPr>
              <w:pStyle w:val="TableHeading"/>
            </w:pPr>
            <w:r w:rsidRPr="00D51A7A">
              <w:t>Commencement</w:t>
            </w:r>
          </w:p>
        </w:tc>
        <w:tc>
          <w:tcPr>
            <w:tcW w:w="1582" w:type="dxa"/>
            <w:tcBorders>
              <w:top w:val="single" w:sz="6" w:space="0" w:color="auto"/>
              <w:bottom w:val="single" w:sz="12" w:space="0" w:color="auto"/>
            </w:tcBorders>
            <w:shd w:val="clear" w:color="auto" w:fill="auto"/>
          </w:tcPr>
          <w:p w:rsidR="0048364F" w:rsidRPr="00D51A7A" w:rsidRDefault="0048364F" w:rsidP="00D51A7A">
            <w:pPr>
              <w:pStyle w:val="TableHeading"/>
            </w:pPr>
            <w:r w:rsidRPr="00D51A7A">
              <w:t>Date/Details</w:t>
            </w:r>
          </w:p>
        </w:tc>
      </w:tr>
      <w:tr w:rsidR="0048364F" w:rsidRPr="00D51A7A" w:rsidTr="001630A8">
        <w:tc>
          <w:tcPr>
            <w:tcW w:w="1701" w:type="dxa"/>
            <w:tcBorders>
              <w:top w:val="single" w:sz="12" w:space="0" w:color="auto"/>
            </w:tcBorders>
            <w:shd w:val="clear" w:color="auto" w:fill="auto"/>
          </w:tcPr>
          <w:p w:rsidR="0048364F" w:rsidRPr="00D51A7A" w:rsidRDefault="0048364F" w:rsidP="00D51A7A">
            <w:pPr>
              <w:pStyle w:val="Tabletext"/>
            </w:pPr>
            <w:r w:rsidRPr="00D51A7A">
              <w:t>1.  Sections</w:t>
            </w:r>
            <w:r w:rsidR="00D51A7A" w:rsidRPr="00D51A7A">
              <w:t> </w:t>
            </w:r>
            <w:r w:rsidRPr="00D51A7A">
              <w:t>1 to 3 and anything in this Act not elsewhere covered by this table</w:t>
            </w:r>
          </w:p>
        </w:tc>
        <w:tc>
          <w:tcPr>
            <w:tcW w:w="3828" w:type="dxa"/>
            <w:tcBorders>
              <w:top w:val="single" w:sz="12" w:space="0" w:color="auto"/>
            </w:tcBorders>
            <w:shd w:val="clear" w:color="auto" w:fill="auto"/>
          </w:tcPr>
          <w:p w:rsidR="0048364F" w:rsidRPr="00D51A7A" w:rsidRDefault="0048364F" w:rsidP="00D51A7A">
            <w:pPr>
              <w:pStyle w:val="Tabletext"/>
            </w:pPr>
            <w:r w:rsidRPr="00D51A7A">
              <w:t>The day this Act receives the Royal Assent.</w:t>
            </w:r>
          </w:p>
        </w:tc>
        <w:tc>
          <w:tcPr>
            <w:tcW w:w="1582" w:type="dxa"/>
            <w:tcBorders>
              <w:top w:val="single" w:sz="12" w:space="0" w:color="auto"/>
            </w:tcBorders>
            <w:shd w:val="clear" w:color="auto" w:fill="auto"/>
          </w:tcPr>
          <w:p w:rsidR="0048364F" w:rsidRPr="00D51A7A" w:rsidRDefault="00E71F88" w:rsidP="00D51A7A">
            <w:pPr>
              <w:pStyle w:val="Tabletext"/>
            </w:pPr>
            <w:r>
              <w:t>12 December 2014</w:t>
            </w:r>
          </w:p>
        </w:tc>
      </w:tr>
      <w:tr w:rsidR="0048364F" w:rsidRPr="00D51A7A" w:rsidTr="001630A8">
        <w:tc>
          <w:tcPr>
            <w:tcW w:w="1701" w:type="dxa"/>
            <w:shd w:val="clear" w:color="auto" w:fill="auto"/>
          </w:tcPr>
          <w:p w:rsidR="0048364F" w:rsidRPr="00D51A7A" w:rsidRDefault="0048364F" w:rsidP="00D51A7A">
            <w:pPr>
              <w:pStyle w:val="Tabletext"/>
            </w:pPr>
            <w:r w:rsidRPr="00D51A7A">
              <w:t xml:space="preserve">2.  </w:t>
            </w:r>
            <w:r w:rsidR="00FB22E1" w:rsidRPr="00D51A7A">
              <w:t>Schedule</w:t>
            </w:r>
            <w:r w:rsidR="00D51A7A" w:rsidRPr="00D51A7A">
              <w:t> </w:t>
            </w:r>
            <w:r w:rsidR="00574C21" w:rsidRPr="00D51A7A">
              <w:t>1</w:t>
            </w:r>
            <w:r w:rsidR="00F57066">
              <w:t xml:space="preserve">, Parts </w:t>
            </w:r>
            <w:r w:rsidR="009B4F46" w:rsidRPr="00D51A7A">
              <w:t>2 and 3</w:t>
            </w:r>
          </w:p>
        </w:tc>
        <w:tc>
          <w:tcPr>
            <w:tcW w:w="3828" w:type="dxa"/>
            <w:shd w:val="clear" w:color="auto" w:fill="auto"/>
          </w:tcPr>
          <w:p w:rsidR="0048364F" w:rsidRPr="00D51A7A" w:rsidRDefault="009B4F46" w:rsidP="00D51A7A">
            <w:pPr>
              <w:pStyle w:val="Tabletext"/>
            </w:pPr>
            <w:r w:rsidRPr="00D51A7A">
              <w:t>The day after this Act receives the Royal Assent.</w:t>
            </w:r>
          </w:p>
        </w:tc>
        <w:tc>
          <w:tcPr>
            <w:tcW w:w="1582" w:type="dxa"/>
            <w:shd w:val="clear" w:color="auto" w:fill="auto"/>
          </w:tcPr>
          <w:p w:rsidR="0048364F" w:rsidRPr="00D51A7A" w:rsidRDefault="00E71F88" w:rsidP="00D51A7A">
            <w:pPr>
              <w:pStyle w:val="Tabletext"/>
            </w:pPr>
            <w:r>
              <w:t>13 December 2014</w:t>
            </w:r>
          </w:p>
        </w:tc>
      </w:tr>
      <w:tr w:rsidR="009B4F46" w:rsidRPr="00D51A7A" w:rsidTr="001630A8">
        <w:tc>
          <w:tcPr>
            <w:tcW w:w="1701" w:type="dxa"/>
            <w:shd w:val="clear" w:color="auto" w:fill="auto"/>
          </w:tcPr>
          <w:p w:rsidR="009B4F46" w:rsidRPr="00D51A7A" w:rsidRDefault="009B4F46" w:rsidP="00D51A7A">
            <w:pPr>
              <w:pStyle w:val="Tabletext"/>
            </w:pPr>
            <w:r w:rsidRPr="00D51A7A">
              <w:t>3.  Schedule</w:t>
            </w:r>
            <w:r w:rsidR="00D51A7A" w:rsidRPr="00D51A7A">
              <w:t> </w:t>
            </w:r>
            <w:r w:rsidRPr="00D51A7A">
              <w:t>1, Part</w:t>
            </w:r>
            <w:r w:rsidR="00D51A7A" w:rsidRPr="00D51A7A">
              <w:t> </w:t>
            </w:r>
            <w:r w:rsidRPr="00D51A7A">
              <w:t>4</w:t>
            </w:r>
          </w:p>
        </w:tc>
        <w:tc>
          <w:tcPr>
            <w:tcW w:w="3828" w:type="dxa"/>
            <w:shd w:val="clear" w:color="auto" w:fill="auto"/>
          </w:tcPr>
          <w:p w:rsidR="009B4F46" w:rsidRPr="00D51A7A" w:rsidRDefault="00F57066" w:rsidP="00D51A7A">
            <w:pPr>
              <w:pStyle w:val="Tabletext"/>
            </w:pPr>
            <w:r w:rsidRPr="008E40B7">
              <w:t>The day after this Act receives the Royal Assent.</w:t>
            </w:r>
          </w:p>
        </w:tc>
        <w:tc>
          <w:tcPr>
            <w:tcW w:w="1582" w:type="dxa"/>
            <w:shd w:val="clear" w:color="auto" w:fill="auto"/>
          </w:tcPr>
          <w:p w:rsidR="009B4F46" w:rsidRPr="00D51A7A" w:rsidRDefault="00E71F88" w:rsidP="00D51A7A">
            <w:pPr>
              <w:pStyle w:val="Tabletext"/>
            </w:pPr>
            <w:r>
              <w:t>13 December 2014</w:t>
            </w:r>
          </w:p>
        </w:tc>
      </w:tr>
      <w:tr w:rsidR="001630A8" w:rsidRPr="00D51A7A" w:rsidTr="001630A8">
        <w:tc>
          <w:tcPr>
            <w:tcW w:w="1701" w:type="dxa"/>
            <w:tcBorders>
              <w:bottom w:val="single" w:sz="4" w:space="0" w:color="auto"/>
            </w:tcBorders>
            <w:shd w:val="clear" w:color="auto" w:fill="auto"/>
          </w:tcPr>
          <w:p w:rsidR="001630A8" w:rsidRPr="00D51A7A" w:rsidRDefault="001630A8" w:rsidP="00D51A7A">
            <w:pPr>
              <w:pStyle w:val="Tabletext"/>
            </w:pPr>
            <w:r w:rsidRPr="00D51A7A">
              <w:t>4.  Schedule</w:t>
            </w:r>
            <w:r w:rsidR="00D51A7A" w:rsidRPr="00D51A7A">
              <w:t> </w:t>
            </w:r>
            <w:r w:rsidRPr="00D51A7A">
              <w:t>1, Part</w:t>
            </w:r>
            <w:r w:rsidR="00D51A7A" w:rsidRPr="00D51A7A">
              <w:t> </w:t>
            </w:r>
            <w:r w:rsidRPr="00D51A7A">
              <w:t>5</w:t>
            </w:r>
          </w:p>
        </w:tc>
        <w:tc>
          <w:tcPr>
            <w:tcW w:w="3828" w:type="dxa"/>
            <w:tcBorders>
              <w:bottom w:val="single" w:sz="4" w:space="0" w:color="auto"/>
            </w:tcBorders>
            <w:shd w:val="clear" w:color="auto" w:fill="auto"/>
          </w:tcPr>
          <w:p w:rsidR="001630A8" w:rsidRPr="00D51A7A" w:rsidRDefault="00900EB0" w:rsidP="00D51A7A">
            <w:pPr>
              <w:pStyle w:val="Tabletext"/>
            </w:pPr>
            <w:r w:rsidRPr="008E40B7">
              <w:t>The day after this Act receives the Royal Assent.</w:t>
            </w:r>
          </w:p>
        </w:tc>
        <w:tc>
          <w:tcPr>
            <w:tcW w:w="1582" w:type="dxa"/>
            <w:tcBorders>
              <w:bottom w:val="single" w:sz="4" w:space="0" w:color="auto"/>
            </w:tcBorders>
            <w:shd w:val="clear" w:color="auto" w:fill="auto"/>
          </w:tcPr>
          <w:p w:rsidR="001630A8" w:rsidRPr="00D51A7A" w:rsidRDefault="00E71F88" w:rsidP="00D51A7A">
            <w:pPr>
              <w:pStyle w:val="Tabletext"/>
            </w:pPr>
            <w:r>
              <w:t>13 December 2014</w:t>
            </w:r>
          </w:p>
        </w:tc>
      </w:tr>
      <w:tr w:rsidR="009B4F46" w:rsidRPr="00D51A7A" w:rsidTr="001630A8">
        <w:tc>
          <w:tcPr>
            <w:tcW w:w="1701" w:type="dxa"/>
            <w:tcBorders>
              <w:bottom w:val="single" w:sz="12" w:space="0" w:color="auto"/>
            </w:tcBorders>
            <w:shd w:val="clear" w:color="auto" w:fill="auto"/>
          </w:tcPr>
          <w:p w:rsidR="009B4F46" w:rsidRPr="00D51A7A" w:rsidRDefault="001630A8" w:rsidP="00D51A7A">
            <w:pPr>
              <w:pStyle w:val="Tabletext"/>
            </w:pPr>
            <w:r w:rsidRPr="00D51A7A">
              <w:t>5</w:t>
            </w:r>
            <w:r w:rsidR="009B4F46" w:rsidRPr="00D51A7A">
              <w:t>.  Schedule</w:t>
            </w:r>
            <w:r w:rsidR="00D51A7A" w:rsidRPr="00D51A7A">
              <w:t> </w:t>
            </w:r>
            <w:r w:rsidR="009B4F46" w:rsidRPr="00D51A7A">
              <w:t>1, Parts</w:t>
            </w:r>
            <w:r w:rsidR="00D51A7A" w:rsidRPr="00D51A7A">
              <w:t> </w:t>
            </w:r>
            <w:r w:rsidR="00850AEB" w:rsidRPr="00D51A7A">
              <w:t>6, 7 and 8</w:t>
            </w:r>
          </w:p>
        </w:tc>
        <w:tc>
          <w:tcPr>
            <w:tcW w:w="3828" w:type="dxa"/>
            <w:tcBorders>
              <w:bottom w:val="single" w:sz="12" w:space="0" w:color="auto"/>
            </w:tcBorders>
            <w:shd w:val="clear" w:color="auto" w:fill="auto"/>
          </w:tcPr>
          <w:p w:rsidR="009B4F46" w:rsidRPr="00D51A7A" w:rsidRDefault="009B4F46" w:rsidP="00D51A7A">
            <w:pPr>
              <w:pStyle w:val="Tabletext"/>
            </w:pPr>
            <w:r w:rsidRPr="00D51A7A">
              <w:t>The day after this Act receives the Royal Assent.</w:t>
            </w:r>
          </w:p>
        </w:tc>
        <w:tc>
          <w:tcPr>
            <w:tcW w:w="1582" w:type="dxa"/>
            <w:tcBorders>
              <w:bottom w:val="single" w:sz="12" w:space="0" w:color="auto"/>
            </w:tcBorders>
            <w:shd w:val="clear" w:color="auto" w:fill="auto"/>
          </w:tcPr>
          <w:p w:rsidR="009B4F46" w:rsidRPr="00D51A7A" w:rsidRDefault="00E71F88" w:rsidP="00D51A7A">
            <w:pPr>
              <w:pStyle w:val="Tabletext"/>
            </w:pPr>
            <w:r>
              <w:t>13 December 2014</w:t>
            </w:r>
          </w:p>
        </w:tc>
      </w:tr>
    </w:tbl>
    <w:p w:rsidR="0048364F" w:rsidRPr="00D51A7A" w:rsidRDefault="00201D27" w:rsidP="00D51A7A">
      <w:pPr>
        <w:pStyle w:val="notetext"/>
      </w:pPr>
      <w:r w:rsidRPr="00D51A7A">
        <w:t xml:space="preserve">Note: </w:t>
      </w:r>
      <w:r w:rsidRPr="00D51A7A">
        <w:tab/>
        <w:t>This table relates only to the provisions of this Act as originally enacted. It will not be amended to deal with any later amendments of this Act.</w:t>
      </w:r>
    </w:p>
    <w:p w:rsidR="0048364F" w:rsidRPr="00D51A7A" w:rsidRDefault="0048364F" w:rsidP="00D51A7A">
      <w:pPr>
        <w:pStyle w:val="subsection"/>
      </w:pPr>
      <w:r w:rsidRPr="00D51A7A">
        <w:tab/>
        <w:t>(2)</w:t>
      </w:r>
      <w:r w:rsidRPr="00D51A7A">
        <w:tab/>
      </w:r>
      <w:r w:rsidR="00201D27" w:rsidRPr="00D51A7A">
        <w:t xml:space="preserve">Any information in </w:t>
      </w:r>
      <w:r w:rsidR="00877D48" w:rsidRPr="00D51A7A">
        <w:t>c</w:t>
      </w:r>
      <w:r w:rsidR="00201D27" w:rsidRPr="00D51A7A">
        <w:t>olumn 3 of the table is not part of this Act. Information may be inserted in this column, or information in it may be edited, in any published version of this Act.</w:t>
      </w:r>
    </w:p>
    <w:p w:rsidR="0048364F" w:rsidRPr="00D51A7A" w:rsidRDefault="0048364F" w:rsidP="00D51A7A">
      <w:pPr>
        <w:pStyle w:val="ActHead5"/>
      </w:pPr>
      <w:bookmarkStart w:id="4" w:name="_Toc406573156"/>
      <w:r w:rsidRPr="00D51A7A">
        <w:rPr>
          <w:rStyle w:val="CharSectno"/>
        </w:rPr>
        <w:t>3</w:t>
      </w:r>
      <w:r w:rsidRPr="00D51A7A">
        <w:t xml:space="preserve">  Schedule(s)</w:t>
      </w:r>
      <w:bookmarkEnd w:id="4"/>
    </w:p>
    <w:p w:rsidR="0048364F" w:rsidRPr="00D51A7A" w:rsidRDefault="0048364F" w:rsidP="00D51A7A">
      <w:pPr>
        <w:pStyle w:val="subsection"/>
      </w:pPr>
      <w:r w:rsidRPr="00D51A7A">
        <w:tab/>
      </w:r>
      <w:r w:rsidRPr="00D51A7A">
        <w:tab/>
        <w:t>Each Act that is specified in a Schedule to this Act is amended or repealed as set out in the applicable items in the Schedule concerned, and any other item in a Schedule to this Act has effect according to its terms.</w:t>
      </w:r>
    </w:p>
    <w:p w:rsidR="00022640" w:rsidRPr="00D51A7A" w:rsidRDefault="00022640" w:rsidP="00022640">
      <w:pPr>
        <w:pStyle w:val="ActHead6"/>
        <w:pageBreakBefore/>
      </w:pPr>
      <w:bookmarkStart w:id="5" w:name="_Toc406573157"/>
      <w:bookmarkStart w:id="6" w:name="opcAmSched"/>
      <w:bookmarkStart w:id="7" w:name="opcCurrentFind"/>
      <w:r w:rsidRPr="00D51A7A">
        <w:rPr>
          <w:rStyle w:val="CharAmSchNo"/>
        </w:rPr>
        <w:lastRenderedPageBreak/>
        <w:t>Schedule 1</w:t>
      </w:r>
      <w:r w:rsidRPr="00D51A7A">
        <w:t>—</w:t>
      </w:r>
      <w:r w:rsidRPr="00D51A7A">
        <w:rPr>
          <w:rStyle w:val="CharAmSchText"/>
        </w:rPr>
        <w:t>Amendments</w:t>
      </w:r>
      <w:bookmarkEnd w:id="5"/>
    </w:p>
    <w:p w:rsidR="00022640" w:rsidRPr="00D51A7A" w:rsidRDefault="00022640" w:rsidP="00022640">
      <w:pPr>
        <w:pStyle w:val="ActHead7"/>
      </w:pPr>
      <w:bookmarkStart w:id="8" w:name="_Toc406573158"/>
      <w:r w:rsidRPr="00D51A7A">
        <w:rPr>
          <w:rStyle w:val="CharAmPartNo"/>
        </w:rPr>
        <w:t>Part </w:t>
      </w:r>
      <w:r>
        <w:rPr>
          <w:rStyle w:val="CharAmPartNo"/>
        </w:rPr>
        <w:t>2</w:t>
      </w:r>
      <w:r w:rsidRPr="00D51A7A">
        <w:t>—</w:t>
      </w:r>
      <w:r>
        <w:rPr>
          <w:rStyle w:val="CharAmPartText"/>
        </w:rPr>
        <w:t>Delegations</w:t>
      </w:r>
      <w:bookmarkEnd w:id="8"/>
    </w:p>
    <w:p w:rsidR="00022640" w:rsidRPr="00D51A7A" w:rsidRDefault="00022640" w:rsidP="00022640">
      <w:pPr>
        <w:pStyle w:val="ActHead9"/>
        <w:rPr>
          <w:i w:val="0"/>
        </w:rPr>
      </w:pPr>
      <w:bookmarkStart w:id="9" w:name="_Toc406573159"/>
      <w:r w:rsidRPr="00D51A7A">
        <w:t>Tertiary Education Quality and Standards Agency Act 2011</w:t>
      </w:r>
      <w:bookmarkEnd w:id="9"/>
    </w:p>
    <w:p w:rsidR="00022640" w:rsidRPr="00D51A7A" w:rsidRDefault="00022640" w:rsidP="00022640">
      <w:pPr>
        <w:pStyle w:val="ItemHead"/>
      </w:pPr>
      <w:r w:rsidRPr="00D51A7A">
        <w:t>6  Section 199 (heading)</w:t>
      </w:r>
    </w:p>
    <w:p w:rsidR="00022640" w:rsidRPr="00D51A7A" w:rsidRDefault="00022640" w:rsidP="00022640">
      <w:pPr>
        <w:pStyle w:val="Item"/>
      </w:pPr>
      <w:r w:rsidRPr="00D51A7A">
        <w:t>Repeal the heading, substitute:</w:t>
      </w:r>
    </w:p>
    <w:p w:rsidR="00022640" w:rsidRPr="00D51A7A" w:rsidRDefault="00022640" w:rsidP="00022640">
      <w:pPr>
        <w:pStyle w:val="ActHead5"/>
      </w:pPr>
      <w:bookmarkStart w:id="10" w:name="_Toc406573160"/>
      <w:r w:rsidRPr="00D51A7A">
        <w:rPr>
          <w:rStyle w:val="CharSectno"/>
        </w:rPr>
        <w:t>199</w:t>
      </w:r>
      <w:r w:rsidRPr="00D51A7A">
        <w:t xml:space="preserve">  Delegation by TEQSA</w:t>
      </w:r>
      <w:bookmarkEnd w:id="10"/>
    </w:p>
    <w:p w:rsidR="00022640" w:rsidRPr="008E40B7" w:rsidRDefault="00022640" w:rsidP="00022640">
      <w:pPr>
        <w:pStyle w:val="ItemHead"/>
      </w:pPr>
      <w:r w:rsidRPr="008E40B7">
        <w:t>6A  Paragraph 199(1)(b)</w:t>
      </w:r>
    </w:p>
    <w:p w:rsidR="00022640" w:rsidRPr="008E40B7" w:rsidRDefault="00022640" w:rsidP="00022640">
      <w:pPr>
        <w:pStyle w:val="Item"/>
      </w:pPr>
      <w:r w:rsidRPr="008E40B7">
        <w:t>Omit “classification; or”, substitute “classification.”.</w:t>
      </w:r>
    </w:p>
    <w:p w:rsidR="00022640" w:rsidRPr="008E40B7" w:rsidRDefault="00022640" w:rsidP="00022640">
      <w:pPr>
        <w:pStyle w:val="ItemHead"/>
      </w:pPr>
      <w:r w:rsidRPr="008E40B7">
        <w:t>6B  Paragraphs 199(1)(c) and (d)</w:t>
      </w:r>
    </w:p>
    <w:p w:rsidR="00022640" w:rsidRPr="008E40B7" w:rsidRDefault="00022640" w:rsidP="00022640">
      <w:pPr>
        <w:pStyle w:val="Item"/>
      </w:pPr>
      <w:r w:rsidRPr="008E40B7">
        <w:t>Repeal the paragraphs.</w:t>
      </w:r>
    </w:p>
    <w:p w:rsidR="00022640" w:rsidRPr="00D51A7A" w:rsidRDefault="00022640" w:rsidP="00022640">
      <w:pPr>
        <w:pStyle w:val="ItemHead"/>
      </w:pPr>
      <w:r w:rsidRPr="00D51A7A">
        <w:t>7  Subsection 199(2)</w:t>
      </w:r>
    </w:p>
    <w:p w:rsidR="00022640" w:rsidRPr="00D51A7A" w:rsidRDefault="00022640" w:rsidP="00022640">
      <w:pPr>
        <w:pStyle w:val="Item"/>
      </w:pPr>
      <w:r w:rsidRPr="00D51A7A">
        <w:t>Repeal the subsection, substitute:</w:t>
      </w:r>
    </w:p>
    <w:p w:rsidR="00022640" w:rsidRPr="00D51A7A" w:rsidRDefault="00022640" w:rsidP="00022640">
      <w:pPr>
        <w:pStyle w:val="subsection"/>
      </w:pPr>
      <w:r w:rsidRPr="00D51A7A">
        <w:tab/>
        <w:t>(2)</w:t>
      </w:r>
      <w:r w:rsidRPr="00D51A7A">
        <w:tab/>
        <w:t>Subsection (1) does not apply to a power to make, vary or revoke a legislative instrument.</w:t>
      </w:r>
    </w:p>
    <w:p w:rsidR="00022640" w:rsidRPr="00D51A7A" w:rsidRDefault="00022640" w:rsidP="00022640">
      <w:pPr>
        <w:pStyle w:val="ItemHead"/>
      </w:pPr>
      <w:r w:rsidRPr="00D51A7A">
        <w:t>8  Section 200</w:t>
      </w:r>
    </w:p>
    <w:p w:rsidR="00022640" w:rsidRPr="00D51A7A" w:rsidRDefault="00022640" w:rsidP="00022640">
      <w:pPr>
        <w:pStyle w:val="Item"/>
      </w:pPr>
      <w:r w:rsidRPr="00D51A7A">
        <w:t>Repeal the section.</w:t>
      </w:r>
    </w:p>
    <w:p w:rsidR="00022640" w:rsidRPr="00D51A7A" w:rsidRDefault="00022640" w:rsidP="00022640">
      <w:pPr>
        <w:pStyle w:val="ItemHead"/>
      </w:pPr>
      <w:r w:rsidRPr="00D51A7A">
        <w:t>9  Section 201</w:t>
      </w:r>
    </w:p>
    <w:p w:rsidR="00022640" w:rsidRPr="00D51A7A" w:rsidRDefault="00022640" w:rsidP="00022640">
      <w:pPr>
        <w:pStyle w:val="Item"/>
      </w:pPr>
      <w:r w:rsidRPr="00D51A7A">
        <w:t>Omit “or 200”.</w:t>
      </w:r>
    </w:p>
    <w:p w:rsidR="00022640" w:rsidRPr="00D51A7A" w:rsidRDefault="00022640" w:rsidP="00022640">
      <w:pPr>
        <w:pStyle w:val="ItemHead"/>
      </w:pPr>
      <w:r w:rsidRPr="00D51A7A">
        <w:t>10  Subsection 202(1) (note)</w:t>
      </w:r>
    </w:p>
    <w:p w:rsidR="00022640" w:rsidRPr="00D51A7A" w:rsidRDefault="00022640" w:rsidP="00022640">
      <w:pPr>
        <w:pStyle w:val="Item"/>
      </w:pPr>
      <w:r w:rsidRPr="00D51A7A">
        <w:t>Omit “or 200”.</w:t>
      </w:r>
    </w:p>
    <w:p w:rsidR="00022640" w:rsidRPr="00D51A7A" w:rsidRDefault="00022640" w:rsidP="00022640">
      <w:pPr>
        <w:pStyle w:val="ItemHead"/>
      </w:pPr>
      <w:r w:rsidRPr="00D51A7A">
        <w:t>11  Transitional—delegations</w:t>
      </w:r>
    </w:p>
    <w:p w:rsidR="00022640" w:rsidRPr="00D51A7A" w:rsidRDefault="00022640" w:rsidP="00022640">
      <w:pPr>
        <w:pStyle w:val="Subitem"/>
      </w:pPr>
      <w:r w:rsidRPr="00D51A7A">
        <w:t>(1)</w:t>
      </w:r>
      <w:r w:rsidRPr="00D51A7A">
        <w:tab/>
        <w:t>This item applies to a delegation if:</w:t>
      </w:r>
    </w:p>
    <w:p w:rsidR="00022640" w:rsidRPr="00D51A7A" w:rsidRDefault="00022640" w:rsidP="00022640">
      <w:pPr>
        <w:pStyle w:val="paragraph"/>
      </w:pPr>
      <w:r w:rsidRPr="00D51A7A">
        <w:tab/>
        <w:t>(a)</w:t>
      </w:r>
      <w:r w:rsidRPr="00D51A7A">
        <w:tab/>
        <w:t>the delegate is a Commissioner; and</w:t>
      </w:r>
    </w:p>
    <w:p w:rsidR="00022640" w:rsidRPr="00D51A7A" w:rsidRDefault="00022640" w:rsidP="00022640">
      <w:pPr>
        <w:pStyle w:val="paragraph"/>
      </w:pPr>
      <w:r w:rsidRPr="00D51A7A">
        <w:lastRenderedPageBreak/>
        <w:tab/>
        <w:t>(b)</w:t>
      </w:r>
      <w:r w:rsidRPr="00D51A7A">
        <w:tab/>
        <w:t xml:space="preserve">the delegation was in force under section 200 of the </w:t>
      </w:r>
      <w:r w:rsidRPr="00D51A7A">
        <w:rPr>
          <w:i/>
        </w:rPr>
        <w:t>Tertiary Education Quality and Standards Agency Act 2011</w:t>
      </w:r>
      <w:r w:rsidRPr="00D51A7A">
        <w:t xml:space="preserve"> immediately before the commencement of this item.</w:t>
      </w:r>
    </w:p>
    <w:p w:rsidR="00022640" w:rsidRPr="00D51A7A" w:rsidRDefault="00022640" w:rsidP="00022640">
      <w:pPr>
        <w:pStyle w:val="Subitem"/>
      </w:pPr>
      <w:r w:rsidRPr="00D51A7A">
        <w:t>(2)</w:t>
      </w:r>
      <w:r w:rsidRPr="00D51A7A">
        <w:tab/>
        <w:t>The delegation has effect, after the commencement of this item, as if the delegation had been made under subsection 199(1) of that Act as amended by this Part.</w:t>
      </w:r>
    </w:p>
    <w:p w:rsidR="00022640" w:rsidRPr="00D51A7A" w:rsidRDefault="00022640" w:rsidP="00022640">
      <w:pPr>
        <w:pStyle w:val="ItemHead"/>
      </w:pPr>
      <w:r w:rsidRPr="00D51A7A">
        <w:t>12  Transitional—directions to delegates</w:t>
      </w:r>
    </w:p>
    <w:p w:rsidR="00022640" w:rsidRPr="00D51A7A" w:rsidRDefault="00022640" w:rsidP="00022640">
      <w:pPr>
        <w:pStyle w:val="Subitem"/>
      </w:pPr>
      <w:r w:rsidRPr="00D51A7A">
        <w:t>(1)</w:t>
      </w:r>
      <w:r w:rsidRPr="00D51A7A">
        <w:tab/>
        <w:t>This item applies to a direction to a delegate if:</w:t>
      </w:r>
    </w:p>
    <w:p w:rsidR="00022640" w:rsidRPr="00D51A7A" w:rsidRDefault="00022640" w:rsidP="00022640">
      <w:pPr>
        <w:pStyle w:val="paragraph"/>
      </w:pPr>
      <w:r w:rsidRPr="00D51A7A">
        <w:tab/>
        <w:t>(a)</w:t>
      </w:r>
      <w:r w:rsidRPr="00D51A7A">
        <w:tab/>
        <w:t>the delegate is a Commissioner; and</w:t>
      </w:r>
    </w:p>
    <w:p w:rsidR="00022640" w:rsidRPr="00D51A7A" w:rsidRDefault="00022640" w:rsidP="00022640">
      <w:pPr>
        <w:pStyle w:val="paragraph"/>
      </w:pPr>
      <w:r w:rsidRPr="00D51A7A">
        <w:tab/>
        <w:t>(b)</w:t>
      </w:r>
      <w:r w:rsidRPr="00D51A7A">
        <w:tab/>
        <w:t xml:space="preserve">the direction was in force under section 201 of the </w:t>
      </w:r>
      <w:r w:rsidRPr="00D51A7A">
        <w:rPr>
          <w:i/>
        </w:rPr>
        <w:t>Tertiary Education Quality and Standards Agency Act 2011</w:t>
      </w:r>
      <w:r w:rsidRPr="00D51A7A">
        <w:t xml:space="preserve"> immediately before the commencement of this item; and</w:t>
      </w:r>
    </w:p>
    <w:p w:rsidR="00022640" w:rsidRPr="00D51A7A" w:rsidRDefault="00022640" w:rsidP="00022640">
      <w:pPr>
        <w:pStyle w:val="paragraph"/>
      </w:pPr>
      <w:r w:rsidRPr="00D51A7A">
        <w:tab/>
        <w:t>(c)</w:t>
      </w:r>
      <w:r w:rsidRPr="00D51A7A">
        <w:tab/>
        <w:t>the direction related to a delegation under section 200 of that Act.</w:t>
      </w:r>
    </w:p>
    <w:p w:rsidR="00022640" w:rsidRPr="00D51A7A" w:rsidRDefault="00022640" w:rsidP="00022640">
      <w:pPr>
        <w:pStyle w:val="Subitem"/>
      </w:pPr>
      <w:r w:rsidRPr="00D51A7A">
        <w:t>(2)</w:t>
      </w:r>
      <w:r w:rsidRPr="00D51A7A">
        <w:tab/>
        <w:t>The direction has effect, after the commencement of this item, as if the direction related to a delegation under subsection 199(1) of that Act as amended by this Part.</w:t>
      </w:r>
    </w:p>
    <w:p w:rsidR="00945436" w:rsidRPr="00D51A7A" w:rsidRDefault="00945436" w:rsidP="00D51A7A">
      <w:pPr>
        <w:pStyle w:val="ActHead7"/>
        <w:pageBreakBefore/>
      </w:pPr>
      <w:bookmarkStart w:id="11" w:name="_Toc406573161"/>
      <w:bookmarkEnd w:id="6"/>
      <w:bookmarkEnd w:id="7"/>
      <w:r w:rsidRPr="00D51A7A">
        <w:rPr>
          <w:rStyle w:val="CharAmPartNo"/>
        </w:rPr>
        <w:lastRenderedPageBreak/>
        <w:t>Part</w:t>
      </w:r>
      <w:r w:rsidR="00D51A7A" w:rsidRPr="00D51A7A">
        <w:rPr>
          <w:rStyle w:val="CharAmPartNo"/>
        </w:rPr>
        <w:t> </w:t>
      </w:r>
      <w:r w:rsidRPr="00D51A7A">
        <w:rPr>
          <w:rStyle w:val="CharAmPartNo"/>
        </w:rPr>
        <w:t>3</w:t>
      </w:r>
      <w:r w:rsidRPr="00D51A7A">
        <w:t>—</w:t>
      </w:r>
      <w:r w:rsidRPr="00D51A7A">
        <w:rPr>
          <w:rStyle w:val="CharAmPartText"/>
        </w:rPr>
        <w:t>Period of registration or accreditation</w:t>
      </w:r>
      <w:bookmarkEnd w:id="11"/>
    </w:p>
    <w:p w:rsidR="00945436" w:rsidRPr="00D51A7A" w:rsidRDefault="00945436" w:rsidP="00D51A7A">
      <w:pPr>
        <w:pStyle w:val="ActHead9"/>
        <w:rPr>
          <w:i w:val="0"/>
        </w:rPr>
      </w:pPr>
      <w:bookmarkStart w:id="12" w:name="_Toc406573162"/>
      <w:r w:rsidRPr="00D51A7A">
        <w:t>Tertiary Education Quality and Standards Agency Act 2011</w:t>
      </w:r>
      <w:bookmarkEnd w:id="12"/>
    </w:p>
    <w:p w:rsidR="00CB2D2D" w:rsidRPr="00D51A7A" w:rsidRDefault="004A5D14" w:rsidP="00D51A7A">
      <w:pPr>
        <w:pStyle w:val="ItemHead"/>
      </w:pPr>
      <w:r w:rsidRPr="00D51A7A">
        <w:t>13</w:t>
      </w:r>
      <w:r w:rsidR="00CB2D2D" w:rsidRPr="00D51A7A">
        <w:t xml:space="preserve">  At the end of subsection</w:t>
      </w:r>
      <w:r w:rsidR="00D51A7A" w:rsidRPr="00D51A7A">
        <w:t> </w:t>
      </w:r>
      <w:r w:rsidR="00CB2D2D" w:rsidRPr="00D51A7A">
        <w:t>21(6)</w:t>
      </w:r>
    </w:p>
    <w:p w:rsidR="00CB2D2D" w:rsidRPr="00D51A7A" w:rsidRDefault="00CB2D2D" w:rsidP="00D51A7A">
      <w:pPr>
        <w:pStyle w:val="Item"/>
      </w:pPr>
      <w:r w:rsidRPr="00D51A7A">
        <w:t>Add:</w:t>
      </w:r>
    </w:p>
    <w:p w:rsidR="00CB2D2D" w:rsidRPr="00D51A7A" w:rsidRDefault="00CB2D2D" w:rsidP="00D51A7A">
      <w:pPr>
        <w:pStyle w:val="notetext"/>
      </w:pPr>
      <w:r w:rsidRPr="00D51A7A">
        <w:t>Note 3:</w:t>
      </w:r>
      <w:r w:rsidRPr="00D51A7A">
        <w:tab/>
      </w:r>
      <w:r w:rsidR="00383055" w:rsidRPr="00D51A7A">
        <w:t xml:space="preserve">The </w:t>
      </w:r>
      <w:r w:rsidRPr="00D51A7A">
        <w:t>period of registration</w:t>
      </w:r>
      <w:r w:rsidR="00383055" w:rsidRPr="00D51A7A">
        <w:t xml:space="preserve"> may be extended (</w:t>
      </w:r>
      <w:r w:rsidRPr="00D51A7A">
        <w:t>see section</w:t>
      </w:r>
      <w:r w:rsidR="00D51A7A" w:rsidRPr="00D51A7A">
        <w:t> </w:t>
      </w:r>
      <w:r w:rsidRPr="00D51A7A">
        <w:t>37A</w:t>
      </w:r>
      <w:r w:rsidR="00383055" w:rsidRPr="00D51A7A">
        <w:t>)</w:t>
      </w:r>
      <w:r w:rsidRPr="00D51A7A">
        <w:t>.</w:t>
      </w:r>
    </w:p>
    <w:p w:rsidR="001363D6" w:rsidRPr="00D51A7A" w:rsidRDefault="004A5D14" w:rsidP="00D51A7A">
      <w:pPr>
        <w:pStyle w:val="ItemHead"/>
      </w:pPr>
      <w:r w:rsidRPr="00D51A7A">
        <w:t>14</w:t>
      </w:r>
      <w:r w:rsidR="001363D6" w:rsidRPr="00D51A7A">
        <w:t xml:space="preserve">  Subsection</w:t>
      </w:r>
      <w:r w:rsidR="00D51A7A" w:rsidRPr="00D51A7A">
        <w:t> </w:t>
      </w:r>
      <w:r w:rsidR="001363D6" w:rsidRPr="00D51A7A">
        <w:t>23(2)</w:t>
      </w:r>
    </w:p>
    <w:p w:rsidR="001363D6" w:rsidRPr="00D51A7A" w:rsidRDefault="001363D6" w:rsidP="00D51A7A">
      <w:pPr>
        <w:pStyle w:val="Item"/>
      </w:pPr>
      <w:r w:rsidRPr="00D51A7A">
        <w:t>Repeal the subsection, substitute:</w:t>
      </w:r>
    </w:p>
    <w:p w:rsidR="001363D6" w:rsidRPr="00D51A7A" w:rsidRDefault="001363D6" w:rsidP="00D51A7A">
      <w:pPr>
        <w:pStyle w:val="subsection"/>
      </w:pPr>
      <w:r w:rsidRPr="00D51A7A">
        <w:tab/>
        <w:t>(2)</w:t>
      </w:r>
      <w:r w:rsidRPr="00D51A7A">
        <w:tab/>
      </w:r>
      <w:r w:rsidR="00D51A7A" w:rsidRPr="00D51A7A">
        <w:t>Paragraph (</w:t>
      </w:r>
      <w:r w:rsidRPr="00D51A7A">
        <w:t>1)(b) has effect subject to the following:</w:t>
      </w:r>
    </w:p>
    <w:p w:rsidR="001363D6" w:rsidRPr="00D51A7A" w:rsidRDefault="00156EA5" w:rsidP="00D51A7A">
      <w:pPr>
        <w:pStyle w:val="paragraph"/>
      </w:pPr>
      <w:r w:rsidRPr="00D51A7A">
        <w:tab/>
        <w:t>(a)</w:t>
      </w:r>
      <w:r w:rsidRPr="00D51A7A">
        <w:tab/>
      </w:r>
      <w:r w:rsidR="001363D6" w:rsidRPr="00D51A7A">
        <w:t>subsection</w:t>
      </w:r>
      <w:r w:rsidR="00D51A7A" w:rsidRPr="00D51A7A">
        <w:t> </w:t>
      </w:r>
      <w:r w:rsidR="001363D6" w:rsidRPr="00D51A7A">
        <w:t>36(3) (about renewing registration);</w:t>
      </w:r>
    </w:p>
    <w:p w:rsidR="00156EA5" w:rsidRPr="00D51A7A" w:rsidRDefault="00156EA5" w:rsidP="00D51A7A">
      <w:pPr>
        <w:pStyle w:val="paragraph"/>
      </w:pPr>
      <w:r w:rsidRPr="00D51A7A">
        <w:tab/>
        <w:t>(b)</w:t>
      </w:r>
      <w:r w:rsidRPr="00D51A7A">
        <w:tab/>
        <w:t>section</w:t>
      </w:r>
      <w:r w:rsidR="00D51A7A" w:rsidRPr="00D51A7A">
        <w:t> </w:t>
      </w:r>
      <w:r w:rsidRPr="00D51A7A">
        <w:t>37A (about extending registration);</w:t>
      </w:r>
    </w:p>
    <w:p w:rsidR="001363D6" w:rsidRPr="00D51A7A" w:rsidRDefault="00156EA5" w:rsidP="00D51A7A">
      <w:pPr>
        <w:pStyle w:val="paragraph"/>
      </w:pPr>
      <w:r w:rsidRPr="00D51A7A">
        <w:tab/>
        <w:t>(c)</w:t>
      </w:r>
      <w:r w:rsidRPr="00D51A7A">
        <w:tab/>
      </w:r>
      <w:r w:rsidR="001363D6" w:rsidRPr="00D51A7A">
        <w:t>section</w:t>
      </w:r>
      <w:r w:rsidR="00D51A7A" w:rsidRPr="00D51A7A">
        <w:t> </w:t>
      </w:r>
      <w:r w:rsidR="001363D6" w:rsidRPr="00D51A7A">
        <w:t>43 (about withdrawing registration);</w:t>
      </w:r>
    </w:p>
    <w:p w:rsidR="001363D6" w:rsidRPr="00D51A7A" w:rsidRDefault="00156EA5" w:rsidP="00D51A7A">
      <w:pPr>
        <w:pStyle w:val="paragraph"/>
      </w:pPr>
      <w:r w:rsidRPr="00D51A7A">
        <w:tab/>
        <w:t>(d)</w:t>
      </w:r>
      <w:r w:rsidRPr="00D51A7A">
        <w:tab/>
      </w:r>
      <w:r w:rsidR="001363D6" w:rsidRPr="00D51A7A">
        <w:t>Division</w:t>
      </w:r>
      <w:r w:rsidR="00D51A7A" w:rsidRPr="00D51A7A">
        <w:t> </w:t>
      </w:r>
      <w:r w:rsidR="001363D6" w:rsidRPr="00D51A7A">
        <w:t>1 of Part</w:t>
      </w:r>
      <w:r w:rsidR="00D51A7A" w:rsidRPr="00D51A7A">
        <w:t> </w:t>
      </w:r>
      <w:r w:rsidR="001363D6" w:rsidRPr="00D51A7A">
        <w:t>7 (about cancelling registration and other administrative sanctions).</w:t>
      </w:r>
    </w:p>
    <w:p w:rsidR="007B6F6F" w:rsidRPr="00D51A7A" w:rsidRDefault="004A5D14" w:rsidP="00D51A7A">
      <w:pPr>
        <w:pStyle w:val="ItemHead"/>
      </w:pPr>
      <w:r w:rsidRPr="00D51A7A">
        <w:t>15</w:t>
      </w:r>
      <w:r w:rsidR="007B6F6F" w:rsidRPr="00D51A7A">
        <w:t xml:space="preserve">  Subsection</w:t>
      </w:r>
      <w:r w:rsidR="00D51A7A" w:rsidRPr="00D51A7A">
        <w:t> </w:t>
      </w:r>
      <w:r w:rsidR="007B6F6F" w:rsidRPr="00D51A7A">
        <w:t>36(4) (note)</w:t>
      </w:r>
    </w:p>
    <w:p w:rsidR="007B6F6F" w:rsidRPr="00D51A7A" w:rsidRDefault="007B6F6F" w:rsidP="00D51A7A">
      <w:pPr>
        <w:pStyle w:val="Item"/>
      </w:pPr>
      <w:r w:rsidRPr="00D51A7A">
        <w:t>Omit “Note”, substitute “Note 1”.</w:t>
      </w:r>
    </w:p>
    <w:p w:rsidR="00CB2D2D" w:rsidRPr="00D51A7A" w:rsidRDefault="004A5D14" w:rsidP="00D51A7A">
      <w:pPr>
        <w:pStyle w:val="ItemHead"/>
      </w:pPr>
      <w:r w:rsidRPr="00D51A7A">
        <w:t>16</w:t>
      </w:r>
      <w:r w:rsidR="00CB2D2D" w:rsidRPr="00D51A7A">
        <w:t xml:space="preserve">  At the end of subsection</w:t>
      </w:r>
      <w:r w:rsidR="00D51A7A" w:rsidRPr="00D51A7A">
        <w:t> </w:t>
      </w:r>
      <w:r w:rsidR="00CB2D2D" w:rsidRPr="00D51A7A">
        <w:t>36(4)</w:t>
      </w:r>
    </w:p>
    <w:p w:rsidR="00CB2D2D" w:rsidRPr="00D51A7A" w:rsidRDefault="00CB2D2D" w:rsidP="00D51A7A">
      <w:pPr>
        <w:pStyle w:val="Item"/>
      </w:pPr>
      <w:r w:rsidRPr="00D51A7A">
        <w:t>Add:</w:t>
      </w:r>
    </w:p>
    <w:p w:rsidR="00CB2D2D" w:rsidRPr="00D51A7A" w:rsidRDefault="00CB2D2D" w:rsidP="00D51A7A">
      <w:pPr>
        <w:pStyle w:val="notetext"/>
      </w:pPr>
      <w:r w:rsidRPr="00D51A7A">
        <w:t>Note 2:</w:t>
      </w:r>
      <w:r w:rsidRPr="00D51A7A">
        <w:tab/>
      </w:r>
      <w:r w:rsidR="00383055" w:rsidRPr="00D51A7A">
        <w:t>The period of registration may be extended (see section</w:t>
      </w:r>
      <w:r w:rsidR="00D51A7A" w:rsidRPr="00D51A7A">
        <w:t> </w:t>
      </w:r>
      <w:r w:rsidR="00383055" w:rsidRPr="00D51A7A">
        <w:t>37A).</w:t>
      </w:r>
    </w:p>
    <w:p w:rsidR="007A07BA" w:rsidRPr="00D51A7A" w:rsidRDefault="004A5D14" w:rsidP="00D51A7A">
      <w:pPr>
        <w:pStyle w:val="ItemHead"/>
      </w:pPr>
      <w:r w:rsidRPr="00D51A7A">
        <w:t>17</w:t>
      </w:r>
      <w:r w:rsidR="007A07BA" w:rsidRPr="00D51A7A">
        <w:t xml:space="preserve">  After Division</w:t>
      </w:r>
      <w:r w:rsidR="00D51A7A" w:rsidRPr="00D51A7A">
        <w:t> </w:t>
      </w:r>
      <w:r w:rsidR="007A07BA" w:rsidRPr="00D51A7A">
        <w:t>3 of Part</w:t>
      </w:r>
      <w:r w:rsidR="00D51A7A" w:rsidRPr="00D51A7A">
        <w:t> </w:t>
      </w:r>
      <w:r w:rsidR="007A07BA" w:rsidRPr="00D51A7A">
        <w:t>3</w:t>
      </w:r>
    </w:p>
    <w:p w:rsidR="007A07BA" w:rsidRPr="00D51A7A" w:rsidRDefault="007A07BA" w:rsidP="00D51A7A">
      <w:pPr>
        <w:pStyle w:val="Item"/>
      </w:pPr>
      <w:r w:rsidRPr="00D51A7A">
        <w:t>Insert:</w:t>
      </w:r>
    </w:p>
    <w:p w:rsidR="007A07BA" w:rsidRPr="00D51A7A" w:rsidRDefault="007A07BA" w:rsidP="00D51A7A">
      <w:pPr>
        <w:pStyle w:val="ActHead3"/>
      </w:pPr>
      <w:bookmarkStart w:id="13" w:name="_Toc406573163"/>
      <w:r w:rsidRPr="00D51A7A">
        <w:rPr>
          <w:rStyle w:val="CharDivNo"/>
        </w:rPr>
        <w:t>Division</w:t>
      </w:r>
      <w:r w:rsidR="00D51A7A" w:rsidRPr="00D51A7A">
        <w:rPr>
          <w:rStyle w:val="CharDivNo"/>
        </w:rPr>
        <w:t> </w:t>
      </w:r>
      <w:r w:rsidRPr="00D51A7A">
        <w:rPr>
          <w:rStyle w:val="CharDivNo"/>
        </w:rPr>
        <w:t>3A</w:t>
      </w:r>
      <w:r w:rsidRPr="00D51A7A">
        <w:t>—</w:t>
      </w:r>
      <w:r w:rsidRPr="00D51A7A">
        <w:rPr>
          <w:rStyle w:val="CharDivText"/>
        </w:rPr>
        <w:t xml:space="preserve">Extension of </w:t>
      </w:r>
      <w:r w:rsidR="00156EA5" w:rsidRPr="00D51A7A">
        <w:rPr>
          <w:rStyle w:val="CharDivText"/>
        </w:rPr>
        <w:t xml:space="preserve">registration </w:t>
      </w:r>
      <w:r w:rsidRPr="00D51A7A">
        <w:rPr>
          <w:rStyle w:val="CharDivText"/>
        </w:rPr>
        <w:t>period</w:t>
      </w:r>
      <w:bookmarkEnd w:id="13"/>
    </w:p>
    <w:p w:rsidR="007A07BA" w:rsidRPr="00D51A7A" w:rsidRDefault="007A07BA" w:rsidP="00D51A7A">
      <w:pPr>
        <w:pStyle w:val="ActHead5"/>
      </w:pPr>
      <w:bookmarkStart w:id="14" w:name="_Toc406573164"/>
      <w:r w:rsidRPr="00D51A7A">
        <w:rPr>
          <w:rStyle w:val="CharSectno"/>
        </w:rPr>
        <w:t>37A</w:t>
      </w:r>
      <w:r w:rsidRPr="00D51A7A">
        <w:t xml:space="preserve">  Extension of </w:t>
      </w:r>
      <w:r w:rsidR="00156EA5" w:rsidRPr="00D51A7A">
        <w:t xml:space="preserve">registration </w:t>
      </w:r>
      <w:r w:rsidRPr="00D51A7A">
        <w:t>period</w:t>
      </w:r>
      <w:bookmarkEnd w:id="14"/>
    </w:p>
    <w:p w:rsidR="007A07BA" w:rsidRPr="00D51A7A" w:rsidRDefault="00EF5842" w:rsidP="00D51A7A">
      <w:pPr>
        <w:pStyle w:val="subsection"/>
      </w:pPr>
      <w:r w:rsidRPr="00D51A7A">
        <w:tab/>
        <w:t>(1)</w:t>
      </w:r>
      <w:r w:rsidRPr="00D51A7A">
        <w:tab/>
      </w:r>
      <w:r w:rsidR="007A07BA" w:rsidRPr="00D51A7A">
        <w:t>TEQSA may</w:t>
      </w:r>
      <w:r w:rsidRPr="00D51A7A">
        <w:t xml:space="preserve"> </w:t>
      </w:r>
      <w:r w:rsidR="007A07BA" w:rsidRPr="00D51A7A">
        <w:t xml:space="preserve">extend the period </w:t>
      </w:r>
      <w:r w:rsidR="00156EA5" w:rsidRPr="00D51A7A">
        <w:t xml:space="preserve">of a </w:t>
      </w:r>
      <w:r w:rsidR="007A07BA" w:rsidRPr="00D51A7A">
        <w:t>registered higher education pro</w:t>
      </w:r>
      <w:r w:rsidR="00156EA5" w:rsidRPr="00D51A7A">
        <w:t>vider’s</w:t>
      </w:r>
      <w:r w:rsidR="00811103" w:rsidRPr="00D51A7A">
        <w:t xml:space="preserve"> registration</w:t>
      </w:r>
      <w:r w:rsidR="006A01BD" w:rsidRPr="008E40B7">
        <w:t>, so long as the period has not been previously extended by TEQSA</w:t>
      </w:r>
      <w:r w:rsidR="0013548A">
        <w:t>.</w:t>
      </w:r>
    </w:p>
    <w:p w:rsidR="00EF5842" w:rsidRPr="00D51A7A" w:rsidRDefault="00EF5842" w:rsidP="00D51A7A">
      <w:pPr>
        <w:pStyle w:val="subsection"/>
      </w:pPr>
      <w:r w:rsidRPr="00D51A7A">
        <w:tab/>
        <w:t>(2)</w:t>
      </w:r>
      <w:r w:rsidRPr="00D51A7A">
        <w:tab/>
      </w:r>
      <w:r w:rsidR="000370F0" w:rsidRPr="00D51A7A">
        <w:t xml:space="preserve">The </w:t>
      </w:r>
      <w:r w:rsidR="00542B90" w:rsidRPr="00D51A7A">
        <w:t xml:space="preserve">extended </w:t>
      </w:r>
      <w:r w:rsidR="000370F0" w:rsidRPr="00D51A7A">
        <w:t>period may exceed 7 years.</w:t>
      </w:r>
    </w:p>
    <w:p w:rsidR="000370F0" w:rsidRPr="00D51A7A" w:rsidRDefault="000370F0" w:rsidP="00D51A7A">
      <w:pPr>
        <w:pStyle w:val="subsection"/>
      </w:pPr>
      <w:r w:rsidRPr="00D51A7A">
        <w:lastRenderedPageBreak/>
        <w:tab/>
        <w:t>(3)</w:t>
      </w:r>
      <w:r w:rsidRPr="00D51A7A">
        <w:tab/>
      </w:r>
      <w:r w:rsidR="00542B90" w:rsidRPr="00D51A7A">
        <w:t xml:space="preserve">This </w:t>
      </w:r>
      <w:r w:rsidR="003F1A81" w:rsidRPr="00D51A7A">
        <w:t>section</w:t>
      </w:r>
      <w:r w:rsidR="00BD34F3" w:rsidRPr="00D51A7A">
        <w:t xml:space="preserve"> </w:t>
      </w:r>
      <w:r w:rsidR="00CB2D2D" w:rsidRPr="00D51A7A">
        <w:t>has effect subject to the following:</w:t>
      </w:r>
    </w:p>
    <w:p w:rsidR="00CB2D2D" w:rsidRPr="00D51A7A" w:rsidRDefault="00CB2D2D" w:rsidP="00D51A7A">
      <w:pPr>
        <w:pStyle w:val="paragraph"/>
      </w:pPr>
      <w:r w:rsidRPr="00D51A7A">
        <w:tab/>
        <w:t>(a)</w:t>
      </w:r>
      <w:r w:rsidRPr="00D51A7A">
        <w:tab/>
        <w:t>subsection</w:t>
      </w:r>
      <w:r w:rsidR="00D51A7A" w:rsidRPr="00D51A7A">
        <w:t> </w:t>
      </w:r>
      <w:r w:rsidRPr="00D51A7A">
        <w:t>36(3) (about renewing registration);</w:t>
      </w:r>
    </w:p>
    <w:p w:rsidR="00CB2D2D" w:rsidRPr="00D51A7A" w:rsidRDefault="00CB2D2D" w:rsidP="00D51A7A">
      <w:pPr>
        <w:pStyle w:val="paragraph"/>
      </w:pPr>
      <w:r w:rsidRPr="00D51A7A">
        <w:tab/>
        <w:t>(b)</w:t>
      </w:r>
      <w:r w:rsidRPr="00D51A7A">
        <w:tab/>
        <w:t>section</w:t>
      </w:r>
      <w:r w:rsidR="00D51A7A" w:rsidRPr="00D51A7A">
        <w:t> </w:t>
      </w:r>
      <w:r w:rsidRPr="00D51A7A">
        <w:t>43 (about withdrawing registration);</w:t>
      </w:r>
    </w:p>
    <w:p w:rsidR="00CB2D2D" w:rsidRPr="00D51A7A" w:rsidRDefault="00CB2D2D" w:rsidP="00D51A7A">
      <w:pPr>
        <w:pStyle w:val="paragraph"/>
      </w:pPr>
      <w:r w:rsidRPr="00D51A7A">
        <w:tab/>
        <w:t>(c)</w:t>
      </w:r>
      <w:r w:rsidRPr="00D51A7A">
        <w:tab/>
        <w:t>Division</w:t>
      </w:r>
      <w:r w:rsidR="00D51A7A" w:rsidRPr="00D51A7A">
        <w:t> </w:t>
      </w:r>
      <w:r w:rsidRPr="00D51A7A">
        <w:t>1 of Part</w:t>
      </w:r>
      <w:r w:rsidR="00D51A7A" w:rsidRPr="00D51A7A">
        <w:t> </w:t>
      </w:r>
      <w:r w:rsidRPr="00D51A7A">
        <w:t>7 (about cancelling registration and other administrative sanctions).</w:t>
      </w:r>
    </w:p>
    <w:p w:rsidR="00383055" w:rsidRPr="00D51A7A" w:rsidRDefault="004A5D14" w:rsidP="00D51A7A">
      <w:pPr>
        <w:pStyle w:val="ItemHead"/>
      </w:pPr>
      <w:r w:rsidRPr="00D51A7A">
        <w:t>18</w:t>
      </w:r>
      <w:r w:rsidR="00383055" w:rsidRPr="00D51A7A">
        <w:t xml:space="preserve">  At the end of subsection</w:t>
      </w:r>
      <w:r w:rsidR="00D51A7A" w:rsidRPr="00D51A7A">
        <w:t> </w:t>
      </w:r>
      <w:r w:rsidR="00383055" w:rsidRPr="00D51A7A">
        <w:t>49(6)</w:t>
      </w:r>
    </w:p>
    <w:p w:rsidR="00383055" w:rsidRPr="00D51A7A" w:rsidRDefault="00383055" w:rsidP="00D51A7A">
      <w:pPr>
        <w:pStyle w:val="Item"/>
      </w:pPr>
      <w:r w:rsidRPr="00D51A7A">
        <w:t>Add:</w:t>
      </w:r>
    </w:p>
    <w:p w:rsidR="00383055" w:rsidRPr="00D51A7A" w:rsidRDefault="00383055" w:rsidP="00D51A7A">
      <w:pPr>
        <w:pStyle w:val="notetext"/>
      </w:pPr>
      <w:r w:rsidRPr="00D51A7A">
        <w:t>Note 4:</w:t>
      </w:r>
      <w:r w:rsidRPr="00D51A7A">
        <w:tab/>
        <w:t>The period of accreditation may be extended (see section</w:t>
      </w:r>
      <w:r w:rsidR="00D51A7A" w:rsidRPr="00D51A7A">
        <w:t> </w:t>
      </w:r>
      <w:r w:rsidRPr="00D51A7A">
        <w:t>57A).</w:t>
      </w:r>
    </w:p>
    <w:p w:rsidR="003059B1" w:rsidRPr="00D51A7A" w:rsidRDefault="004A5D14" w:rsidP="00D51A7A">
      <w:pPr>
        <w:pStyle w:val="ItemHead"/>
      </w:pPr>
      <w:r w:rsidRPr="00D51A7A">
        <w:t>19</w:t>
      </w:r>
      <w:r w:rsidR="003059B1" w:rsidRPr="00D51A7A">
        <w:t xml:space="preserve">  After paragraph</w:t>
      </w:r>
      <w:r w:rsidR="00D51A7A" w:rsidRPr="00D51A7A">
        <w:t> </w:t>
      </w:r>
      <w:r w:rsidR="003059B1" w:rsidRPr="00D51A7A">
        <w:t>51(2)(</w:t>
      </w:r>
      <w:r w:rsidR="00811103" w:rsidRPr="00D51A7A">
        <w:t>b</w:t>
      </w:r>
      <w:r w:rsidR="003059B1" w:rsidRPr="00D51A7A">
        <w:t>)</w:t>
      </w:r>
    </w:p>
    <w:p w:rsidR="003059B1" w:rsidRPr="00D51A7A" w:rsidRDefault="003059B1" w:rsidP="00D51A7A">
      <w:pPr>
        <w:pStyle w:val="Item"/>
      </w:pPr>
      <w:r w:rsidRPr="00D51A7A">
        <w:t>Insert:</w:t>
      </w:r>
    </w:p>
    <w:p w:rsidR="003059B1" w:rsidRPr="00D51A7A" w:rsidRDefault="003059B1" w:rsidP="00D51A7A">
      <w:pPr>
        <w:pStyle w:val="paragraph"/>
      </w:pPr>
      <w:r w:rsidRPr="00D51A7A">
        <w:tab/>
        <w:t>(</w:t>
      </w:r>
      <w:proofErr w:type="spellStart"/>
      <w:r w:rsidR="00811103" w:rsidRPr="00D51A7A">
        <w:t>b</w:t>
      </w:r>
      <w:r w:rsidRPr="00D51A7A">
        <w:t>a</w:t>
      </w:r>
      <w:proofErr w:type="spellEnd"/>
      <w:r w:rsidRPr="00D51A7A">
        <w:t>)</w:t>
      </w:r>
      <w:r w:rsidRPr="00D51A7A">
        <w:tab/>
      </w:r>
      <w:r w:rsidR="00545029" w:rsidRPr="00D51A7A">
        <w:t>section</w:t>
      </w:r>
      <w:r w:rsidR="00D51A7A" w:rsidRPr="00D51A7A">
        <w:t> </w:t>
      </w:r>
      <w:r w:rsidR="00156EA5" w:rsidRPr="00D51A7A">
        <w:t>57A</w:t>
      </w:r>
      <w:r w:rsidRPr="00D51A7A">
        <w:t xml:space="preserve"> (about extending accreditation);</w:t>
      </w:r>
    </w:p>
    <w:p w:rsidR="005522E2" w:rsidRPr="00D51A7A" w:rsidRDefault="004A5D14" w:rsidP="00D51A7A">
      <w:pPr>
        <w:pStyle w:val="ItemHead"/>
      </w:pPr>
      <w:r w:rsidRPr="00D51A7A">
        <w:t>20</w:t>
      </w:r>
      <w:r w:rsidR="005522E2" w:rsidRPr="00D51A7A">
        <w:t xml:space="preserve">  At the end of Part</w:t>
      </w:r>
      <w:r w:rsidR="00D51A7A" w:rsidRPr="00D51A7A">
        <w:t> </w:t>
      </w:r>
      <w:r w:rsidR="005522E2" w:rsidRPr="00D51A7A">
        <w:t>4</w:t>
      </w:r>
    </w:p>
    <w:p w:rsidR="005522E2" w:rsidRPr="00D51A7A" w:rsidRDefault="005522E2" w:rsidP="00D51A7A">
      <w:pPr>
        <w:pStyle w:val="Item"/>
      </w:pPr>
      <w:r w:rsidRPr="00D51A7A">
        <w:t>Add:</w:t>
      </w:r>
    </w:p>
    <w:p w:rsidR="005522E2" w:rsidRPr="00D51A7A" w:rsidRDefault="005522E2" w:rsidP="00D51A7A">
      <w:pPr>
        <w:pStyle w:val="ActHead3"/>
      </w:pPr>
      <w:bookmarkStart w:id="15" w:name="_Toc406573165"/>
      <w:r w:rsidRPr="00D51A7A">
        <w:rPr>
          <w:rStyle w:val="CharDivNo"/>
        </w:rPr>
        <w:t>Division</w:t>
      </w:r>
      <w:r w:rsidR="00D51A7A" w:rsidRPr="00D51A7A">
        <w:rPr>
          <w:rStyle w:val="CharDivNo"/>
        </w:rPr>
        <w:t> </w:t>
      </w:r>
      <w:r w:rsidR="00811103" w:rsidRPr="00D51A7A">
        <w:rPr>
          <w:rStyle w:val="CharDivNo"/>
        </w:rPr>
        <w:t>5</w:t>
      </w:r>
      <w:r w:rsidRPr="00D51A7A">
        <w:t>—</w:t>
      </w:r>
      <w:r w:rsidRPr="00D51A7A">
        <w:rPr>
          <w:rStyle w:val="CharDivText"/>
        </w:rPr>
        <w:t xml:space="preserve">Extension of </w:t>
      </w:r>
      <w:r w:rsidR="00156EA5" w:rsidRPr="00D51A7A">
        <w:rPr>
          <w:rStyle w:val="CharDivText"/>
        </w:rPr>
        <w:t xml:space="preserve">accreditation </w:t>
      </w:r>
      <w:r w:rsidRPr="00D51A7A">
        <w:rPr>
          <w:rStyle w:val="CharDivText"/>
        </w:rPr>
        <w:t>period</w:t>
      </w:r>
      <w:bookmarkEnd w:id="15"/>
    </w:p>
    <w:p w:rsidR="005522E2" w:rsidRPr="00D51A7A" w:rsidRDefault="005522E2" w:rsidP="00D51A7A">
      <w:pPr>
        <w:pStyle w:val="ActHead5"/>
      </w:pPr>
      <w:bookmarkStart w:id="16" w:name="_Toc406573166"/>
      <w:r w:rsidRPr="00D51A7A">
        <w:rPr>
          <w:rStyle w:val="CharSectno"/>
        </w:rPr>
        <w:t>57A</w:t>
      </w:r>
      <w:r w:rsidRPr="00D51A7A">
        <w:t xml:space="preserve">  Extension of </w:t>
      </w:r>
      <w:r w:rsidR="00156EA5" w:rsidRPr="00D51A7A">
        <w:t xml:space="preserve">accreditation </w:t>
      </w:r>
      <w:r w:rsidRPr="00D51A7A">
        <w:t>period</w:t>
      </w:r>
      <w:bookmarkEnd w:id="16"/>
    </w:p>
    <w:p w:rsidR="005522E2" w:rsidRPr="00D51A7A" w:rsidRDefault="00EF5842" w:rsidP="00D51A7A">
      <w:pPr>
        <w:pStyle w:val="subsection"/>
      </w:pPr>
      <w:r w:rsidRPr="00D51A7A">
        <w:tab/>
        <w:t>(1)</w:t>
      </w:r>
      <w:r w:rsidRPr="00D51A7A">
        <w:tab/>
      </w:r>
      <w:r w:rsidR="005522E2" w:rsidRPr="00D51A7A">
        <w:t>TEQSA may</w:t>
      </w:r>
      <w:r w:rsidRPr="00D51A7A">
        <w:t xml:space="preserve"> </w:t>
      </w:r>
      <w:r w:rsidR="00156EA5" w:rsidRPr="00D51A7A">
        <w:t xml:space="preserve">extend the period of </w:t>
      </w:r>
      <w:r w:rsidR="005522E2" w:rsidRPr="00D51A7A">
        <w:t>the accreditation of a course of study</w:t>
      </w:r>
      <w:r w:rsidR="006A01BD" w:rsidRPr="008E40B7">
        <w:t>, so long as the period has not been previously extended by TEQSA</w:t>
      </w:r>
      <w:r w:rsidR="0013548A">
        <w:t>.</w:t>
      </w:r>
    </w:p>
    <w:p w:rsidR="00383055" w:rsidRPr="00D51A7A" w:rsidRDefault="00EF5842" w:rsidP="00D51A7A">
      <w:pPr>
        <w:pStyle w:val="subsection"/>
      </w:pPr>
      <w:r w:rsidRPr="00D51A7A">
        <w:tab/>
        <w:t>(2)</w:t>
      </w:r>
      <w:r w:rsidRPr="00D51A7A">
        <w:tab/>
      </w:r>
      <w:r w:rsidR="00383055" w:rsidRPr="00D51A7A">
        <w:t xml:space="preserve">The </w:t>
      </w:r>
      <w:r w:rsidR="00542B90" w:rsidRPr="00D51A7A">
        <w:t xml:space="preserve">extended </w:t>
      </w:r>
      <w:r w:rsidR="00383055" w:rsidRPr="00D51A7A">
        <w:t>period may exceed 7 years.</w:t>
      </w:r>
    </w:p>
    <w:p w:rsidR="00383055" w:rsidRPr="00D51A7A" w:rsidRDefault="00383055" w:rsidP="00D51A7A">
      <w:pPr>
        <w:pStyle w:val="subsection"/>
      </w:pPr>
      <w:r w:rsidRPr="00D51A7A">
        <w:tab/>
        <w:t>(3)</w:t>
      </w:r>
      <w:r w:rsidRPr="00D51A7A">
        <w:tab/>
      </w:r>
      <w:r w:rsidR="00542B90" w:rsidRPr="00D51A7A">
        <w:t xml:space="preserve">This </w:t>
      </w:r>
      <w:r w:rsidR="003F1A81" w:rsidRPr="00D51A7A">
        <w:t>section</w:t>
      </w:r>
      <w:r w:rsidR="00BD34F3" w:rsidRPr="00D51A7A">
        <w:t xml:space="preserve"> </w:t>
      </w:r>
      <w:r w:rsidRPr="00D51A7A">
        <w:t>has effect subject to the following:</w:t>
      </w:r>
    </w:p>
    <w:p w:rsidR="00383055" w:rsidRPr="00D51A7A" w:rsidRDefault="00383055" w:rsidP="00D51A7A">
      <w:pPr>
        <w:pStyle w:val="paragraph"/>
      </w:pPr>
      <w:r w:rsidRPr="00D51A7A">
        <w:tab/>
        <w:t>(a)</w:t>
      </w:r>
      <w:r w:rsidRPr="00D51A7A">
        <w:tab/>
        <w:t>the accreditation ends immediately if the provider ceases to be registered as a registered higher education provider;</w:t>
      </w:r>
    </w:p>
    <w:p w:rsidR="00383055" w:rsidRPr="00D51A7A" w:rsidRDefault="00383055" w:rsidP="00D51A7A">
      <w:pPr>
        <w:pStyle w:val="paragraph"/>
      </w:pPr>
      <w:r w:rsidRPr="00D51A7A">
        <w:tab/>
        <w:t>(b)</w:t>
      </w:r>
      <w:r w:rsidRPr="00D51A7A">
        <w:tab/>
        <w:t>subsection</w:t>
      </w:r>
      <w:r w:rsidR="00D51A7A" w:rsidRPr="00D51A7A">
        <w:t> </w:t>
      </w:r>
      <w:r w:rsidRPr="00D51A7A">
        <w:t>56(3) (about renewing accreditation);</w:t>
      </w:r>
    </w:p>
    <w:p w:rsidR="00383055" w:rsidRPr="00D51A7A" w:rsidRDefault="00383055" w:rsidP="00D51A7A">
      <w:pPr>
        <w:pStyle w:val="paragraph"/>
      </w:pPr>
      <w:r w:rsidRPr="00D51A7A">
        <w:tab/>
        <w:t>(c)</w:t>
      </w:r>
      <w:r w:rsidRPr="00D51A7A">
        <w:tab/>
        <w:t>Division</w:t>
      </w:r>
      <w:r w:rsidR="00D51A7A" w:rsidRPr="00D51A7A">
        <w:t> </w:t>
      </w:r>
      <w:r w:rsidRPr="00D51A7A">
        <w:t>1 of Part</w:t>
      </w:r>
      <w:r w:rsidR="00D51A7A" w:rsidRPr="00D51A7A">
        <w:t> </w:t>
      </w:r>
      <w:r w:rsidRPr="00D51A7A">
        <w:t>7 (about cancelling accreditation and other administrative sanctions).</w:t>
      </w:r>
    </w:p>
    <w:p w:rsidR="00383055" w:rsidRPr="00D51A7A" w:rsidRDefault="004A5D14" w:rsidP="00D51A7A">
      <w:pPr>
        <w:pStyle w:val="ItemHead"/>
      </w:pPr>
      <w:r w:rsidRPr="00D51A7A">
        <w:t>21</w:t>
      </w:r>
      <w:r w:rsidR="00456BA8" w:rsidRPr="00D51A7A">
        <w:t xml:space="preserve">  Section</w:t>
      </w:r>
      <w:r w:rsidR="00D51A7A" w:rsidRPr="00D51A7A">
        <w:t> </w:t>
      </w:r>
      <w:r w:rsidR="00456BA8" w:rsidRPr="00D51A7A">
        <w:t>183 (after the table item dealing with a decision under section</w:t>
      </w:r>
      <w:r w:rsidR="00D51A7A" w:rsidRPr="00D51A7A">
        <w:t> </w:t>
      </w:r>
      <w:r w:rsidR="00456BA8" w:rsidRPr="00D51A7A">
        <w:t>36)</w:t>
      </w:r>
    </w:p>
    <w:p w:rsidR="00456BA8" w:rsidRPr="00D51A7A" w:rsidRDefault="00456BA8" w:rsidP="00D51A7A">
      <w:pPr>
        <w:pStyle w:val="Item"/>
      </w:pPr>
      <w:r w:rsidRPr="00D51A7A">
        <w:t>Insert:</w:t>
      </w:r>
    </w:p>
    <w:p w:rsidR="00795012" w:rsidRPr="00D51A7A" w:rsidRDefault="00795012" w:rsidP="00D51A7A">
      <w:pPr>
        <w:pStyle w:val="Tabletext"/>
      </w:pPr>
    </w:p>
    <w:tbl>
      <w:tblPr>
        <w:tblW w:w="0" w:type="auto"/>
        <w:tblInd w:w="113" w:type="dxa"/>
        <w:tblLayout w:type="fixed"/>
        <w:tblLook w:val="0000" w:firstRow="0" w:lastRow="0" w:firstColumn="0" w:lastColumn="0" w:noHBand="0" w:noVBand="0"/>
      </w:tblPr>
      <w:tblGrid>
        <w:gridCol w:w="7089"/>
      </w:tblGrid>
      <w:tr w:rsidR="00456BA8" w:rsidRPr="00D51A7A" w:rsidTr="00E672D2">
        <w:tc>
          <w:tcPr>
            <w:tcW w:w="7089" w:type="dxa"/>
            <w:shd w:val="clear" w:color="auto" w:fill="auto"/>
          </w:tcPr>
          <w:p w:rsidR="00456BA8" w:rsidRPr="00D51A7A" w:rsidRDefault="00456BA8" w:rsidP="00D51A7A">
            <w:pPr>
              <w:pStyle w:val="Tabletext"/>
            </w:pPr>
            <w:r w:rsidRPr="00D51A7A">
              <w:lastRenderedPageBreak/>
              <w:t>A decision under section</w:t>
            </w:r>
            <w:r w:rsidR="00D51A7A" w:rsidRPr="00D51A7A">
              <w:t> </w:t>
            </w:r>
            <w:r w:rsidRPr="00D51A7A">
              <w:t>37A to extend the period of a registered higher education provider</w:t>
            </w:r>
            <w:r w:rsidR="00795012" w:rsidRPr="00D51A7A">
              <w:t>’</w:t>
            </w:r>
            <w:r w:rsidRPr="00D51A7A">
              <w:t>s registration</w:t>
            </w:r>
          </w:p>
        </w:tc>
      </w:tr>
      <w:tr w:rsidR="00456BA8" w:rsidRPr="00D51A7A" w:rsidTr="00E672D2">
        <w:tc>
          <w:tcPr>
            <w:tcW w:w="7089" w:type="dxa"/>
            <w:shd w:val="clear" w:color="auto" w:fill="auto"/>
          </w:tcPr>
          <w:p w:rsidR="00795012" w:rsidRPr="00D51A7A" w:rsidRDefault="00456BA8" w:rsidP="00D51A7A">
            <w:pPr>
              <w:pStyle w:val="Tabletext"/>
            </w:pPr>
            <w:r w:rsidRPr="00D51A7A">
              <w:t>A decision under section</w:t>
            </w:r>
            <w:r w:rsidR="00D51A7A" w:rsidRPr="00D51A7A">
              <w:t> </w:t>
            </w:r>
            <w:r w:rsidRPr="00D51A7A">
              <w:t>37A not to extend the period of a registered higher education provider</w:t>
            </w:r>
            <w:r w:rsidR="00795012" w:rsidRPr="00D51A7A">
              <w:t>’</w:t>
            </w:r>
            <w:r w:rsidRPr="00D51A7A">
              <w:t>s registration</w:t>
            </w:r>
          </w:p>
        </w:tc>
      </w:tr>
    </w:tbl>
    <w:p w:rsidR="00795012" w:rsidRPr="00D51A7A" w:rsidRDefault="00795012" w:rsidP="00D51A7A">
      <w:pPr>
        <w:pStyle w:val="Tabletext"/>
      </w:pPr>
    </w:p>
    <w:p w:rsidR="00795012" w:rsidRPr="00D51A7A" w:rsidRDefault="004A5D14" w:rsidP="00D51A7A">
      <w:pPr>
        <w:pStyle w:val="ItemHead"/>
      </w:pPr>
      <w:r w:rsidRPr="00D51A7A">
        <w:t>22</w:t>
      </w:r>
      <w:r w:rsidR="00795012" w:rsidRPr="00D51A7A">
        <w:t xml:space="preserve">  Section</w:t>
      </w:r>
      <w:r w:rsidR="00D51A7A" w:rsidRPr="00D51A7A">
        <w:t> </w:t>
      </w:r>
      <w:r w:rsidR="00795012" w:rsidRPr="00D51A7A">
        <w:t>183 (after the table item dealing with a decision under section</w:t>
      </w:r>
      <w:r w:rsidR="00D51A7A" w:rsidRPr="00D51A7A">
        <w:t> </w:t>
      </w:r>
      <w:r w:rsidR="00795012" w:rsidRPr="00D51A7A">
        <w:t>56)</w:t>
      </w:r>
    </w:p>
    <w:p w:rsidR="00795012" w:rsidRPr="00D51A7A" w:rsidRDefault="00795012" w:rsidP="00D51A7A">
      <w:pPr>
        <w:pStyle w:val="Item"/>
      </w:pPr>
      <w:r w:rsidRPr="00D51A7A">
        <w:t>Insert:</w:t>
      </w:r>
    </w:p>
    <w:p w:rsidR="00795012" w:rsidRPr="00D51A7A" w:rsidRDefault="00795012" w:rsidP="00D51A7A">
      <w:pPr>
        <w:pStyle w:val="Tabletext"/>
      </w:pPr>
    </w:p>
    <w:tbl>
      <w:tblPr>
        <w:tblW w:w="0" w:type="auto"/>
        <w:tblInd w:w="113" w:type="dxa"/>
        <w:tblLayout w:type="fixed"/>
        <w:tblLook w:val="0000" w:firstRow="0" w:lastRow="0" w:firstColumn="0" w:lastColumn="0" w:noHBand="0" w:noVBand="0"/>
      </w:tblPr>
      <w:tblGrid>
        <w:gridCol w:w="7089"/>
      </w:tblGrid>
      <w:tr w:rsidR="00795012" w:rsidRPr="00D51A7A" w:rsidTr="00E672D2">
        <w:tc>
          <w:tcPr>
            <w:tcW w:w="7089" w:type="dxa"/>
            <w:shd w:val="clear" w:color="auto" w:fill="auto"/>
          </w:tcPr>
          <w:p w:rsidR="00795012" w:rsidRPr="00D51A7A" w:rsidRDefault="00795012" w:rsidP="00D51A7A">
            <w:pPr>
              <w:pStyle w:val="Tabletext"/>
            </w:pPr>
            <w:r w:rsidRPr="00D51A7A">
              <w:t>A decision under section</w:t>
            </w:r>
            <w:r w:rsidR="00D51A7A" w:rsidRPr="00D51A7A">
              <w:t> </w:t>
            </w:r>
            <w:r w:rsidRPr="00D51A7A">
              <w:t>57A to extend the period of the accreditation of a course of study</w:t>
            </w:r>
          </w:p>
        </w:tc>
      </w:tr>
      <w:tr w:rsidR="00795012" w:rsidRPr="00D51A7A" w:rsidTr="00E672D2">
        <w:tc>
          <w:tcPr>
            <w:tcW w:w="7089" w:type="dxa"/>
            <w:shd w:val="clear" w:color="auto" w:fill="auto"/>
          </w:tcPr>
          <w:p w:rsidR="00795012" w:rsidRPr="00D51A7A" w:rsidRDefault="00795012" w:rsidP="00D51A7A">
            <w:pPr>
              <w:pStyle w:val="Tabletext"/>
            </w:pPr>
            <w:r w:rsidRPr="00D51A7A">
              <w:t>A decision under section</w:t>
            </w:r>
            <w:r w:rsidR="00D51A7A" w:rsidRPr="00D51A7A">
              <w:t> </w:t>
            </w:r>
            <w:r w:rsidRPr="00D51A7A">
              <w:t>57A not to extend the period of the accreditation of a course of study</w:t>
            </w:r>
          </w:p>
        </w:tc>
      </w:tr>
    </w:tbl>
    <w:p w:rsidR="00456BA8" w:rsidRPr="00D51A7A" w:rsidRDefault="00456BA8" w:rsidP="00D51A7A">
      <w:pPr>
        <w:pStyle w:val="Tabletext"/>
      </w:pPr>
    </w:p>
    <w:p w:rsidR="00945436" w:rsidRPr="00D51A7A" w:rsidRDefault="00256D22" w:rsidP="00D51A7A">
      <w:pPr>
        <w:pStyle w:val="ActHead7"/>
        <w:pageBreakBefore/>
      </w:pPr>
      <w:bookmarkStart w:id="17" w:name="_Toc406573167"/>
      <w:r w:rsidRPr="00D51A7A">
        <w:rPr>
          <w:rStyle w:val="CharAmPartNo"/>
        </w:rPr>
        <w:lastRenderedPageBreak/>
        <w:t>Part</w:t>
      </w:r>
      <w:r w:rsidR="00D51A7A" w:rsidRPr="00D51A7A">
        <w:rPr>
          <w:rStyle w:val="CharAmPartNo"/>
        </w:rPr>
        <w:t> </w:t>
      </w:r>
      <w:r w:rsidRPr="00D51A7A">
        <w:rPr>
          <w:rStyle w:val="CharAmPartNo"/>
        </w:rPr>
        <w:t>4</w:t>
      </w:r>
      <w:r w:rsidRPr="00D51A7A">
        <w:t>—</w:t>
      </w:r>
      <w:r w:rsidR="00945436" w:rsidRPr="00D51A7A">
        <w:rPr>
          <w:rStyle w:val="CharAmPartText"/>
        </w:rPr>
        <w:t>Commissioners</w:t>
      </w:r>
      <w:bookmarkEnd w:id="17"/>
    </w:p>
    <w:p w:rsidR="00945436" w:rsidRPr="00D51A7A" w:rsidRDefault="00945436" w:rsidP="00D51A7A">
      <w:pPr>
        <w:pStyle w:val="ActHead9"/>
        <w:rPr>
          <w:i w:val="0"/>
        </w:rPr>
      </w:pPr>
      <w:bookmarkStart w:id="18" w:name="_Toc406573168"/>
      <w:r w:rsidRPr="00D51A7A">
        <w:t>Tertiary Education Quality and Standards Agency Act 2011</w:t>
      </w:r>
      <w:bookmarkEnd w:id="18"/>
    </w:p>
    <w:p w:rsidR="00824A64" w:rsidRPr="00D51A7A" w:rsidRDefault="004A5D14" w:rsidP="00D51A7A">
      <w:pPr>
        <w:pStyle w:val="ItemHead"/>
      </w:pPr>
      <w:r w:rsidRPr="00D51A7A">
        <w:t>23</w:t>
      </w:r>
      <w:r w:rsidR="00824A64" w:rsidRPr="00D51A7A">
        <w:t xml:space="preserve">  </w:t>
      </w:r>
      <w:r w:rsidR="00CD5870" w:rsidRPr="00D51A7A">
        <w:t>Section</w:t>
      </w:r>
      <w:r w:rsidR="00D51A7A" w:rsidRPr="00D51A7A">
        <w:t> </w:t>
      </w:r>
      <w:r w:rsidR="00CD5870" w:rsidRPr="00D51A7A">
        <w:t xml:space="preserve">5 (definition of </w:t>
      </w:r>
      <w:r w:rsidR="00CD5870" w:rsidRPr="00D51A7A">
        <w:rPr>
          <w:i/>
        </w:rPr>
        <w:t>full</w:t>
      </w:r>
      <w:r w:rsidR="006C3CD5">
        <w:rPr>
          <w:i/>
        </w:rPr>
        <w:noBreakHyphen/>
      </w:r>
      <w:r w:rsidR="00CD5870" w:rsidRPr="00D51A7A">
        <w:rPr>
          <w:i/>
        </w:rPr>
        <w:t>time Commissioner</w:t>
      </w:r>
      <w:r w:rsidR="00CD5870" w:rsidRPr="00D51A7A">
        <w:t>)</w:t>
      </w:r>
    </w:p>
    <w:p w:rsidR="00CD5870" w:rsidRPr="00D51A7A" w:rsidRDefault="00CD5870" w:rsidP="00D51A7A">
      <w:pPr>
        <w:pStyle w:val="Item"/>
      </w:pPr>
      <w:r w:rsidRPr="00D51A7A">
        <w:t>Repeal the definition, substitute:</w:t>
      </w:r>
    </w:p>
    <w:p w:rsidR="00CD5870" w:rsidRPr="00D51A7A" w:rsidRDefault="00CD5870" w:rsidP="00D51A7A">
      <w:pPr>
        <w:pStyle w:val="Definition"/>
      </w:pPr>
      <w:r w:rsidRPr="00D51A7A">
        <w:rPr>
          <w:b/>
          <w:i/>
        </w:rPr>
        <w:t>full</w:t>
      </w:r>
      <w:r w:rsidR="006C3CD5">
        <w:rPr>
          <w:b/>
          <w:i/>
        </w:rPr>
        <w:noBreakHyphen/>
      </w:r>
      <w:r w:rsidRPr="00D51A7A">
        <w:rPr>
          <w:b/>
          <w:i/>
        </w:rPr>
        <w:t>time Commissioner</w:t>
      </w:r>
      <w:r w:rsidRPr="00D51A7A">
        <w:t xml:space="preserve"> means a Commissioner</w:t>
      </w:r>
      <w:r w:rsidR="00811103" w:rsidRPr="00D51A7A">
        <w:t xml:space="preserve"> </w:t>
      </w:r>
      <w:r w:rsidRPr="00D51A7A">
        <w:t>appointed on a full</w:t>
      </w:r>
      <w:r w:rsidR="006C3CD5">
        <w:noBreakHyphen/>
      </w:r>
      <w:r w:rsidRPr="00D51A7A">
        <w:t>time basis.</w:t>
      </w:r>
    </w:p>
    <w:p w:rsidR="00811103" w:rsidRPr="00D51A7A" w:rsidRDefault="004A5D14" w:rsidP="00D51A7A">
      <w:pPr>
        <w:pStyle w:val="ItemHead"/>
      </w:pPr>
      <w:r w:rsidRPr="00D51A7A">
        <w:t>24</w:t>
      </w:r>
      <w:r w:rsidR="00811103" w:rsidRPr="00D51A7A">
        <w:t xml:space="preserve">  Section</w:t>
      </w:r>
      <w:r w:rsidR="00D51A7A" w:rsidRPr="00D51A7A">
        <w:t> </w:t>
      </w:r>
      <w:r w:rsidR="00811103" w:rsidRPr="00D51A7A">
        <w:t xml:space="preserve">5 (definition of </w:t>
      </w:r>
      <w:r w:rsidR="00811103" w:rsidRPr="00D51A7A">
        <w:rPr>
          <w:i/>
        </w:rPr>
        <w:t>part</w:t>
      </w:r>
      <w:r w:rsidR="006C3CD5">
        <w:rPr>
          <w:i/>
        </w:rPr>
        <w:noBreakHyphen/>
      </w:r>
      <w:r w:rsidR="00811103" w:rsidRPr="00D51A7A">
        <w:rPr>
          <w:i/>
        </w:rPr>
        <w:t>time Commissioner</w:t>
      </w:r>
      <w:r w:rsidR="00811103" w:rsidRPr="00D51A7A">
        <w:t>)</w:t>
      </w:r>
    </w:p>
    <w:p w:rsidR="00811103" w:rsidRPr="00D51A7A" w:rsidRDefault="00811103" w:rsidP="00D51A7A">
      <w:pPr>
        <w:pStyle w:val="Item"/>
      </w:pPr>
      <w:r w:rsidRPr="00D51A7A">
        <w:t>Omit “of TEQSA”.</w:t>
      </w:r>
    </w:p>
    <w:p w:rsidR="00256D22" w:rsidRPr="00D51A7A" w:rsidRDefault="004A5D14" w:rsidP="00D51A7A">
      <w:pPr>
        <w:pStyle w:val="ItemHead"/>
      </w:pPr>
      <w:r w:rsidRPr="00D51A7A">
        <w:t>25</w:t>
      </w:r>
      <w:r w:rsidR="00256D22" w:rsidRPr="00D51A7A">
        <w:t xml:space="preserve">  Paragraph 133(b)</w:t>
      </w:r>
    </w:p>
    <w:p w:rsidR="00256D22" w:rsidRPr="00D51A7A" w:rsidRDefault="00256D22" w:rsidP="00D51A7A">
      <w:pPr>
        <w:pStyle w:val="Item"/>
      </w:pPr>
      <w:r w:rsidRPr="00D51A7A">
        <w:t>Repeal the paragraph, substitute:</w:t>
      </w:r>
    </w:p>
    <w:p w:rsidR="00256D22" w:rsidRPr="00D51A7A" w:rsidRDefault="00256D22" w:rsidP="00D51A7A">
      <w:pPr>
        <w:pStyle w:val="paragraph"/>
      </w:pPr>
      <w:r w:rsidRPr="00D51A7A">
        <w:tab/>
        <w:t>(b)</w:t>
      </w:r>
      <w:r w:rsidRPr="00D51A7A">
        <w:tab/>
        <w:t xml:space="preserve">at least </w:t>
      </w:r>
      <w:r w:rsidR="00EA65AE" w:rsidRPr="00D51A7A">
        <w:t>one</w:t>
      </w:r>
      <w:r w:rsidRPr="00D51A7A">
        <w:t xml:space="preserve">, but </w:t>
      </w:r>
      <w:r w:rsidR="00824A64" w:rsidRPr="00D51A7A">
        <w:t xml:space="preserve">not more than </w:t>
      </w:r>
      <w:r w:rsidR="00F07D8F" w:rsidRPr="00D51A7A">
        <w:t>4</w:t>
      </w:r>
      <w:r w:rsidR="00824A64" w:rsidRPr="00D51A7A">
        <w:t>, other Commissioners.</w:t>
      </w:r>
    </w:p>
    <w:p w:rsidR="00824A64" w:rsidRPr="00D51A7A" w:rsidRDefault="004A5D14" w:rsidP="00D51A7A">
      <w:pPr>
        <w:pStyle w:val="ItemHead"/>
      </w:pPr>
      <w:r w:rsidRPr="00D51A7A">
        <w:t>26</w:t>
      </w:r>
      <w:r w:rsidR="00824A64" w:rsidRPr="00D51A7A">
        <w:t xml:space="preserve">  Section</w:t>
      </w:r>
      <w:r w:rsidR="00D51A7A" w:rsidRPr="00D51A7A">
        <w:t> </w:t>
      </w:r>
      <w:r w:rsidR="00824A64" w:rsidRPr="00D51A7A">
        <w:t>133 (note 1)</w:t>
      </w:r>
    </w:p>
    <w:p w:rsidR="00824A64" w:rsidRPr="00D51A7A" w:rsidRDefault="00824A64" w:rsidP="00D51A7A">
      <w:pPr>
        <w:pStyle w:val="Item"/>
      </w:pPr>
      <w:r w:rsidRPr="00D51A7A">
        <w:t>Omit “1”.</w:t>
      </w:r>
    </w:p>
    <w:p w:rsidR="00824A64" w:rsidRPr="00D51A7A" w:rsidRDefault="004A5D14" w:rsidP="00D51A7A">
      <w:pPr>
        <w:pStyle w:val="ItemHead"/>
      </w:pPr>
      <w:r w:rsidRPr="00D51A7A">
        <w:t>27</w:t>
      </w:r>
      <w:r w:rsidR="00824A64" w:rsidRPr="00D51A7A">
        <w:t xml:space="preserve">  Section</w:t>
      </w:r>
      <w:r w:rsidR="00D51A7A" w:rsidRPr="00D51A7A">
        <w:t> </w:t>
      </w:r>
      <w:r w:rsidR="00824A64" w:rsidRPr="00D51A7A">
        <w:t>133 (note 2)</w:t>
      </w:r>
    </w:p>
    <w:p w:rsidR="00824A64" w:rsidRPr="00D51A7A" w:rsidRDefault="00824A64" w:rsidP="00D51A7A">
      <w:pPr>
        <w:pStyle w:val="Item"/>
      </w:pPr>
      <w:r w:rsidRPr="00D51A7A">
        <w:t>Repeal the note.</w:t>
      </w:r>
    </w:p>
    <w:p w:rsidR="00586009" w:rsidRPr="00D51A7A" w:rsidRDefault="004A5D14" w:rsidP="00D51A7A">
      <w:pPr>
        <w:pStyle w:val="ItemHead"/>
      </w:pPr>
      <w:r w:rsidRPr="00D51A7A">
        <w:t>28</w:t>
      </w:r>
      <w:r w:rsidR="00586009" w:rsidRPr="00D51A7A">
        <w:t xml:space="preserve">  Subsections</w:t>
      </w:r>
      <w:r w:rsidR="00D51A7A" w:rsidRPr="00D51A7A">
        <w:t> </w:t>
      </w:r>
      <w:r w:rsidR="00586009" w:rsidRPr="00D51A7A">
        <w:t>138(1), (2) and (3)</w:t>
      </w:r>
    </w:p>
    <w:p w:rsidR="00586009" w:rsidRPr="00D51A7A" w:rsidRDefault="00586009" w:rsidP="00D51A7A">
      <w:pPr>
        <w:pStyle w:val="Item"/>
      </w:pPr>
      <w:r w:rsidRPr="00D51A7A">
        <w:t>Repeal the subsections, substitute:</w:t>
      </w:r>
    </w:p>
    <w:p w:rsidR="00586009" w:rsidRPr="00D51A7A" w:rsidRDefault="00586009" w:rsidP="00D51A7A">
      <w:pPr>
        <w:pStyle w:val="subsection"/>
      </w:pPr>
      <w:r w:rsidRPr="00D51A7A">
        <w:tab/>
        <w:t>(1)</w:t>
      </w:r>
      <w:r w:rsidRPr="00D51A7A">
        <w:tab/>
        <w:t>Each Commissioner is to be appointed by the Minister by written instrument.</w:t>
      </w:r>
    </w:p>
    <w:p w:rsidR="00586009" w:rsidRPr="00D51A7A" w:rsidRDefault="00586009" w:rsidP="00D51A7A">
      <w:pPr>
        <w:pStyle w:val="subsection"/>
      </w:pPr>
      <w:r w:rsidRPr="00D51A7A">
        <w:tab/>
        <w:t>(2)</w:t>
      </w:r>
      <w:r w:rsidRPr="00D51A7A">
        <w:tab/>
        <w:t>A Commissioner may hold office on either a full</w:t>
      </w:r>
      <w:r w:rsidR="006C3CD5">
        <w:noBreakHyphen/>
      </w:r>
      <w:r w:rsidRPr="00D51A7A">
        <w:t>time or a part</w:t>
      </w:r>
      <w:r w:rsidR="006C3CD5">
        <w:noBreakHyphen/>
      </w:r>
      <w:r w:rsidRPr="00D51A7A">
        <w:t>time basis.</w:t>
      </w:r>
    </w:p>
    <w:p w:rsidR="00F32978" w:rsidRPr="00D51A7A" w:rsidRDefault="004A5D14" w:rsidP="00D51A7A">
      <w:pPr>
        <w:pStyle w:val="ItemHead"/>
      </w:pPr>
      <w:r w:rsidRPr="00D51A7A">
        <w:t>29</w:t>
      </w:r>
      <w:r w:rsidR="00F32978" w:rsidRPr="00D51A7A">
        <w:t xml:space="preserve">  Subsection</w:t>
      </w:r>
      <w:r w:rsidR="00D51A7A" w:rsidRPr="00D51A7A">
        <w:t> </w:t>
      </w:r>
      <w:r w:rsidR="00F32978" w:rsidRPr="00D51A7A">
        <w:t>138(4)</w:t>
      </w:r>
    </w:p>
    <w:p w:rsidR="00586009" w:rsidRPr="00D51A7A" w:rsidRDefault="00F32978" w:rsidP="00D51A7A">
      <w:pPr>
        <w:pStyle w:val="Item"/>
      </w:pPr>
      <w:r w:rsidRPr="00D51A7A">
        <w:t>Omit “the Chief Commissioner, or as a Commissioner,”, substitute “a Commissioner”.</w:t>
      </w:r>
    </w:p>
    <w:p w:rsidR="00EE55F9" w:rsidRPr="00D51A7A" w:rsidRDefault="004A5D14" w:rsidP="00D51A7A">
      <w:pPr>
        <w:pStyle w:val="ItemHead"/>
      </w:pPr>
      <w:r w:rsidRPr="00D51A7A">
        <w:lastRenderedPageBreak/>
        <w:t>30</w:t>
      </w:r>
      <w:r w:rsidR="00EE55F9" w:rsidRPr="00D51A7A">
        <w:t xml:space="preserve">  Subsection</w:t>
      </w:r>
      <w:r w:rsidR="00D51A7A" w:rsidRPr="00D51A7A">
        <w:t> </w:t>
      </w:r>
      <w:r w:rsidR="00EE55F9" w:rsidRPr="00D51A7A">
        <w:t>141(3)</w:t>
      </w:r>
    </w:p>
    <w:p w:rsidR="00EE55F9" w:rsidRPr="00D51A7A" w:rsidRDefault="00EE55F9" w:rsidP="00D51A7A">
      <w:pPr>
        <w:pStyle w:val="Item"/>
      </w:pPr>
      <w:r w:rsidRPr="00D51A7A">
        <w:t>After “part</w:t>
      </w:r>
      <w:r w:rsidR="006C3CD5">
        <w:noBreakHyphen/>
      </w:r>
      <w:r w:rsidRPr="00D51A7A">
        <w:t>time Commissioner”, insert “(other than the Chief Commissioner)”.</w:t>
      </w:r>
    </w:p>
    <w:p w:rsidR="00824A64" w:rsidRPr="00D51A7A" w:rsidRDefault="004A5D14" w:rsidP="00D51A7A">
      <w:pPr>
        <w:pStyle w:val="ItemHead"/>
      </w:pPr>
      <w:r w:rsidRPr="00D51A7A">
        <w:t>31</w:t>
      </w:r>
      <w:r w:rsidR="00824A64" w:rsidRPr="00D51A7A">
        <w:t xml:space="preserve">  </w:t>
      </w:r>
      <w:r w:rsidR="00CD5870" w:rsidRPr="00D51A7A">
        <w:t>At the end of section</w:t>
      </w:r>
      <w:r w:rsidR="00D51A7A" w:rsidRPr="00D51A7A">
        <w:t> </w:t>
      </w:r>
      <w:r w:rsidR="00CD5870" w:rsidRPr="00D51A7A">
        <w:t>141</w:t>
      </w:r>
    </w:p>
    <w:p w:rsidR="00CD5870" w:rsidRPr="00D51A7A" w:rsidRDefault="00CD5870" w:rsidP="00D51A7A">
      <w:pPr>
        <w:pStyle w:val="Item"/>
      </w:pPr>
      <w:r w:rsidRPr="00D51A7A">
        <w:t>Add:</w:t>
      </w:r>
    </w:p>
    <w:p w:rsidR="00197F64" w:rsidRPr="00D51A7A" w:rsidRDefault="00CD5870" w:rsidP="00D51A7A">
      <w:pPr>
        <w:pStyle w:val="subsection"/>
      </w:pPr>
      <w:r w:rsidRPr="00D51A7A">
        <w:tab/>
        <w:t>(4)</w:t>
      </w:r>
      <w:r w:rsidRPr="00D51A7A">
        <w:tab/>
      </w:r>
      <w:r w:rsidR="001906DD" w:rsidRPr="00D51A7A">
        <w:t>If the Chief Commissioner is a part</w:t>
      </w:r>
      <w:r w:rsidR="006C3CD5">
        <w:noBreakHyphen/>
      </w:r>
      <w:r w:rsidR="001906DD" w:rsidRPr="00D51A7A">
        <w:t>time Commissioner, the Minister may grant leave of absence to the Chief Commissioner on the terms and conditions that the Minister determines.</w:t>
      </w:r>
    </w:p>
    <w:p w:rsidR="00244FA0" w:rsidRPr="00D51A7A" w:rsidRDefault="004A5D14" w:rsidP="00D51A7A">
      <w:pPr>
        <w:pStyle w:val="ItemHead"/>
      </w:pPr>
      <w:r w:rsidRPr="00D51A7A">
        <w:t>32</w:t>
      </w:r>
      <w:r w:rsidR="00244FA0" w:rsidRPr="00D51A7A">
        <w:t xml:space="preserve">  Paragraphs 146(1)(a) to (f)</w:t>
      </w:r>
    </w:p>
    <w:p w:rsidR="00244FA0" w:rsidRPr="00D51A7A" w:rsidRDefault="00244FA0" w:rsidP="00D51A7A">
      <w:pPr>
        <w:pStyle w:val="Item"/>
      </w:pPr>
      <w:r w:rsidRPr="00D51A7A">
        <w:t>Repeal the paragraphs, substitute:</w:t>
      </w:r>
    </w:p>
    <w:p w:rsidR="005E734D" w:rsidRPr="00D51A7A" w:rsidRDefault="005E734D" w:rsidP="00D51A7A">
      <w:pPr>
        <w:pStyle w:val="paragraph"/>
      </w:pPr>
      <w:r w:rsidRPr="00D51A7A">
        <w:tab/>
        <w:t>(a)</w:t>
      </w:r>
      <w:r w:rsidRPr="00D51A7A">
        <w:tab/>
        <w:t>for misbehaviour; or</w:t>
      </w:r>
    </w:p>
    <w:p w:rsidR="005E734D" w:rsidRPr="00D51A7A" w:rsidRDefault="005E734D" w:rsidP="00D51A7A">
      <w:pPr>
        <w:pStyle w:val="paragraph"/>
      </w:pPr>
      <w:r w:rsidRPr="00D51A7A">
        <w:tab/>
        <w:t>(</w:t>
      </w:r>
      <w:r w:rsidR="00244FA0" w:rsidRPr="00D51A7A">
        <w:t>b)</w:t>
      </w:r>
      <w:r w:rsidRPr="00D51A7A">
        <w:tab/>
        <w:t>if the Commissioner is unable to perform the duties of his or her office because of p</w:t>
      </w:r>
      <w:r w:rsidR="00244FA0" w:rsidRPr="00D51A7A">
        <w:t>hysical or mental incapacity.</w:t>
      </w:r>
    </w:p>
    <w:p w:rsidR="00244FA0" w:rsidRPr="00D51A7A" w:rsidRDefault="004A5D14" w:rsidP="00D51A7A">
      <w:pPr>
        <w:pStyle w:val="ItemHead"/>
      </w:pPr>
      <w:r w:rsidRPr="00D51A7A">
        <w:t>33</w:t>
      </w:r>
      <w:r w:rsidR="00244FA0" w:rsidRPr="00D51A7A">
        <w:t xml:space="preserve">  After subsection</w:t>
      </w:r>
      <w:r w:rsidR="00D51A7A" w:rsidRPr="00D51A7A">
        <w:t> </w:t>
      </w:r>
      <w:r w:rsidR="00244FA0" w:rsidRPr="00D51A7A">
        <w:t>146(1)</w:t>
      </w:r>
    </w:p>
    <w:p w:rsidR="00244FA0" w:rsidRPr="00D51A7A" w:rsidRDefault="00244FA0" w:rsidP="00D51A7A">
      <w:pPr>
        <w:pStyle w:val="Item"/>
      </w:pPr>
      <w:r w:rsidRPr="00D51A7A">
        <w:t>Insert:</w:t>
      </w:r>
    </w:p>
    <w:p w:rsidR="00244FA0" w:rsidRPr="00D51A7A" w:rsidRDefault="00244FA0" w:rsidP="00D51A7A">
      <w:pPr>
        <w:pStyle w:val="subsection"/>
      </w:pPr>
      <w:r w:rsidRPr="00D51A7A">
        <w:tab/>
        <w:t>(1A)</w:t>
      </w:r>
      <w:r w:rsidRPr="00D51A7A">
        <w:tab/>
        <w:t>The Minister may terminate the appointment of a Commissioner if:</w:t>
      </w:r>
    </w:p>
    <w:p w:rsidR="00244FA0" w:rsidRPr="00D51A7A" w:rsidRDefault="00244FA0" w:rsidP="00D51A7A">
      <w:pPr>
        <w:pStyle w:val="paragraph"/>
      </w:pPr>
      <w:r w:rsidRPr="00D51A7A">
        <w:tab/>
        <w:t>(a)</w:t>
      </w:r>
      <w:r w:rsidRPr="00D51A7A">
        <w:tab/>
        <w:t xml:space="preserve"> the Commissioner:</w:t>
      </w:r>
    </w:p>
    <w:p w:rsidR="00244FA0" w:rsidRPr="00D51A7A" w:rsidRDefault="00244FA0" w:rsidP="00D51A7A">
      <w:pPr>
        <w:pStyle w:val="paragraphsub"/>
      </w:pPr>
      <w:r w:rsidRPr="00D51A7A">
        <w:tab/>
        <w:t>(</w:t>
      </w:r>
      <w:proofErr w:type="spellStart"/>
      <w:r w:rsidRPr="00D51A7A">
        <w:t>i</w:t>
      </w:r>
      <w:proofErr w:type="spellEnd"/>
      <w:r w:rsidRPr="00D51A7A">
        <w:t>)</w:t>
      </w:r>
      <w:r w:rsidRPr="00D51A7A">
        <w:tab/>
        <w:t>becomes bankrupt; or</w:t>
      </w:r>
    </w:p>
    <w:p w:rsidR="00244FA0" w:rsidRPr="00D51A7A" w:rsidRDefault="00244FA0" w:rsidP="00D51A7A">
      <w:pPr>
        <w:pStyle w:val="paragraphsub"/>
      </w:pPr>
      <w:r w:rsidRPr="00D51A7A">
        <w:tab/>
        <w:t>(ii)</w:t>
      </w:r>
      <w:r w:rsidRPr="00D51A7A">
        <w:tab/>
      </w:r>
      <w:r w:rsidR="00352029" w:rsidRPr="00D51A7A">
        <w:t>takes steps</w:t>
      </w:r>
      <w:r w:rsidRPr="00D51A7A">
        <w:t xml:space="preserve"> to take the benefit of any law for the relief of bankrupt or insolvent debtors; or</w:t>
      </w:r>
    </w:p>
    <w:p w:rsidR="00244FA0" w:rsidRPr="00D51A7A" w:rsidRDefault="00244FA0" w:rsidP="00D51A7A">
      <w:pPr>
        <w:pStyle w:val="paragraphsub"/>
      </w:pPr>
      <w:r w:rsidRPr="00D51A7A">
        <w:tab/>
        <w:t>(iii)</w:t>
      </w:r>
      <w:r w:rsidRPr="00D51A7A">
        <w:tab/>
        <w:t xml:space="preserve">compounds with </w:t>
      </w:r>
      <w:r w:rsidR="00352029" w:rsidRPr="00D51A7A">
        <w:t xml:space="preserve">one or more of </w:t>
      </w:r>
      <w:r w:rsidRPr="00D51A7A">
        <w:t>his or her creditors; or</w:t>
      </w:r>
    </w:p>
    <w:p w:rsidR="00244FA0" w:rsidRPr="00D51A7A" w:rsidRDefault="00244FA0" w:rsidP="00D51A7A">
      <w:pPr>
        <w:pStyle w:val="paragraphsub"/>
      </w:pPr>
      <w:r w:rsidRPr="00D51A7A">
        <w:tab/>
        <w:t>(iv)</w:t>
      </w:r>
      <w:r w:rsidRPr="00D51A7A">
        <w:tab/>
        <w:t xml:space="preserve">makes an assignment of his or her remuneration for the benefit of </w:t>
      </w:r>
      <w:r w:rsidR="00352029" w:rsidRPr="00D51A7A">
        <w:t xml:space="preserve">one or more of </w:t>
      </w:r>
      <w:r w:rsidRPr="00D51A7A">
        <w:t>his or her creditors; or</w:t>
      </w:r>
    </w:p>
    <w:p w:rsidR="00244FA0" w:rsidRPr="00D51A7A" w:rsidRDefault="00244FA0" w:rsidP="00D51A7A">
      <w:pPr>
        <w:pStyle w:val="paragraph"/>
      </w:pPr>
      <w:r w:rsidRPr="00D51A7A">
        <w:tab/>
        <w:t>(b)</w:t>
      </w:r>
      <w:r w:rsidRPr="00D51A7A">
        <w:tab/>
        <w:t>the Commissioner is a full</w:t>
      </w:r>
      <w:r w:rsidR="006C3CD5">
        <w:noBreakHyphen/>
      </w:r>
      <w:r w:rsidRPr="00D51A7A">
        <w:t>time Commissioner and is absent, except on leave of absence, for 14 consecutive days or for 30 days in any 12 months; or</w:t>
      </w:r>
    </w:p>
    <w:p w:rsidR="00244FA0" w:rsidRPr="00D51A7A" w:rsidRDefault="00244FA0" w:rsidP="00D51A7A">
      <w:pPr>
        <w:pStyle w:val="paragraph"/>
      </w:pPr>
      <w:r w:rsidRPr="00D51A7A">
        <w:tab/>
        <w:t>(c)</w:t>
      </w:r>
      <w:r w:rsidRPr="00D51A7A">
        <w:tab/>
        <w:t>the Commissioner is a part</w:t>
      </w:r>
      <w:r w:rsidR="006C3CD5">
        <w:noBreakHyphen/>
      </w:r>
      <w:r w:rsidRPr="00D51A7A">
        <w:t>time Commissioner and is absent, except on leave of absence, from 3 consecutive TEQSA meetings; or</w:t>
      </w:r>
    </w:p>
    <w:p w:rsidR="00244FA0" w:rsidRPr="00D51A7A" w:rsidRDefault="00244FA0" w:rsidP="00D51A7A">
      <w:pPr>
        <w:pStyle w:val="paragraph"/>
      </w:pPr>
      <w:r w:rsidRPr="00D51A7A">
        <w:tab/>
        <w:t>(d)</w:t>
      </w:r>
      <w:r w:rsidRPr="00D51A7A">
        <w:tab/>
        <w:t>the Commissioner engages in paid employment contrary to section</w:t>
      </w:r>
      <w:r w:rsidR="00D51A7A" w:rsidRPr="00D51A7A">
        <w:t> </w:t>
      </w:r>
      <w:r w:rsidRPr="00D51A7A">
        <w:t>142; or</w:t>
      </w:r>
    </w:p>
    <w:p w:rsidR="00244FA0" w:rsidRPr="00D51A7A" w:rsidRDefault="00244FA0" w:rsidP="00D51A7A">
      <w:pPr>
        <w:pStyle w:val="paragraph"/>
      </w:pPr>
      <w:r w:rsidRPr="00D51A7A">
        <w:tab/>
        <w:t>(e)</w:t>
      </w:r>
      <w:r w:rsidRPr="00D51A7A">
        <w:tab/>
        <w:t>the Commissioner fails, without reasonable excuse, to comply with section</w:t>
      </w:r>
      <w:r w:rsidR="00D51A7A" w:rsidRPr="00D51A7A">
        <w:t> </w:t>
      </w:r>
      <w:r w:rsidRPr="00D51A7A">
        <w:t>143 or 150.</w:t>
      </w:r>
    </w:p>
    <w:p w:rsidR="00324EE3" w:rsidRPr="00D51A7A" w:rsidRDefault="004A5D14" w:rsidP="00D51A7A">
      <w:pPr>
        <w:pStyle w:val="ItemHead"/>
      </w:pPr>
      <w:r w:rsidRPr="00D51A7A">
        <w:lastRenderedPageBreak/>
        <w:t>34</w:t>
      </w:r>
      <w:r w:rsidR="00324EE3" w:rsidRPr="00D51A7A">
        <w:t xml:space="preserve">  </w:t>
      </w:r>
      <w:r w:rsidR="00586009" w:rsidRPr="00D51A7A">
        <w:t>Subsection</w:t>
      </w:r>
      <w:r w:rsidR="00D51A7A" w:rsidRPr="00D51A7A">
        <w:t> </w:t>
      </w:r>
      <w:r w:rsidR="00586009" w:rsidRPr="00D51A7A">
        <w:t>149(2)</w:t>
      </w:r>
    </w:p>
    <w:p w:rsidR="00586009" w:rsidRPr="00D51A7A" w:rsidRDefault="00586009" w:rsidP="00D51A7A">
      <w:pPr>
        <w:pStyle w:val="Item"/>
      </w:pPr>
      <w:r w:rsidRPr="00D51A7A">
        <w:t>Omit “full</w:t>
      </w:r>
      <w:r w:rsidR="006C3CD5">
        <w:noBreakHyphen/>
      </w:r>
      <w:r w:rsidRPr="00D51A7A">
        <w:t>time”.</w:t>
      </w:r>
    </w:p>
    <w:p w:rsidR="00CD5870" w:rsidRPr="00D51A7A" w:rsidRDefault="004A5D14" w:rsidP="00D51A7A">
      <w:pPr>
        <w:pStyle w:val="ItemHead"/>
      </w:pPr>
      <w:r w:rsidRPr="00D51A7A">
        <w:t>35</w:t>
      </w:r>
      <w:r w:rsidR="00586009" w:rsidRPr="00D51A7A">
        <w:t xml:space="preserve">  Subsection</w:t>
      </w:r>
      <w:r w:rsidR="00D51A7A" w:rsidRPr="00D51A7A">
        <w:t> </w:t>
      </w:r>
      <w:r w:rsidR="00586009" w:rsidRPr="00D51A7A">
        <w:t>149(3)</w:t>
      </w:r>
    </w:p>
    <w:p w:rsidR="00586009" w:rsidRPr="00D51A7A" w:rsidRDefault="00586009" w:rsidP="00D51A7A">
      <w:pPr>
        <w:pStyle w:val="Item"/>
      </w:pPr>
      <w:r w:rsidRPr="00D51A7A">
        <w:t>Omit “3 Commissioners”, substitute “2 Commissioners”.</w:t>
      </w:r>
    </w:p>
    <w:p w:rsidR="00254E10" w:rsidRPr="008E40B7" w:rsidRDefault="00254E10" w:rsidP="00254E10">
      <w:pPr>
        <w:pStyle w:val="ItemHead"/>
      </w:pPr>
      <w:r w:rsidRPr="008E40B7">
        <w:t>36  Transitional—Commissioners’ appointments</w:t>
      </w:r>
    </w:p>
    <w:p w:rsidR="00254E10" w:rsidRPr="008E40B7" w:rsidRDefault="00254E10" w:rsidP="00254E10">
      <w:pPr>
        <w:pStyle w:val="SubitemHead"/>
      </w:pPr>
      <w:r w:rsidRPr="008E40B7">
        <w:t>Scope</w:t>
      </w:r>
    </w:p>
    <w:p w:rsidR="00254E10" w:rsidRPr="008E40B7" w:rsidRDefault="00254E10" w:rsidP="00254E10">
      <w:pPr>
        <w:pStyle w:val="Subitem"/>
      </w:pPr>
      <w:r w:rsidRPr="008E40B7">
        <w:t>(1)</w:t>
      </w:r>
      <w:r w:rsidRPr="008E40B7">
        <w:tab/>
        <w:t>This item applies if a person held office as a Commissioner immediately before the commencement of this item.</w:t>
      </w:r>
    </w:p>
    <w:p w:rsidR="00254E10" w:rsidRPr="008E40B7" w:rsidRDefault="00254E10" w:rsidP="00254E10">
      <w:pPr>
        <w:pStyle w:val="SubitemHead"/>
      </w:pPr>
      <w:r w:rsidRPr="008E40B7">
        <w:t>Continuity of appointment</w:t>
      </w:r>
    </w:p>
    <w:p w:rsidR="00254E10" w:rsidRPr="008E40B7" w:rsidRDefault="00254E10" w:rsidP="00254E10">
      <w:pPr>
        <w:pStyle w:val="Subitem"/>
      </w:pPr>
      <w:r w:rsidRPr="008E40B7">
        <w:t>(2)</w:t>
      </w:r>
      <w:r w:rsidRPr="008E40B7">
        <w:tab/>
        <w:t>The person’s instrument of appointment has effect, after the commencement of this item, as if it were an instrument of appointment:</w:t>
      </w:r>
    </w:p>
    <w:p w:rsidR="00254E10" w:rsidRPr="008E40B7" w:rsidRDefault="00254E10" w:rsidP="00254E10">
      <w:pPr>
        <w:pStyle w:val="paragraph"/>
      </w:pPr>
      <w:r w:rsidRPr="008E40B7">
        <w:tab/>
        <w:t>(a)</w:t>
      </w:r>
      <w:r w:rsidRPr="008E40B7">
        <w:tab/>
        <w:t xml:space="preserve">made under subsection 138(1) of the </w:t>
      </w:r>
      <w:r w:rsidRPr="008E40B7">
        <w:rPr>
          <w:i/>
          <w:iCs/>
        </w:rPr>
        <w:t>Tertiary Education Quality and Standards Agency Act 2011</w:t>
      </w:r>
      <w:r w:rsidRPr="008E40B7">
        <w:t xml:space="preserve"> (as amended by this Part); and</w:t>
      </w:r>
    </w:p>
    <w:p w:rsidR="00254E10" w:rsidRPr="008E40B7" w:rsidRDefault="00254E10" w:rsidP="00254E10">
      <w:pPr>
        <w:pStyle w:val="paragraph"/>
      </w:pPr>
      <w:r w:rsidRPr="008E40B7">
        <w:tab/>
        <w:t>(b)</w:t>
      </w:r>
      <w:r w:rsidRPr="008E40B7">
        <w:tab/>
        <w:t>for the balance of the person’s term of appointment that remained immediately before the commencement of this item.</w:t>
      </w:r>
    </w:p>
    <w:p w:rsidR="00824A64" w:rsidRPr="00D51A7A" w:rsidRDefault="007A07BA" w:rsidP="00D51A7A">
      <w:pPr>
        <w:pStyle w:val="ActHead7"/>
        <w:pageBreakBefore/>
      </w:pPr>
      <w:bookmarkStart w:id="19" w:name="_Toc406573169"/>
      <w:r w:rsidRPr="00D51A7A">
        <w:rPr>
          <w:rStyle w:val="CharAmPartNo"/>
        </w:rPr>
        <w:lastRenderedPageBreak/>
        <w:t>Part</w:t>
      </w:r>
      <w:r w:rsidR="00D51A7A" w:rsidRPr="00D51A7A">
        <w:rPr>
          <w:rStyle w:val="CharAmPartNo"/>
        </w:rPr>
        <w:t> </w:t>
      </w:r>
      <w:r w:rsidRPr="00D51A7A">
        <w:rPr>
          <w:rStyle w:val="CharAmPartNo"/>
        </w:rPr>
        <w:t>5</w:t>
      </w:r>
      <w:r w:rsidRPr="00D51A7A">
        <w:t>—</w:t>
      </w:r>
      <w:r w:rsidRPr="00D51A7A">
        <w:rPr>
          <w:rStyle w:val="CharAmPartText"/>
        </w:rPr>
        <w:t>Chief E</w:t>
      </w:r>
      <w:r w:rsidR="00824A64" w:rsidRPr="00D51A7A">
        <w:rPr>
          <w:rStyle w:val="CharAmPartText"/>
        </w:rPr>
        <w:t xml:space="preserve">xecutive </w:t>
      </w:r>
      <w:r w:rsidRPr="00D51A7A">
        <w:rPr>
          <w:rStyle w:val="CharAmPartText"/>
        </w:rPr>
        <w:t>O</w:t>
      </w:r>
      <w:r w:rsidR="00824A64" w:rsidRPr="00D51A7A">
        <w:rPr>
          <w:rStyle w:val="CharAmPartText"/>
        </w:rPr>
        <w:t>fficer</w:t>
      </w:r>
      <w:r w:rsidR="00EE55F9" w:rsidRPr="00D51A7A">
        <w:rPr>
          <w:rStyle w:val="CharAmPartText"/>
        </w:rPr>
        <w:t xml:space="preserve"> etc.</w:t>
      </w:r>
      <w:bookmarkEnd w:id="19"/>
    </w:p>
    <w:p w:rsidR="007A07BA" w:rsidRPr="00D51A7A" w:rsidRDefault="007A07BA" w:rsidP="00D51A7A">
      <w:pPr>
        <w:pStyle w:val="ActHead9"/>
        <w:rPr>
          <w:i w:val="0"/>
        </w:rPr>
      </w:pPr>
      <w:bookmarkStart w:id="20" w:name="_Toc406573170"/>
      <w:r w:rsidRPr="00D51A7A">
        <w:t>Tertiary Education Quality and Standards Agency Act 2011</w:t>
      </w:r>
      <w:bookmarkEnd w:id="20"/>
    </w:p>
    <w:p w:rsidR="00AA01CC" w:rsidRPr="00D51A7A" w:rsidRDefault="004A5D14" w:rsidP="00D51A7A">
      <w:pPr>
        <w:pStyle w:val="ItemHead"/>
      </w:pPr>
      <w:r w:rsidRPr="00D51A7A">
        <w:t>37</w:t>
      </w:r>
      <w:r w:rsidR="00AA01CC" w:rsidRPr="00D51A7A">
        <w:t xml:space="preserve">  Subsection</w:t>
      </w:r>
      <w:r w:rsidR="00D51A7A" w:rsidRPr="00D51A7A">
        <w:t> </w:t>
      </w:r>
      <w:r w:rsidR="00AA01CC" w:rsidRPr="00D51A7A">
        <w:t>145(2) (note)</w:t>
      </w:r>
    </w:p>
    <w:p w:rsidR="00AA01CC" w:rsidRPr="00D51A7A" w:rsidRDefault="00AA01CC" w:rsidP="00D51A7A">
      <w:pPr>
        <w:pStyle w:val="Item"/>
      </w:pPr>
      <w:r w:rsidRPr="00D51A7A">
        <w:t>Repeal the note.</w:t>
      </w:r>
    </w:p>
    <w:p w:rsidR="00AA01CC" w:rsidRPr="00D51A7A" w:rsidRDefault="004A5D14" w:rsidP="00D51A7A">
      <w:pPr>
        <w:pStyle w:val="ItemHead"/>
      </w:pPr>
      <w:r w:rsidRPr="00D51A7A">
        <w:t>38</w:t>
      </w:r>
      <w:r w:rsidR="00AA01CC" w:rsidRPr="00D51A7A">
        <w:t xml:space="preserve">  Before section</w:t>
      </w:r>
      <w:r w:rsidR="00D51A7A" w:rsidRPr="00D51A7A">
        <w:t> </w:t>
      </w:r>
      <w:r w:rsidR="00AA01CC" w:rsidRPr="00D51A7A">
        <w:t>153</w:t>
      </w:r>
    </w:p>
    <w:p w:rsidR="00AA01CC" w:rsidRPr="00D51A7A" w:rsidRDefault="00AA01CC" w:rsidP="00D51A7A">
      <w:pPr>
        <w:pStyle w:val="Item"/>
      </w:pPr>
      <w:r w:rsidRPr="00D51A7A">
        <w:t>Insert:</w:t>
      </w:r>
    </w:p>
    <w:p w:rsidR="00AA01CC" w:rsidRPr="00D51A7A" w:rsidRDefault="00AA01CC" w:rsidP="00D51A7A">
      <w:pPr>
        <w:pStyle w:val="ActHead4"/>
      </w:pPr>
      <w:bookmarkStart w:id="21" w:name="_Toc406573171"/>
      <w:r w:rsidRPr="00D51A7A">
        <w:rPr>
          <w:rStyle w:val="CharSubdNo"/>
        </w:rPr>
        <w:t>Subdivision A</w:t>
      </w:r>
      <w:r w:rsidRPr="00D51A7A">
        <w:t>—</w:t>
      </w:r>
      <w:r w:rsidRPr="00D51A7A">
        <w:rPr>
          <w:rStyle w:val="CharSubdText"/>
        </w:rPr>
        <w:t>Office and functions of the Chief Executive Officer</w:t>
      </w:r>
      <w:bookmarkEnd w:id="21"/>
    </w:p>
    <w:p w:rsidR="00AA01CC" w:rsidRPr="00D51A7A" w:rsidRDefault="004A5D14" w:rsidP="00D51A7A">
      <w:pPr>
        <w:pStyle w:val="ItemHead"/>
      </w:pPr>
      <w:r w:rsidRPr="00D51A7A">
        <w:t>39</w:t>
      </w:r>
      <w:r w:rsidR="00AA01CC" w:rsidRPr="00D51A7A">
        <w:t xml:space="preserve">  Subsection</w:t>
      </w:r>
      <w:r w:rsidR="00D51A7A" w:rsidRPr="00D51A7A">
        <w:t> </w:t>
      </w:r>
      <w:r w:rsidR="00AA01CC" w:rsidRPr="00D51A7A">
        <w:t>153(1)</w:t>
      </w:r>
    </w:p>
    <w:p w:rsidR="00AA01CC" w:rsidRPr="00D51A7A" w:rsidRDefault="00AA01CC" w:rsidP="00D51A7A">
      <w:pPr>
        <w:pStyle w:val="Item"/>
      </w:pPr>
      <w:r w:rsidRPr="00D51A7A">
        <w:t>Omit “(1)”.</w:t>
      </w:r>
    </w:p>
    <w:p w:rsidR="00AA01CC" w:rsidRPr="00D51A7A" w:rsidRDefault="004A5D14" w:rsidP="00D51A7A">
      <w:pPr>
        <w:pStyle w:val="ItemHead"/>
      </w:pPr>
      <w:r w:rsidRPr="00D51A7A">
        <w:t>40</w:t>
      </w:r>
      <w:r w:rsidR="00AA01CC" w:rsidRPr="00D51A7A">
        <w:t xml:space="preserve">  Subsection</w:t>
      </w:r>
      <w:r w:rsidR="00D51A7A" w:rsidRPr="00D51A7A">
        <w:t> </w:t>
      </w:r>
      <w:r w:rsidR="00AA01CC" w:rsidRPr="00D51A7A">
        <w:t>153(2)</w:t>
      </w:r>
    </w:p>
    <w:p w:rsidR="00AA01CC" w:rsidRPr="00D51A7A" w:rsidRDefault="00AA01CC" w:rsidP="00D51A7A">
      <w:pPr>
        <w:pStyle w:val="Item"/>
      </w:pPr>
      <w:r w:rsidRPr="00D51A7A">
        <w:t>Repeal the subsection.</w:t>
      </w:r>
    </w:p>
    <w:p w:rsidR="00AA01CC" w:rsidRPr="00D51A7A" w:rsidRDefault="004A5D14" w:rsidP="00D51A7A">
      <w:pPr>
        <w:pStyle w:val="ItemHead"/>
      </w:pPr>
      <w:r w:rsidRPr="00D51A7A">
        <w:t>41</w:t>
      </w:r>
      <w:r w:rsidR="00AA01CC" w:rsidRPr="00D51A7A">
        <w:t xml:space="preserve">  After section</w:t>
      </w:r>
      <w:r w:rsidR="00D51A7A" w:rsidRPr="00D51A7A">
        <w:t> </w:t>
      </w:r>
      <w:r w:rsidR="00AA01CC" w:rsidRPr="00D51A7A">
        <w:t>154</w:t>
      </w:r>
    </w:p>
    <w:p w:rsidR="00AA01CC" w:rsidRPr="00D51A7A" w:rsidRDefault="00AA01CC" w:rsidP="00D51A7A">
      <w:pPr>
        <w:pStyle w:val="Item"/>
      </w:pPr>
      <w:r w:rsidRPr="00D51A7A">
        <w:t>Insert:</w:t>
      </w:r>
    </w:p>
    <w:p w:rsidR="00AA01CC" w:rsidRPr="00D51A7A" w:rsidRDefault="00AA01CC" w:rsidP="00D51A7A">
      <w:pPr>
        <w:pStyle w:val="ActHead4"/>
      </w:pPr>
      <w:bookmarkStart w:id="22" w:name="_Toc406573172"/>
      <w:r w:rsidRPr="00D51A7A">
        <w:rPr>
          <w:rStyle w:val="CharSubdNo"/>
        </w:rPr>
        <w:t>Subdivision B</w:t>
      </w:r>
      <w:r w:rsidRPr="00D51A7A">
        <w:t>—</w:t>
      </w:r>
      <w:r w:rsidRPr="00D51A7A">
        <w:rPr>
          <w:rStyle w:val="CharSubdText"/>
        </w:rPr>
        <w:t>Appointment of the Chief Executive Officer</w:t>
      </w:r>
      <w:bookmarkEnd w:id="22"/>
    </w:p>
    <w:p w:rsidR="00AA01CC" w:rsidRPr="00D51A7A" w:rsidRDefault="00AA01CC" w:rsidP="00D51A7A">
      <w:pPr>
        <w:pStyle w:val="ActHead5"/>
      </w:pPr>
      <w:bookmarkStart w:id="23" w:name="_Toc406573173"/>
      <w:r w:rsidRPr="00D51A7A">
        <w:rPr>
          <w:rStyle w:val="CharSectno"/>
        </w:rPr>
        <w:t>154A</w:t>
      </w:r>
      <w:r w:rsidRPr="00D51A7A">
        <w:t xml:space="preserve">  Appointment of the Chief Executive Officer</w:t>
      </w:r>
      <w:bookmarkEnd w:id="23"/>
    </w:p>
    <w:p w:rsidR="00AA01CC" w:rsidRPr="00D51A7A" w:rsidRDefault="00AA01CC" w:rsidP="00D51A7A">
      <w:pPr>
        <w:pStyle w:val="subsection"/>
      </w:pPr>
      <w:r w:rsidRPr="00D51A7A">
        <w:tab/>
        <w:t>(1)</w:t>
      </w:r>
      <w:r w:rsidRPr="00D51A7A">
        <w:tab/>
        <w:t>The Chief Executive Officer is to be appointed by the Minister by written instrument.</w:t>
      </w:r>
    </w:p>
    <w:p w:rsidR="00AA01CC" w:rsidRPr="00D51A7A" w:rsidRDefault="00F44321" w:rsidP="00D51A7A">
      <w:pPr>
        <w:pStyle w:val="subsection"/>
      </w:pPr>
      <w:r w:rsidRPr="00D51A7A">
        <w:tab/>
        <w:t>(2)</w:t>
      </w:r>
      <w:r w:rsidRPr="00D51A7A">
        <w:tab/>
        <w:t>A person may only be appointed as the Chief Executive Officer if the Minister is satisfied that the person has appropriate qualifications, knowledge or experience.</w:t>
      </w:r>
    </w:p>
    <w:p w:rsidR="00AA01CC" w:rsidRPr="00D51A7A" w:rsidRDefault="00AA01CC" w:rsidP="00D51A7A">
      <w:pPr>
        <w:pStyle w:val="subsection"/>
      </w:pPr>
      <w:r w:rsidRPr="00D51A7A">
        <w:tab/>
        <w:t>(3)</w:t>
      </w:r>
      <w:r w:rsidRPr="00D51A7A">
        <w:tab/>
        <w:t xml:space="preserve">The Chief Executive Officer </w:t>
      </w:r>
      <w:r w:rsidR="00F44321" w:rsidRPr="00D51A7A">
        <w:t xml:space="preserve">may </w:t>
      </w:r>
      <w:r w:rsidRPr="00D51A7A">
        <w:t xml:space="preserve">hold office on </w:t>
      </w:r>
      <w:r w:rsidR="00F44321" w:rsidRPr="00D51A7A">
        <w:t xml:space="preserve">either </w:t>
      </w:r>
      <w:r w:rsidRPr="00D51A7A">
        <w:t>a full</w:t>
      </w:r>
      <w:r w:rsidR="006C3CD5">
        <w:noBreakHyphen/>
      </w:r>
      <w:r w:rsidRPr="00D51A7A">
        <w:t xml:space="preserve">time </w:t>
      </w:r>
      <w:r w:rsidR="00936BE3" w:rsidRPr="00D51A7A">
        <w:t>or a part</w:t>
      </w:r>
      <w:r w:rsidR="006C3CD5">
        <w:noBreakHyphen/>
      </w:r>
      <w:r w:rsidR="00936BE3" w:rsidRPr="00D51A7A">
        <w:t xml:space="preserve">time </w:t>
      </w:r>
      <w:r w:rsidRPr="00D51A7A">
        <w:t>basis.</w:t>
      </w:r>
    </w:p>
    <w:p w:rsidR="00AA01CC" w:rsidRPr="00D51A7A" w:rsidRDefault="00AA01CC" w:rsidP="00D51A7A">
      <w:pPr>
        <w:pStyle w:val="ActHead5"/>
      </w:pPr>
      <w:bookmarkStart w:id="24" w:name="_Toc406573174"/>
      <w:r w:rsidRPr="00D51A7A">
        <w:rPr>
          <w:rStyle w:val="CharSectno"/>
        </w:rPr>
        <w:lastRenderedPageBreak/>
        <w:t>154B</w:t>
      </w:r>
      <w:r w:rsidRPr="00D51A7A">
        <w:t xml:space="preserve">  Period of appointment for the Chief Executive Officer</w:t>
      </w:r>
      <w:bookmarkEnd w:id="24"/>
    </w:p>
    <w:p w:rsidR="00AA01CC" w:rsidRPr="00D51A7A" w:rsidRDefault="00AA01CC" w:rsidP="00D51A7A">
      <w:pPr>
        <w:pStyle w:val="subsection"/>
      </w:pPr>
      <w:r w:rsidRPr="00D51A7A">
        <w:tab/>
      </w:r>
      <w:r w:rsidRPr="00D51A7A">
        <w:tab/>
        <w:t>The Chief Executive Officer holds office for the period specified in the instrument of appointment. The period must not exceed 5 years.</w:t>
      </w:r>
    </w:p>
    <w:p w:rsidR="00AA01CC" w:rsidRPr="00D51A7A" w:rsidRDefault="00AA01CC" w:rsidP="00D51A7A">
      <w:pPr>
        <w:pStyle w:val="notetext"/>
      </w:pPr>
      <w:r w:rsidRPr="00D51A7A">
        <w:t>Note:</w:t>
      </w:r>
      <w:r w:rsidRPr="00D51A7A">
        <w:tab/>
        <w:t xml:space="preserve">The Chief Executive Officer may be reappointed: see the </w:t>
      </w:r>
      <w:r w:rsidRPr="00D51A7A">
        <w:rPr>
          <w:i/>
        </w:rPr>
        <w:t>Acts Interpretation Act 1901</w:t>
      </w:r>
      <w:r w:rsidRPr="00D51A7A">
        <w:t>.</w:t>
      </w:r>
    </w:p>
    <w:p w:rsidR="00AA01CC" w:rsidRPr="00D51A7A" w:rsidRDefault="00AA01CC" w:rsidP="00D51A7A">
      <w:pPr>
        <w:pStyle w:val="ActHead5"/>
      </w:pPr>
      <w:bookmarkStart w:id="25" w:name="_Toc406573175"/>
      <w:r w:rsidRPr="00D51A7A">
        <w:rPr>
          <w:rStyle w:val="CharSectno"/>
        </w:rPr>
        <w:t>154C</w:t>
      </w:r>
      <w:r w:rsidRPr="00D51A7A">
        <w:t xml:space="preserve">  Acting appointments</w:t>
      </w:r>
      <w:bookmarkEnd w:id="25"/>
    </w:p>
    <w:p w:rsidR="00AA01CC" w:rsidRPr="00D51A7A" w:rsidRDefault="00AA01CC" w:rsidP="00D51A7A">
      <w:pPr>
        <w:pStyle w:val="subsection"/>
      </w:pPr>
      <w:r w:rsidRPr="00D51A7A">
        <w:tab/>
        <w:t>(1)</w:t>
      </w:r>
      <w:r w:rsidRPr="00D51A7A">
        <w:tab/>
        <w:t>The Minister may appoint a person to act as the Chief Executive Officer:</w:t>
      </w:r>
    </w:p>
    <w:p w:rsidR="00AA01CC" w:rsidRPr="00D51A7A" w:rsidRDefault="00AA01CC" w:rsidP="00D51A7A">
      <w:pPr>
        <w:pStyle w:val="paragraph"/>
      </w:pPr>
      <w:r w:rsidRPr="00D51A7A">
        <w:tab/>
        <w:t>(a)</w:t>
      </w:r>
      <w:r w:rsidRPr="00D51A7A">
        <w:tab/>
        <w:t>during a vacancy in the office of the Chief Executive Officer (whether or not an appointment has previously been made to the office); or</w:t>
      </w:r>
    </w:p>
    <w:p w:rsidR="00AA01CC" w:rsidRPr="00D51A7A" w:rsidRDefault="00AA01CC" w:rsidP="00D51A7A">
      <w:pPr>
        <w:pStyle w:val="paragraph"/>
      </w:pPr>
      <w:r w:rsidRPr="00D51A7A">
        <w:tab/>
        <w:t>(b)</w:t>
      </w:r>
      <w:r w:rsidRPr="00D51A7A">
        <w:tab/>
        <w:t>during any period, or during all periods, when the Chief Executive Officer:</w:t>
      </w:r>
    </w:p>
    <w:p w:rsidR="00AA01CC" w:rsidRPr="00D51A7A" w:rsidRDefault="00AA01CC" w:rsidP="00D51A7A">
      <w:pPr>
        <w:pStyle w:val="paragraphsub"/>
      </w:pPr>
      <w:r w:rsidRPr="00D51A7A">
        <w:tab/>
        <w:t>(</w:t>
      </w:r>
      <w:proofErr w:type="spellStart"/>
      <w:r w:rsidRPr="00D51A7A">
        <w:t>i</w:t>
      </w:r>
      <w:proofErr w:type="spellEnd"/>
      <w:r w:rsidRPr="00D51A7A">
        <w:t>)</w:t>
      </w:r>
      <w:r w:rsidRPr="00D51A7A">
        <w:tab/>
        <w:t>is absent from duty or from Australia; or</w:t>
      </w:r>
    </w:p>
    <w:p w:rsidR="00AA01CC" w:rsidRPr="00D51A7A" w:rsidRDefault="00AA01CC" w:rsidP="00D51A7A">
      <w:pPr>
        <w:pStyle w:val="paragraphsub"/>
      </w:pPr>
      <w:r w:rsidRPr="00D51A7A">
        <w:tab/>
        <w:t>(ii)</w:t>
      </w:r>
      <w:r w:rsidRPr="00D51A7A">
        <w:tab/>
        <w:t>is, for any reason, unable to perform the duties of the office.</w:t>
      </w:r>
    </w:p>
    <w:p w:rsidR="00AA01CC" w:rsidRPr="00D51A7A" w:rsidRDefault="00AA01CC" w:rsidP="00D51A7A">
      <w:pPr>
        <w:pStyle w:val="notetext"/>
      </w:pPr>
      <w:r w:rsidRPr="00D51A7A">
        <w:t>Note:</w:t>
      </w:r>
      <w:r w:rsidRPr="00D51A7A">
        <w:tab/>
        <w:t>For rules that apply to acting appointments, see sections</w:t>
      </w:r>
      <w:r w:rsidR="00D51A7A" w:rsidRPr="00D51A7A">
        <w:t> </w:t>
      </w:r>
      <w:r w:rsidRPr="00D51A7A">
        <w:t xml:space="preserve">33AB and 33A of the </w:t>
      </w:r>
      <w:r w:rsidRPr="00D51A7A">
        <w:rPr>
          <w:i/>
        </w:rPr>
        <w:t>Acts Interpretation Act 1901</w:t>
      </w:r>
      <w:r w:rsidRPr="00D51A7A">
        <w:t>.</w:t>
      </w:r>
    </w:p>
    <w:p w:rsidR="00F44321" w:rsidRPr="00D51A7A" w:rsidRDefault="00F44321" w:rsidP="00D51A7A">
      <w:pPr>
        <w:pStyle w:val="subsection"/>
      </w:pPr>
      <w:r w:rsidRPr="00D51A7A">
        <w:tab/>
        <w:t>(2)</w:t>
      </w:r>
      <w:r w:rsidRPr="00D51A7A">
        <w:tab/>
        <w:t>A person may only be appointed to act as the Chief Executive Officer if the Minister is satisfied that the person has appropriate qualifications, knowledge or experience.</w:t>
      </w:r>
    </w:p>
    <w:p w:rsidR="00AA01CC" w:rsidRPr="00D51A7A" w:rsidRDefault="00AA01CC" w:rsidP="00D51A7A">
      <w:pPr>
        <w:pStyle w:val="ActHead4"/>
      </w:pPr>
      <w:bookmarkStart w:id="26" w:name="_Toc406573176"/>
      <w:r w:rsidRPr="00D51A7A">
        <w:rPr>
          <w:rStyle w:val="CharSubdNo"/>
        </w:rPr>
        <w:t>Subdivision</w:t>
      </w:r>
      <w:r w:rsidR="002C40CA" w:rsidRPr="00D51A7A">
        <w:rPr>
          <w:rStyle w:val="CharSubdNo"/>
        </w:rPr>
        <w:t xml:space="preserve"> </w:t>
      </w:r>
      <w:r w:rsidRPr="00D51A7A">
        <w:rPr>
          <w:rStyle w:val="CharSubdNo"/>
        </w:rPr>
        <w:t>C</w:t>
      </w:r>
      <w:r w:rsidRPr="00D51A7A">
        <w:t>—</w:t>
      </w:r>
      <w:r w:rsidRPr="00D51A7A">
        <w:rPr>
          <w:rStyle w:val="CharSubdText"/>
        </w:rPr>
        <w:t>Terms and conditions for the Chief Executive Officer</w:t>
      </w:r>
      <w:bookmarkEnd w:id="26"/>
    </w:p>
    <w:p w:rsidR="00AA01CC" w:rsidRPr="00D51A7A" w:rsidRDefault="00AA01CC" w:rsidP="00D51A7A">
      <w:pPr>
        <w:pStyle w:val="ActHead5"/>
      </w:pPr>
      <w:bookmarkStart w:id="27" w:name="_Toc406573177"/>
      <w:r w:rsidRPr="00D51A7A">
        <w:rPr>
          <w:rStyle w:val="CharSectno"/>
        </w:rPr>
        <w:t>154D</w:t>
      </w:r>
      <w:r w:rsidRPr="00D51A7A">
        <w:t xml:space="preserve">  Remuneration and allowances</w:t>
      </w:r>
      <w:bookmarkEnd w:id="27"/>
    </w:p>
    <w:p w:rsidR="00AA01CC" w:rsidRPr="00D51A7A" w:rsidRDefault="00AA01CC" w:rsidP="00D51A7A">
      <w:pPr>
        <w:pStyle w:val="subsection"/>
      </w:pPr>
      <w:r w:rsidRPr="00D51A7A">
        <w:tab/>
        <w:t>(1)</w:t>
      </w:r>
      <w:r w:rsidRPr="00D51A7A">
        <w:tab/>
        <w:t>The Chief Executive Officer is to be paid the remuneration that is determined by the Remuneration Tribunal. If no determination of that remuneration by the Tribunal is in operation, the Chief Executive Officer is to be paid the remuneration that is determined, in writing, by the Minister.</w:t>
      </w:r>
    </w:p>
    <w:p w:rsidR="00AA01CC" w:rsidRPr="00D51A7A" w:rsidRDefault="00AA01CC" w:rsidP="00D51A7A">
      <w:pPr>
        <w:pStyle w:val="subsection"/>
      </w:pPr>
      <w:r w:rsidRPr="00D51A7A">
        <w:tab/>
        <w:t>(2)</w:t>
      </w:r>
      <w:r w:rsidRPr="00D51A7A">
        <w:tab/>
        <w:t>The Chief Executive Officer is to be paid the allowances that are determined, in writing, by the Minister.</w:t>
      </w:r>
    </w:p>
    <w:p w:rsidR="00AA01CC" w:rsidRPr="00D51A7A" w:rsidRDefault="00AA01CC" w:rsidP="00D51A7A">
      <w:pPr>
        <w:pStyle w:val="subsection"/>
      </w:pPr>
      <w:r w:rsidRPr="00D51A7A">
        <w:lastRenderedPageBreak/>
        <w:tab/>
        <w:t>(3)</w:t>
      </w:r>
      <w:r w:rsidRPr="00D51A7A">
        <w:tab/>
        <w:t xml:space="preserve">This section has effect subject to the </w:t>
      </w:r>
      <w:r w:rsidRPr="00D51A7A">
        <w:rPr>
          <w:i/>
        </w:rPr>
        <w:t>Remuneration Tribunal Act 1973</w:t>
      </w:r>
      <w:r w:rsidRPr="00D51A7A">
        <w:t>.</w:t>
      </w:r>
    </w:p>
    <w:p w:rsidR="00AA01CC" w:rsidRPr="00D51A7A" w:rsidRDefault="00AA01CC" w:rsidP="00D51A7A">
      <w:pPr>
        <w:pStyle w:val="ActHead5"/>
      </w:pPr>
      <w:bookmarkStart w:id="28" w:name="_Toc406573178"/>
      <w:r w:rsidRPr="00D51A7A">
        <w:rPr>
          <w:rStyle w:val="CharSectno"/>
        </w:rPr>
        <w:t>154E</w:t>
      </w:r>
      <w:r w:rsidRPr="00D51A7A">
        <w:t xml:space="preserve">  Leave of absence</w:t>
      </w:r>
      <w:bookmarkEnd w:id="28"/>
    </w:p>
    <w:p w:rsidR="00AA01CC" w:rsidRPr="00D51A7A" w:rsidRDefault="00AA01CC" w:rsidP="00D51A7A">
      <w:pPr>
        <w:pStyle w:val="subsection"/>
      </w:pPr>
      <w:r w:rsidRPr="00D51A7A">
        <w:tab/>
        <w:t>(1)</w:t>
      </w:r>
      <w:r w:rsidRPr="00D51A7A">
        <w:tab/>
        <w:t>The Chief Executive Officer has the recreation leave entitlements that are determined by the Remuneration Tribunal.</w:t>
      </w:r>
      <w:r w:rsidR="00F44321" w:rsidRPr="00D51A7A">
        <w:t xml:space="preserve"> If no determination of those entitlements by the Tribunal is in operation, the Chief Executive Officer is to have the recreation leave entitlements that are determined, in writing, by the Minister.</w:t>
      </w:r>
    </w:p>
    <w:p w:rsidR="00B93A66" w:rsidRPr="00D51A7A" w:rsidRDefault="00AA01CC" w:rsidP="00D51A7A">
      <w:pPr>
        <w:pStyle w:val="subsection"/>
      </w:pPr>
      <w:r w:rsidRPr="00D51A7A">
        <w:tab/>
        <w:t>(2)</w:t>
      </w:r>
      <w:r w:rsidRPr="00D51A7A">
        <w:tab/>
        <w:t>The Minister may grant the Chief Executive Officer leave of absence, other than recreation leave, on the terms and conditions as to remuneration or otherwise that the Minister determines.</w:t>
      </w:r>
    </w:p>
    <w:p w:rsidR="00AA01CC" w:rsidRPr="00D51A7A" w:rsidRDefault="00AA01CC" w:rsidP="00D51A7A">
      <w:pPr>
        <w:pStyle w:val="ActHead5"/>
      </w:pPr>
      <w:bookmarkStart w:id="29" w:name="_Toc406573179"/>
      <w:r w:rsidRPr="00D51A7A">
        <w:rPr>
          <w:rStyle w:val="CharSectno"/>
        </w:rPr>
        <w:t>154F</w:t>
      </w:r>
      <w:r w:rsidRPr="00D51A7A">
        <w:t xml:space="preserve">  Outside employment</w:t>
      </w:r>
      <w:bookmarkEnd w:id="29"/>
    </w:p>
    <w:p w:rsidR="00AA01CC" w:rsidRPr="00D51A7A" w:rsidRDefault="0073290C" w:rsidP="00D51A7A">
      <w:pPr>
        <w:pStyle w:val="subsection"/>
      </w:pPr>
      <w:r w:rsidRPr="00D51A7A">
        <w:tab/>
      </w:r>
      <w:r w:rsidRPr="00D51A7A">
        <w:tab/>
        <w:t xml:space="preserve">The </w:t>
      </w:r>
      <w:r w:rsidR="00AA01CC" w:rsidRPr="00D51A7A">
        <w:t>Chief Executive Officer must not engage in paid employment outside the duties of his or her office without the Minister’s approval.</w:t>
      </w:r>
    </w:p>
    <w:p w:rsidR="00AA01CC" w:rsidRPr="00D51A7A" w:rsidRDefault="00AA01CC" w:rsidP="00D51A7A">
      <w:pPr>
        <w:pStyle w:val="ActHead5"/>
      </w:pPr>
      <w:bookmarkStart w:id="30" w:name="_Toc406573180"/>
      <w:r w:rsidRPr="00D51A7A">
        <w:rPr>
          <w:rStyle w:val="CharSectno"/>
        </w:rPr>
        <w:t>154G</w:t>
      </w:r>
      <w:r w:rsidRPr="00D51A7A">
        <w:t xml:space="preserve">  Disclosure of interests to the Minister</w:t>
      </w:r>
      <w:bookmarkEnd w:id="30"/>
    </w:p>
    <w:p w:rsidR="00AA01CC" w:rsidRPr="00D51A7A" w:rsidRDefault="00AA01CC" w:rsidP="00D51A7A">
      <w:pPr>
        <w:pStyle w:val="subsection"/>
      </w:pPr>
      <w:r w:rsidRPr="00D51A7A">
        <w:tab/>
      </w:r>
      <w:r w:rsidRPr="00D51A7A">
        <w:tab/>
        <w:t>The Chief Executive Officer must give written notice to the Minister of all interests, pecuniary or otherwise, that the Chief Executive Officer has or acquires and that conflict or could conflict with the proper performance of the Chief Executive Officer’s functions.</w:t>
      </w:r>
    </w:p>
    <w:p w:rsidR="00AA01CC" w:rsidRPr="00D51A7A" w:rsidRDefault="00AA01CC" w:rsidP="00D51A7A">
      <w:pPr>
        <w:pStyle w:val="ActHead5"/>
      </w:pPr>
      <w:bookmarkStart w:id="31" w:name="_Toc406573181"/>
      <w:r w:rsidRPr="00D51A7A">
        <w:rPr>
          <w:rStyle w:val="CharSectno"/>
        </w:rPr>
        <w:t>154H</w:t>
      </w:r>
      <w:r w:rsidRPr="00D51A7A">
        <w:t xml:space="preserve">  Resignation</w:t>
      </w:r>
      <w:bookmarkEnd w:id="31"/>
    </w:p>
    <w:p w:rsidR="00AA01CC" w:rsidRPr="00D51A7A" w:rsidRDefault="00AA01CC" w:rsidP="00D51A7A">
      <w:pPr>
        <w:pStyle w:val="subsection"/>
      </w:pPr>
      <w:r w:rsidRPr="00D51A7A">
        <w:tab/>
        <w:t>(1)</w:t>
      </w:r>
      <w:r w:rsidRPr="00D51A7A">
        <w:tab/>
        <w:t>The Chief Executive Officer may resign his or her appointment by giving the Minister a written resignation.</w:t>
      </w:r>
    </w:p>
    <w:p w:rsidR="00AA01CC" w:rsidRPr="00D51A7A" w:rsidRDefault="00AA01CC" w:rsidP="00D51A7A">
      <w:pPr>
        <w:pStyle w:val="subsection"/>
      </w:pPr>
      <w:r w:rsidRPr="00D51A7A">
        <w:tab/>
        <w:t>(2)</w:t>
      </w:r>
      <w:r w:rsidRPr="00D51A7A">
        <w:tab/>
        <w:t>The resignation takes effect on the day it is received by the Minister or, if a later day is specified in the resignation, on that later day.</w:t>
      </w:r>
    </w:p>
    <w:p w:rsidR="00AA01CC" w:rsidRPr="00D51A7A" w:rsidRDefault="00AA01CC" w:rsidP="00D51A7A">
      <w:pPr>
        <w:pStyle w:val="ActHead5"/>
      </w:pPr>
      <w:bookmarkStart w:id="32" w:name="_Toc406573182"/>
      <w:r w:rsidRPr="00D51A7A">
        <w:rPr>
          <w:rStyle w:val="CharSectno"/>
        </w:rPr>
        <w:t>154J</w:t>
      </w:r>
      <w:r w:rsidRPr="00D51A7A">
        <w:t xml:space="preserve">  Termination of appointment</w:t>
      </w:r>
      <w:bookmarkEnd w:id="32"/>
    </w:p>
    <w:p w:rsidR="00AA01CC" w:rsidRPr="00D51A7A" w:rsidRDefault="00AA01CC" w:rsidP="00D51A7A">
      <w:pPr>
        <w:pStyle w:val="subsection"/>
      </w:pPr>
      <w:r w:rsidRPr="00D51A7A">
        <w:tab/>
        <w:t>(1)</w:t>
      </w:r>
      <w:r w:rsidRPr="00D51A7A">
        <w:tab/>
        <w:t>The Minister may terminate the appointment of the Chief Executive Officer:</w:t>
      </w:r>
    </w:p>
    <w:p w:rsidR="00AA01CC" w:rsidRPr="00D51A7A" w:rsidRDefault="00AA01CC" w:rsidP="00D51A7A">
      <w:pPr>
        <w:pStyle w:val="paragraph"/>
      </w:pPr>
      <w:r w:rsidRPr="00D51A7A">
        <w:lastRenderedPageBreak/>
        <w:tab/>
        <w:t>(a)</w:t>
      </w:r>
      <w:r w:rsidRPr="00D51A7A">
        <w:tab/>
        <w:t>for misbehaviour; or</w:t>
      </w:r>
    </w:p>
    <w:p w:rsidR="00AA01CC" w:rsidRPr="00D51A7A" w:rsidRDefault="00AA01CC" w:rsidP="00D51A7A">
      <w:pPr>
        <w:pStyle w:val="paragraph"/>
      </w:pPr>
      <w:r w:rsidRPr="00D51A7A">
        <w:tab/>
        <w:t>(b)</w:t>
      </w:r>
      <w:r w:rsidRPr="00D51A7A">
        <w:tab/>
        <w:t>if the Chief Executive Officer is unable to perform the duties of his or her office because of physical or mental incapacity.</w:t>
      </w:r>
    </w:p>
    <w:p w:rsidR="00AA01CC" w:rsidRPr="00D51A7A" w:rsidRDefault="00AA01CC" w:rsidP="00D51A7A">
      <w:pPr>
        <w:pStyle w:val="subsection"/>
      </w:pPr>
      <w:r w:rsidRPr="00D51A7A">
        <w:tab/>
        <w:t>(2)</w:t>
      </w:r>
      <w:r w:rsidRPr="00D51A7A">
        <w:tab/>
        <w:t xml:space="preserve">The </w:t>
      </w:r>
      <w:r w:rsidR="005D4A4A" w:rsidRPr="00D51A7A">
        <w:t xml:space="preserve">Minister </w:t>
      </w:r>
      <w:r w:rsidRPr="00D51A7A">
        <w:t>may terminate the appointment of the Chief Executive Officer if:</w:t>
      </w:r>
    </w:p>
    <w:p w:rsidR="00AA01CC" w:rsidRPr="00D51A7A" w:rsidRDefault="00AA01CC" w:rsidP="00D51A7A">
      <w:pPr>
        <w:pStyle w:val="paragraph"/>
      </w:pPr>
      <w:r w:rsidRPr="00D51A7A">
        <w:tab/>
        <w:t>(a)</w:t>
      </w:r>
      <w:r w:rsidRPr="00D51A7A">
        <w:tab/>
        <w:t>the Chief Executive Officer:</w:t>
      </w:r>
    </w:p>
    <w:p w:rsidR="00AA01CC" w:rsidRPr="00D51A7A" w:rsidRDefault="00AA01CC" w:rsidP="00D51A7A">
      <w:pPr>
        <w:pStyle w:val="paragraphsub"/>
      </w:pPr>
      <w:r w:rsidRPr="00D51A7A">
        <w:tab/>
        <w:t>(</w:t>
      </w:r>
      <w:proofErr w:type="spellStart"/>
      <w:r w:rsidRPr="00D51A7A">
        <w:t>i</w:t>
      </w:r>
      <w:proofErr w:type="spellEnd"/>
      <w:r w:rsidRPr="00D51A7A">
        <w:t>)</w:t>
      </w:r>
      <w:r w:rsidRPr="00D51A7A">
        <w:tab/>
        <w:t>becomes bankrupt; or</w:t>
      </w:r>
    </w:p>
    <w:p w:rsidR="00AA01CC" w:rsidRPr="00D51A7A" w:rsidRDefault="00AA01CC" w:rsidP="00D51A7A">
      <w:pPr>
        <w:pStyle w:val="paragraphsub"/>
      </w:pPr>
      <w:r w:rsidRPr="00D51A7A">
        <w:tab/>
        <w:t>(ii)</w:t>
      </w:r>
      <w:r w:rsidRPr="00D51A7A">
        <w:tab/>
        <w:t>take</w:t>
      </w:r>
      <w:r w:rsidR="002C40CA" w:rsidRPr="00D51A7A">
        <w:t>s steps</w:t>
      </w:r>
      <w:r w:rsidRPr="00D51A7A">
        <w:t xml:space="preserve"> </w:t>
      </w:r>
      <w:r w:rsidR="002C40CA" w:rsidRPr="00D51A7A">
        <w:t xml:space="preserve">to take </w:t>
      </w:r>
      <w:r w:rsidRPr="00D51A7A">
        <w:t>the benefit of any law for the relief of bankrupt or insolvent debtors; or</w:t>
      </w:r>
    </w:p>
    <w:p w:rsidR="00AA01CC" w:rsidRPr="00D51A7A" w:rsidRDefault="00AA01CC" w:rsidP="00D51A7A">
      <w:pPr>
        <w:pStyle w:val="paragraphsub"/>
      </w:pPr>
      <w:r w:rsidRPr="00D51A7A">
        <w:tab/>
        <w:t>(iii)</w:t>
      </w:r>
      <w:r w:rsidRPr="00D51A7A">
        <w:tab/>
        <w:t xml:space="preserve">compounds with </w:t>
      </w:r>
      <w:r w:rsidR="00203D76" w:rsidRPr="00D51A7A">
        <w:t xml:space="preserve">one or more of </w:t>
      </w:r>
      <w:r w:rsidRPr="00D51A7A">
        <w:t>his or her creditors; or</w:t>
      </w:r>
    </w:p>
    <w:p w:rsidR="00AA01CC" w:rsidRPr="00D51A7A" w:rsidRDefault="00AA01CC" w:rsidP="00D51A7A">
      <w:pPr>
        <w:pStyle w:val="paragraphsub"/>
      </w:pPr>
      <w:r w:rsidRPr="00D51A7A">
        <w:tab/>
        <w:t>(iv)</w:t>
      </w:r>
      <w:r w:rsidRPr="00D51A7A">
        <w:tab/>
        <w:t xml:space="preserve">makes an assignment of his or her remuneration for the benefit of </w:t>
      </w:r>
      <w:r w:rsidR="00203D76" w:rsidRPr="00D51A7A">
        <w:t xml:space="preserve">one or more of </w:t>
      </w:r>
      <w:r w:rsidRPr="00D51A7A">
        <w:t>his or her creditors; or</w:t>
      </w:r>
    </w:p>
    <w:p w:rsidR="00AA01CC" w:rsidRPr="00D51A7A" w:rsidRDefault="00AA01CC" w:rsidP="00D51A7A">
      <w:pPr>
        <w:pStyle w:val="paragraph"/>
      </w:pPr>
      <w:r w:rsidRPr="00D51A7A">
        <w:tab/>
        <w:t>(b)</w:t>
      </w:r>
      <w:r w:rsidRPr="00D51A7A">
        <w:tab/>
        <w:t xml:space="preserve">the Chief Executive Officer </w:t>
      </w:r>
      <w:r w:rsidR="00AC3DBC" w:rsidRPr="00D51A7A">
        <w:t xml:space="preserve">is </w:t>
      </w:r>
      <w:r w:rsidRPr="00D51A7A">
        <w:t xml:space="preserve">absent, except on leave of absence, for 14 consecutive days or for </w:t>
      </w:r>
      <w:r w:rsidR="00CE0BEF" w:rsidRPr="00D51A7A">
        <w:t>30</w:t>
      </w:r>
      <w:r w:rsidRPr="00D51A7A">
        <w:t xml:space="preserve"> days in any 12 months; or</w:t>
      </w:r>
    </w:p>
    <w:p w:rsidR="00AA01CC" w:rsidRPr="00D51A7A" w:rsidRDefault="00AA01CC" w:rsidP="00D51A7A">
      <w:pPr>
        <w:pStyle w:val="paragraph"/>
      </w:pPr>
      <w:r w:rsidRPr="00D51A7A">
        <w:tab/>
        <w:t>(</w:t>
      </w:r>
      <w:r w:rsidR="0073290C" w:rsidRPr="00D51A7A">
        <w:t>c</w:t>
      </w:r>
      <w:r w:rsidRPr="00D51A7A">
        <w:t>)</w:t>
      </w:r>
      <w:r w:rsidRPr="00D51A7A">
        <w:tab/>
        <w:t>the Chief Executive Officer engages</w:t>
      </w:r>
      <w:r w:rsidR="00C9730A" w:rsidRPr="00D51A7A">
        <w:t xml:space="preserve"> </w:t>
      </w:r>
      <w:r w:rsidRPr="00D51A7A">
        <w:t xml:space="preserve">in paid employment </w:t>
      </w:r>
      <w:r w:rsidR="00C9730A" w:rsidRPr="00D51A7A">
        <w:t xml:space="preserve">contrary to </w:t>
      </w:r>
      <w:r w:rsidRPr="00D51A7A">
        <w:t>section</w:t>
      </w:r>
      <w:r w:rsidR="00D51A7A" w:rsidRPr="00D51A7A">
        <w:t> </w:t>
      </w:r>
      <w:r w:rsidRPr="00D51A7A">
        <w:t>154F; or</w:t>
      </w:r>
    </w:p>
    <w:p w:rsidR="00AA01CC" w:rsidRPr="00D51A7A" w:rsidRDefault="00AA01CC" w:rsidP="00D51A7A">
      <w:pPr>
        <w:pStyle w:val="paragraph"/>
      </w:pPr>
      <w:r w:rsidRPr="00D51A7A">
        <w:tab/>
        <w:t>(d)</w:t>
      </w:r>
      <w:r w:rsidRPr="00D51A7A">
        <w:tab/>
        <w:t>the Chief Executive Officer fails, without reasonable excuse, to comply with section</w:t>
      </w:r>
      <w:r w:rsidR="00D51A7A" w:rsidRPr="00D51A7A">
        <w:t> </w:t>
      </w:r>
      <w:r w:rsidRPr="00D51A7A">
        <w:t>154G.</w:t>
      </w:r>
    </w:p>
    <w:p w:rsidR="00AA01CC" w:rsidRPr="00D51A7A" w:rsidRDefault="00AA01CC" w:rsidP="00D51A7A">
      <w:pPr>
        <w:pStyle w:val="ActHead5"/>
      </w:pPr>
      <w:bookmarkStart w:id="33" w:name="_Toc406573183"/>
      <w:r w:rsidRPr="00D51A7A">
        <w:rPr>
          <w:rStyle w:val="CharSectno"/>
        </w:rPr>
        <w:t>154K</w:t>
      </w:r>
      <w:r w:rsidRPr="00D51A7A">
        <w:t xml:space="preserve">  Other terms and conditions</w:t>
      </w:r>
      <w:bookmarkEnd w:id="33"/>
    </w:p>
    <w:p w:rsidR="00AA01CC" w:rsidRPr="00D51A7A" w:rsidRDefault="00AA01CC" w:rsidP="00D51A7A">
      <w:pPr>
        <w:pStyle w:val="subsection"/>
      </w:pPr>
      <w:r w:rsidRPr="00D51A7A">
        <w:tab/>
      </w:r>
      <w:r w:rsidRPr="00D51A7A">
        <w:tab/>
        <w:t>The Chief Executive Officer holds office on the terms and conditions (if any) in relation to matters not covered by this Act that are determined by the Minister.</w:t>
      </w:r>
    </w:p>
    <w:p w:rsidR="00AA01CC" w:rsidRPr="00D51A7A" w:rsidRDefault="00AA01CC" w:rsidP="00D51A7A">
      <w:pPr>
        <w:pStyle w:val="ActHead4"/>
      </w:pPr>
      <w:bookmarkStart w:id="34" w:name="_Toc406573184"/>
      <w:r w:rsidRPr="00D51A7A">
        <w:rPr>
          <w:rStyle w:val="CharSubdNo"/>
        </w:rPr>
        <w:t>Subdivision</w:t>
      </w:r>
      <w:r w:rsidR="002C40CA" w:rsidRPr="00D51A7A">
        <w:rPr>
          <w:rStyle w:val="CharSubdNo"/>
        </w:rPr>
        <w:t xml:space="preserve"> </w:t>
      </w:r>
      <w:r w:rsidRPr="00D51A7A">
        <w:rPr>
          <w:rStyle w:val="CharSubdNo"/>
        </w:rPr>
        <w:t>D</w:t>
      </w:r>
      <w:r w:rsidRPr="00D51A7A">
        <w:t>—</w:t>
      </w:r>
      <w:r w:rsidRPr="00D51A7A">
        <w:rPr>
          <w:rStyle w:val="CharSubdText"/>
        </w:rPr>
        <w:t>Delegation</w:t>
      </w:r>
      <w:bookmarkEnd w:id="34"/>
    </w:p>
    <w:p w:rsidR="00AA01CC" w:rsidRPr="00D51A7A" w:rsidRDefault="00AA01CC" w:rsidP="00D51A7A">
      <w:pPr>
        <w:pStyle w:val="ActHead5"/>
      </w:pPr>
      <w:bookmarkStart w:id="35" w:name="_Toc406573185"/>
      <w:r w:rsidRPr="00D51A7A">
        <w:rPr>
          <w:rStyle w:val="CharSectno"/>
        </w:rPr>
        <w:t>154L</w:t>
      </w:r>
      <w:r w:rsidRPr="00D51A7A">
        <w:t xml:space="preserve">  Delegation by the Chief Executive Officer</w:t>
      </w:r>
      <w:bookmarkEnd w:id="35"/>
    </w:p>
    <w:p w:rsidR="00AA01CC" w:rsidRPr="00D51A7A" w:rsidRDefault="00AA01CC" w:rsidP="00D51A7A">
      <w:pPr>
        <w:pStyle w:val="subsection"/>
      </w:pPr>
      <w:r w:rsidRPr="00D51A7A">
        <w:tab/>
        <w:t>(1)</w:t>
      </w:r>
      <w:r w:rsidRPr="00D51A7A">
        <w:tab/>
        <w:t>The Chief Executive Officer may, by writing, delegate any or all of his or her functions and powers under this Act to a member of the staff of TEQSA who holds:</w:t>
      </w:r>
    </w:p>
    <w:p w:rsidR="00AA01CC" w:rsidRPr="00D51A7A" w:rsidRDefault="00AA01CC" w:rsidP="00D51A7A">
      <w:pPr>
        <w:pStyle w:val="paragraph"/>
      </w:pPr>
      <w:r w:rsidRPr="00D51A7A">
        <w:tab/>
        <w:t>(a)</w:t>
      </w:r>
      <w:r w:rsidRPr="00D51A7A">
        <w:tab/>
        <w:t>the classification of APS Executive Level 1 or higher; or</w:t>
      </w:r>
    </w:p>
    <w:p w:rsidR="00AA01CC" w:rsidRPr="00D51A7A" w:rsidRDefault="00AA01CC" w:rsidP="00D51A7A">
      <w:pPr>
        <w:pStyle w:val="paragraph"/>
      </w:pPr>
      <w:r w:rsidRPr="00D51A7A">
        <w:tab/>
        <w:t>(b)</w:t>
      </w:r>
      <w:r w:rsidRPr="00D51A7A">
        <w:tab/>
        <w:t>an equivalent classification.</w:t>
      </w:r>
    </w:p>
    <w:p w:rsidR="00AA01CC" w:rsidRPr="00D51A7A" w:rsidRDefault="00AA01CC" w:rsidP="00D51A7A">
      <w:pPr>
        <w:pStyle w:val="subsection"/>
      </w:pPr>
      <w:r w:rsidRPr="00D51A7A">
        <w:tab/>
        <w:t>(2)</w:t>
      </w:r>
      <w:r w:rsidRPr="00D51A7A">
        <w:tab/>
        <w:t>A delegate must comply with any written directions of the Chief Executive Officer.</w:t>
      </w:r>
    </w:p>
    <w:p w:rsidR="00AA01CC" w:rsidRPr="00D51A7A" w:rsidRDefault="00AA01CC" w:rsidP="00D51A7A">
      <w:pPr>
        <w:pStyle w:val="ActHead4"/>
      </w:pPr>
      <w:bookmarkStart w:id="36" w:name="_Toc406573186"/>
      <w:r w:rsidRPr="00D51A7A">
        <w:rPr>
          <w:rStyle w:val="CharSubdNo"/>
        </w:rPr>
        <w:lastRenderedPageBreak/>
        <w:t>Subdivision</w:t>
      </w:r>
      <w:r w:rsidR="002C40CA" w:rsidRPr="00D51A7A">
        <w:rPr>
          <w:rStyle w:val="CharSubdNo"/>
        </w:rPr>
        <w:t xml:space="preserve"> </w:t>
      </w:r>
      <w:r w:rsidRPr="00D51A7A">
        <w:rPr>
          <w:rStyle w:val="CharSubdNo"/>
        </w:rPr>
        <w:t>E</w:t>
      </w:r>
      <w:r w:rsidRPr="00D51A7A">
        <w:t>—</w:t>
      </w:r>
      <w:r w:rsidRPr="00D51A7A">
        <w:rPr>
          <w:rStyle w:val="CharSubdText"/>
        </w:rPr>
        <w:t>Directions by Minister</w:t>
      </w:r>
      <w:bookmarkEnd w:id="36"/>
    </w:p>
    <w:p w:rsidR="00AA01CC" w:rsidRPr="00D51A7A" w:rsidRDefault="004A5D14" w:rsidP="00D51A7A">
      <w:pPr>
        <w:pStyle w:val="ItemHead"/>
      </w:pPr>
      <w:r w:rsidRPr="00D51A7A">
        <w:t>42</w:t>
      </w:r>
      <w:r w:rsidR="00AA01CC" w:rsidRPr="00D51A7A">
        <w:t xml:space="preserve">  At the end of subsection</w:t>
      </w:r>
      <w:r w:rsidR="00D51A7A" w:rsidRPr="00D51A7A">
        <w:t> </w:t>
      </w:r>
      <w:r w:rsidR="00AA01CC" w:rsidRPr="00D51A7A">
        <w:t>155(1) (before the note)</w:t>
      </w:r>
    </w:p>
    <w:p w:rsidR="00AA01CC" w:rsidRPr="00D51A7A" w:rsidRDefault="00AA01CC" w:rsidP="00D51A7A">
      <w:pPr>
        <w:pStyle w:val="Item"/>
      </w:pPr>
      <w:r w:rsidRPr="00D51A7A">
        <w:t>Add “and the exercise of his or her powers”.</w:t>
      </w:r>
    </w:p>
    <w:p w:rsidR="00A21862" w:rsidRPr="008E40B7" w:rsidRDefault="00A21862" w:rsidP="00A21862">
      <w:pPr>
        <w:pStyle w:val="ItemHead"/>
      </w:pPr>
      <w:r w:rsidRPr="008E40B7">
        <w:t>42A  Subsection 155(1) (note)</w:t>
      </w:r>
    </w:p>
    <w:p w:rsidR="00A21862" w:rsidRPr="008E40B7" w:rsidRDefault="00A21862" w:rsidP="00A21862">
      <w:pPr>
        <w:pStyle w:val="Item"/>
      </w:pPr>
      <w:r w:rsidRPr="008E40B7">
        <w:t>Repeal the note, substitute:</w:t>
      </w:r>
    </w:p>
    <w:p w:rsidR="00A21862" w:rsidRPr="008E40B7" w:rsidRDefault="00A21862" w:rsidP="00A21862">
      <w:pPr>
        <w:pStyle w:val="notetext"/>
      </w:pPr>
      <w:r w:rsidRPr="008E40B7">
        <w:t>Note:</w:t>
      </w:r>
      <w:r w:rsidRPr="008E40B7">
        <w:tab/>
        <w:t>Part 6 (</w:t>
      </w:r>
      <w:proofErr w:type="spellStart"/>
      <w:r w:rsidRPr="008E40B7">
        <w:t>sunsetting</w:t>
      </w:r>
      <w:proofErr w:type="spellEnd"/>
      <w:r w:rsidRPr="008E40B7">
        <w:t xml:space="preserve">) of the </w:t>
      </w:r>
      <w:r w:rsidRPr="008E40B7">
        <w:rPr>
          <w:i/>
        </w:rPr>
        <w:t>Legislative Instruments Act 2003</w:t>
      </w:r>
      <w:r w:rsidRPr="008E40B7">
        <w:t xml:space="preserve"> does not apply to the direction (see section 54 of that Act).</w:t>
      </w:r>
    </w:p>
    <w:p w:rsidR="00A21862" w:rsidRPr="008E40B7" w:rsidRDefault="00A21862" w:rsidP="00A21862">
      <w:pPr>
        <w:pStyle w:val="ItemHead"/>
      </w:pPr>
      <w:r w:rsidRPr="008E40B7">
        <w:t>42B  After subsection 155(1)</w:t>
      </w:r>
    </w:p>
    <w:p w:rsidR="00A21862" w:rsidRPr="008E40B7" w:rsidRDefault="00A21862" w:rsidP="00A21862">
      <w:pPr>
        <w:pStyle w:val="Item"/>
      </w:pPr>
      <w:r w:rsidRPr="008E40B7">
        <w:t>Insert:</w:t>
      </w:r>
    </w:p>
    <w:p w:rsidR="00A21862" w:rsidRPr="008E40B7" w:rsidRDefault="00A21862" w:rsidP="00A21862">
      <w:pPr>
        <w:pStyle w:val="subsection"/>
      </w:pPr>
      <w:r w:rsidRPr="008E40B7">
        <w:tab/>
        <w:t>(1A)</w:t>
      </w:r>
      <w:r w:rsidRPr="008E40B7">
        <w:tab/>
        <w:t xml:space="preserve">Section 44 of the </w:t>
      </w:r>
      <w:r w:rsidRPr="008E40B7">
        <w:rPr>
          <w:i/>
          <w:iCs/>
        </w:rPr>
        <w:t>Legislative Instruments Act 2003</w:t>
      </w:r>
      <w:r w:rsidRPr="008E40B7">
        <w:t xml:space="preserve"> does not apply in relation to a direction under subsection (1) of this section.</w:t>
      </w:r>
    </w:p>
    <w:p w:rsidR="00A21862" w:rsidRPr="008E40B7" w:rsidRDefault="00A21862" w:rsidP="00A21862">
      <w:pPr>
        <w:pStyle w:val="notetext"/>
      </w:pPr>
      <w:r w:rsidRPr="008E40B7">
        <w:t>Note:</w:t>
      </w:r>
      <w:r w:rsidRPr="008E40B7">
        <w:tab/>
        <w:t xml:space="preserve">This means that section 42 (disallowance) of the </w:t>
      </w:r>
      <w:r w:rsidRPr="008E40B7">
        <w:rPr>
          <w:i/>
        </w:rPr>
        <w:t>Legislative Instruments Act 2003</w:t>
      </w:r>
      <w:r w:rsidRPr="008E40B7">
        <w:t xml:space="preserve"> applies to the direction.</w:t>
      </w:r>
    </w:p>
    <w:p w:rsidR="00AA01CC" w:rsidRPr="00D51A7A" w:rsidRDefault="004A5D14" w:rsidP="00D51A7A">
      <w:pPr>
        <w:pStyle w:val="ItemHead"/>
      </w:pPr>
      <w:r w:rsidRPr="00D51A7A">
        <w:t>43</w:t>
      </w:r>
      <w:r w:rsidR="00AA01CC" w:rsidRPr="00D51A7A">
        <w:t xml:space="preserve">  At the end of Division</w:t>
      </w:r>
      <w:r w:rsidR="00D51A7A" w:rsidRPr="00D51A7A">
        <w:t> </w:t>
      </w:r>
      <w:r w:rsidR="00AA01CC" w:rsidRPr="00D51A7A">
        <w:t>4 of Part</w:t>
      </w:r>
      <w:r w:rsidR="00D51A7A" w:rsidRPr="00D51A7A">
        <w:t> </w:t>
      </w:r>
      <w:r w:rsidR="00AA01CC" w:rsidRPr="00D51A7A">
        <w:t>8</w:t>
      </w:r>
    </w:p>
    <w:p w:rsidR="00AA01CC" w:rsidRPr="00D51A7A" w:rsidRDefault="00AA01CC" w:rsidP="00D51A7A">
      <w:pPr>
        <w:pStyle w:val="Item"/>
      </w:pPr>
      <w:r w:rsidRPr="00D51A7A">
        <w:t>Add:</w:t>
      </w:r>
    </w:p>
    <w:p w:rsidR="00AA01CC" w:rsidRPr="00D51A7A" w:rsidRDefault="00AA01CC" w:rsidP="00D51A7A">
      <w:pPr>
        <w:pStyle w:val="ActHead4"/>
      </w:pPr>
      <w:bookmarkStart w:id="37" w:name="_Toc406573187"/>
      <w:r w:rsidRPr="00D51A7A">
        <w:rPr>
          <w:rStyle w:val="CharSubdNo"/>
        </w:rPr>
        <w:t>Subdivision F</w:t>
      </w:r>
      <w:r w:rsidRPr="00D51A7A">
        <w:t>—</w:t>
      </w:r>
      <w:r w:rsidRPr="00D51A7A">
        <w:rPr>
          <w:rStyle w:val="CharSubdText"/>
        </w:rPr>
        <w:t>Other matters</w:t>
      </w:r>
      <w:bookmarkEnd w:id="37"/>
    </w:p>
    <w:p w:rsidR="00AA01CC" w:rsidRPr="00D51A7A" w:rsidRDefault="00AA01CC" w:rsidP="00D51A7A">
      <w:pPr>
        <w:pStyle w:val="ActHead5"/>
      </w:pPr>
      <w:bookmarkStart w:id="38" w:name="_Toc406573188"/>
      <w:r w:rsidRPr="00D51A7A">
        <w:rPr>
          <w:rStyle w:val="CharSectno"/>
        </w:rPr>
        <w:t>155A</w:t>
      </w:r>
      <w:r w:rsidRPr="00D51A7A">
        <w:t xml:space="preserve">  Chief Executive Officer not subject to direction by TEQSA on certain matters</w:t>
      </w:r>
      <w:bookmarkEnd w:id="38"/>
    </w:p>
    <w:p w:rsidR="00AA01CC" w:rsidRPr="00D51A7A" w:rsidRDefault="00AA01CC" w:rsidP="00D51A7A">
      <w:pPr>
        <w:pStyle w:val="subsection"/>
      </w:pPr>
      <w:r w:rsidRPr="00D51A7A">
        <w:tab/>
      </w:r>
      <w:r w:rsidRPr="00D51A7A">
        <w:tab/>
        <w:t>To avoid doubt, the Chief Executive Officer is not subject to direction by TEQSA in relation to the Chief Executive Officer’s performance of functions, or exercise of powers, under:</w:t>
      </w:r>
    </w:p>
    <w:p w:rsidR="00AA01CC" w:rsidRPr="00D51A7A" w:rsidRDefault="00AA01CC" w:rsidP="00D51A7A">
      <w:pPr>
        <w:pStyle w:val="paragraph"/>
      </w:pPr>
      <w:r w:rsidRPr="00D51A7A">
        <w:tab/>
        <w:t>(a)</w:t>
      </w:r>
      <w:r w:rsidRPr="00D51A7A">
        <w:tab/>
        <w:t xml:space="preserve">the </w:t>
      </w:r>
      <w:r w:rsidRPr="00D51A7A">
        <w:rPr>
          <w:i/>
        </w:rPr>
        <w:t>Financial Management and Accountability Act 1997</w:t>
      </w:r>
      <w:r w:rsidRPr="00D51A7A">
        <w:t>; or</w:t>
      </w:r>
    </w:p>
    <w:p w:rsidR="00AA01CC" w:rsidRPr="00D51A7A" w:rsidRDefault="00AA01CC" w:rsidP="00D51A7A">
      <w:pPr>
        <w:pStyle w:val="paragraph"/>
      </w:pPr>
      <w:r w:rsidRPr="00D51A7A">
        <w:tab/>
        <w:t>(b)</w:t>
      </w:r>
      <w:r w:rsidRPr="00D51A7A">
        <w:tab/>
        <w:t xml:space="preserve">the </w:t>
      </w:r>
      <w:r w:rsidRPr="00D51A7A">
        <w:rPr>
          <w:i/>
        </w:rPr>
        <w:t>Public Service Act 1999</w:t>
      </w:r>
      <w:r w:rsidRPr="00D51A7A">
        <w:t>;</w:t>
      </w:r>
    </w:p>
    <w:p w:rsidR="00AA01CC" w:rsidRPr="00D51A7A" w:rsidRDefault="00AA01CC" w:rsidP="00D51A7A">
      <w:pPr>
        <w:pStyle w:val="subsection2"/>
      </w:pPr>
      <w:r w:rsidRPr="00D51A7A">
        <w:t>in relation to TEQSA.</w:t>
      </w:r>
    </w:p>
    <w:p w:rsidR="00AA01CC" w:rsidRPr="00D51A7A" w:rsidRDefault="004A5D14" w:rsidP="00D51A7A">
      <w:pPr>
        <w:pStyle w:val="ItemHead"/>
      </w:pPr>
      <w:r w:rsidRPr="00D51A7A">
        <w:t>44</w:t>
      </w:r>
      <w:r w:rsidR="00AA01CC" w:rsidRPr="00D51A7A">
        <w:t xml:space="preserve">  Transitional—Ministerial directions</w:t>
      </w:r>
    </w:p>
    <w:p w:rsidR="00AA01CC" w:rsidRPr="00D51A7A" w:rsidRDefault="00AA01CC" w:rsidP="00D51A7A">
      <w:pPr>
        <w:pStyle w:val="Item"/>
      </w:pPr>
      <w:r w:rsidRPr="00D51A7A">
        <w:t xml:space="preserve">The amendments of the </w:t>
      </w:r>
      <w:r w:rsidRPr="00D51A7A">
        <w:rPr>
          <w:i/>
        </w:rPr>
        <w:t>Tertiary Education Quality and Standards Agency Act 2011</w:t>
      </w:r>
      <w:r w:rsidRPr="00D51A7A">
        <w:t xml:space="preserve"> made by this Part do not affect the continuity of a direction that:</w:t>
      </w:r>
    </w:p>
    <w:p w:rsidR="00AA01CC" w:rsidRPr="00D51A7A" w:rsidRDefault="00AA01CC" w:rsidP="00D51A7A">
      <w:pPr>
        <w:pStyle w:val="paragraph"/>
      </w:pPr>
      <w:r w:rsidRPr="00D51A7A">
        <w:tab/>
        <w:t>(a)</w:t>
      </w:r>
      <w:r w:rsidRPr="00D51A7A">
        <w:tab/>
        <w:t>was given under subsection</w:t>
      </w:r>
      <w:r w:rsidR="00D51A7A" w:rsidRPr="00D51A7A">
        <w:t> </w:t>
      </w:r>
      <w:r w:rsidRPr="00D51A7A">
        <w:t>155(1) of that Act; and</w:t>
      </w:r>
    </w:p>
    <w:p w:rsidR="00AA01CC" w:rsidRPr="00D51A7A" w:rsidRDefault="00AA01CC" w:rsidP="00D51A7A">
      <w:pPr>
        <w:pStyle w:val="paragraph"/>
      </w:pPr>
      <w:r w:rsidRPr="00D51A7A">
        <w:lastRenderedPageBreak/>
        <w:tab/>
        <w:t>(b)</w:t>
      </w:r>
      <w:r w:rsidRPr="00D51A7A">
        <w:tab/>
        <w:t>was in force immediately before the commencement of this item.</w:t>
      </w:r>
    </w:p>
    <w:p w:rsidR="00642773" w:rsidRPr="008E40B7" w:rsidRDefault="00642773" w:rsidP="00642773">
      <w:pPr>
        <w:pStyle w:val="ItemHead"/>
      </w:pPr>
      <w:r w:rsidRPr="008E40B7">
        <w:t>45  Transitional—Chief Executive Officer</w:t>
      </w:r>
    </w:p>
    <w:p w:rsidR="00642773" w:rsidRPr="008E40B7" w:rsidRDefault="00642773" w:rsidP="00642773">
      <w:pPr>
        <w:pStyle w:val="SubitemHead"/>
      </w:pPr>
      <w:r w:rsidRPr="008E40B7">
        <w:t>Scope</w:t>
      </w:r>
    </w:p>
    <w:p w:rsidR="00642773" w:rsidRPr="008E40B7" w:rsidRDefault="00642773" w:rsidP="00642773">
      <w:pPr>
        <w:pStyle w:val="Subitem"/>
      </w:pPr>
      <w:r w:rsidRPr="008E40B7">
        <w:t>(1)</w:t>
      </w:r>
      <w:r w:rsidRPr="008E40B7">
        <w:tab/>
        <w:t xml:space="preserve">This item applies if a person (the </w:t>
      </w:r>
      <w:r w:rsidRPr="008E40B7">
        <w:rPr>
          <w:b/>
          <w:i/>
        </w:rPr>
        <w:t>substantive appointee</w:t>
      </w:r>
      <w:r w:rsidRPr="008E40B7">
        <w:t>) held office as the Chief Commissioner immediately before the commencement of this item.</w:t>
      </w:r>
    </w:p>
    <w:p w:rsidR="00642773" w:rsidRPr="008E40B7" w:rsidRDefault="00642773" w:rsidP="00642773">
      <w:pPr>
        <w:pStyle w:val="SubitemHead"/>
      </w:pPr>
      <w:r w:rsidRPr="008E40B7">
        <w:t>Continuity of substantive appointee’s role as Chief Executive Officer</w:t>
      </w:r>
    </w:p>
    <w:p w:rsidR="00642773" w:rsidRPr="008E40B7" w:rsidRDefault="00642773" w:rsidP="00642773">
      <w:pPr>
        <w:pStyle w:val="Subitem"/>
      </w:pPr>
      <w:r w:rsidRPr="008E40B7">
        <w:t>(2)</w:t>
      </w:r>
      <w:r w:rsidRPr="008E40B7">
        <w:tab/>
        <w:t xml:space="preserve">The substantive appointee is the Chief Executive Officer throughout the period (the </w:t>
      </w:r>
      <w:r w:rsidRPr="008E40B7">
        <w:rPr>
          <w:b/>
          <w:i/>
        </w:rPr>
        <w:t>transition period</w:t>
      </w:r>
      <w:r w:rsidRPr="008E40B7">
        <w:t>):</w:t>
      </w:r>
    </w:p>
    <w:p w:rsidR="00642773" w:rsidRPr="008E40B7" w:rsidRDefault="00642773" w:rsidP="00642773">
      <w:pPr>
        <w:pStyle w:val="paragraph"/>
      </w:pPr>
      <w:r w:rsidRPr="008E40B7">
        <w:tab/>
        <w:t>(a)</w:t>
      </w:r>
      <w:r w:rsidRPr="008E40B7">
        <w:tab/>
        <w:t>starting at the commencement of this item; and</w:t>
      </w:r>
    </w:p>
    <w:p w:rsidR="00642773" w:rsidRPr="008E40B7" w:rsidRDefault="00642773" w:rsidP="00642773">
      <w:pPr>
        <w:pStyle w:val="paragraph"/>
      </w:pPr>
      <w:r w:rsidRPr="008E40B7">
        <w:tab/>
        <w:t>(b)</w:t>
      </w:r>
      <w:r w:rsidRPr="008E40B7">
        <w:tab/>
        <w:t>ending when the substantive appointee ceases to hold office as the Chief Commissioner.</w:t>
      </w:r>
    </w:p>
    <w:p w:rsidR="00642773" w:rsidRPr="008E40B7" w:rsidRDefault="00642773" w:rsidP="00642773">
      <w:pPr>
        <w:pStyle w:val="SubitemHead"/>
      </w:pPr>
      <w:r w:rsidRPr="008E40B7">
        <w:t>Acting Chief Commissioner</w:t>
      </w:r>
    </w:p>
    <w:p w:rsidR="00642773" w:rsidRPr="008E40B7" w:rsidRDefault="00642773" w:rsidP="00642773">
      <w:pPr>
        <w:pStyle w:val="Subitem"/>
      </w:pPr>
      <w:r w:rsidRPr="008E40B7">
        <w:t>(3)</w:t>
      </w:r>
      <w:r w:rsidRPr="008E40B7">
        <w:tab/>
        <w:t xml:space="preserve">If a person (the </w:t>
      </w:r>
      <w:r w:rsidRPr="008E40B7">
        <w:rPr>
          <w:b/>
          <w:i/>
        </w:rPr>
        <w:t>acting appointee</w:t>
      </w:r>
      <w:r w:rsidRPr="008E40B7">
        <w:t>) is acting as the Chief Commissioner at any time during the transition period, then, while the acting appointee is so acting:</w:t>
      </w:r>
    </w:p>
    <w:p w:rsidR="00642773" w:rsidRPr="008E40B7" w:rsidRDefault="00642773" w:rsidP="00642773">
      <w:pPr>
        <w:pStyle w:val="paragraph"/>
      </w:pPr>
      <w:r w:rsidRPr="008E40B7">
        <w:tab/>
        <w:t>(a)</w:t>
      </w:r>
      <w:r w:rsidRPr="008E40B7">
        <w:tab/>
        <w:t>the acting appointee has and may exercise all the powers, and must perform all the functions and duties, of the Chief Executive Officer; and</w:t>
      </w:r>
    </w:p>
    <w:p w:rsidR="00642773" w:rsidRPr="008E40B7" w:rsidRDefault="00642773" w:rsidP="00642773">
      <w:pPr>
        <w:pStyle w:val="paragraph"/>
      </w:pPr>
      <w:r w:rsidRPr="008E40B7">
        <w:tab/>
        <w:t>(b)</w:t>
      </w:r>
      <w:r w:rsidRPr="008E40B7">
        <w:tab/>
        <w:t xml:space="preserve">the </w:t>
      </w:r>
      <w:r w:rsidRPr="008E40B7">
        <w:rPr>
          <w:i/>
          <w:iCs/>
        </w:rPr>
        <w:t>Tertiary Education Quality and Standards Agency Act 2011</w:t>
      </w:r>
      <w:r w:rsidRPr="008E40B7">
        <w:t xml:space="preserve"> (as amended by this Part), and any other law of the Commonwealth, applies in relation to the acting appointee as if the acting appointee were the Chief Executive Officer.</w:t>
      </w:r>
    </w:p>
    <w:p w:rsidR="00642773" w:rsidRPr="008E40B7" w:rsidRDefault="00642773" w:rsidP="00642773">
      <w:pPr>
        <w:pStyle w:val="SubitemHead"/>
      </w:pPr>
      <w:r w:rsidRPr="008E40B7">
        <w:t>Other matters</w:t>
      </w:r>
    </w:p>
    <w:p w:rsidR="00642773" w:rsidRPr="008E40B7" w:rsidRDefault="00642773" w:rsidP="00642773">
      <w:pPr>
        <w:pStyle w:val="Subitem"/>
      </w:pPr>
      <w:r w:rsidRPr="008E40B7">
        <w:t>(4)</w:t>
      </w:r>
      <w:r w:rsidRPr="008E40B7">
        <w:tab/>
        <w:t xml:space="preserve">Sections 154A to 154K of the </w:t>
      </w:r>
      <w:r w:rsidRPr="008E40B7">
        <w:rPr>
          <w:i/>
          <w:iCs/>
        </w:rPr>
        <w:t>Tertiary Education Quality and Standards Agency Act 2011</w:t>
      </w:r>
      <w:r w:rsidRPr="008E40B7">
        <w:t xml:space="preserve"> (as amended by this Part) have no effect during the transition period.</w:t>
      </w:r>
    </w:p>
    <w:p w:rsidR="00642773" w:rsidRPr="008E40B7" w:rsidRDefault="00642773" w:rsidP="00642773">
      <w:pPr>
        <w:pStyle w:val="Subitem"/>
      </w:pPr>
      <w:r w:rsidRPr="008E40B7">
        <w:t>(5)</w:t>
      </w:r>
      <w:r w:rsidRPr="008E40B7">
        <w:tab/>
        <w:t xml:space="preserve">However, </w:t>
      </w:r>
      <w:proofErr w:type="spellStart"/>
      <w:r w:rsidRPr="008E40B7">
        <w:t>subitem</w:t>
      </w:r>
      <w:proofErr w:type="spellEnd"/>
      <w:r w:rsidRPr="008E40B7">
        <w:t xml:space="preserve"> (4) does not prevent the making of an appointment during the transition period under section 154A of the </w:t>
      </w:r>
      <w:r w:rsidRPr="008E40B7">
        <w:rPr>
          <w:i/>
          <w:iCs/>
        </w:rPr>
        <w:t>Tertiary Education Quality and Standards Agency Act 2011</w:t>
      </w:r>
      <w:r w:rsidRPr="008E40B7">
        <w:t xml:space="preserve"> (as amended by this </w:t>
      </w:r>
      <w:r w:rsidRPr="008E40B7">
        <w:lastRenderedPageBreak/>
        <w:t>Part) if the appointment takes effect after the end of the transition period.</w:t>
      </w:r>
    </w:p>
    <w:p w:rsidR="00EE55F9" w:rsidRPr="00D51A7A" w:rsidRDefault="00EE55F9" w:rsidP="00D51A7A">
      <w:pPr>
        <w:pStyle w:val="Subitem"/>
      </w:pPr>
    </w:p>
    <w:p w:rsidR="00945436" w:rsidRPr="00D51A7A" w:rsidRDefault="00945436" w:rsidP="00D51A7A">
      <w:pPr>
        <w:pStyle w:val="ActHead7"/>
        <w:pageBreakBefore/>
      </w:pPr>
      <w:bookmarkStart w:id="39" w:name="_Toc406573189"/>
      <w:r w:rsidRPr="00D51A7A">
        <w:rPr>
          <w:rStyle w:val="CharAmPartNo"/>
        </w:rPr>
        <w:lastRenderedPageBreak/>
        <w:t>Part</w:t>
      </w:r>
      <w:r w:rsidR="00D51A7A" w:rsidRPr="00D51A7A">
        <w:rPr>
          <w:rStyle w:val="CharAmPartNo"/>
        </w:rPr>
        <w:t> </w:t>
      </w:r>
      <w:r w:rsidR="00824A64" w:rsidRPr="00D51A7A">
        <w:rPr>
          <w:rStyle w:val="CharAmPartNo"/>
        </w:rPr>
        <w:t>6</w:t>
      </w:r>
      <w:r w:rsidRPr="00D51A7A">
        <w:t>—</w:t>
      </w:r>
      <w:r w:rsidRPr="00D51A7A">
        <w:rPr>
          <w:rStyle w:val="CharAmPartText"/>
        </w:rPr>
        <w:t>Notifications</w:t>
      </w:r>
      <w:r w:rsidR="000902C1" w:rsidRPr="00D51A7A">
        <w:rPr>
          <w:rStyle w:val="CharAmPartText"/>
        </w:rPr>
        <w:t xml:space="preserve"> of decisions etc.</w:t>
      </w:r>
      <w:bookmarkEnd w:id="39"/>
    </w:p>
    <w:p w:rsidR="00945436" w:rsidRPr="00D51A7A" w:rsidRDefault="00945436" w:rsidP="00D51A7A">
      <w:pPr>
        <w:pStyle w:val="ActHead9"/>
        <w:rPr>
          <w:i w:val="0"/>
        </w:rPr>
      </w:pPr>
      <w:bookmarkStart w:id="40" w:name="_Toc406573190"/>
      <w:r w:rsidRPr="00D51A7A">
        <w:t>Tertiary Education Quality and Standards Agency Act 2011</w:t>
      </w:r>
      <w:bookmarkEnd w:id="40"/>
    </w:p>
    <w:p w:rsidR="002B23E9" w:rsidRPr="00D51A7A" w:rsidRDefault="004A5D14" w:rsidP="00D51A7A">
      <w:pPr>
        <w:pStyle w:val="ItemHead"/>
      </w:pPr>
      <w:r w:rsidRPr="00D51A7A">
        <w:t>46</w:t>
      </w:r>
      <w:r w:rsidR="007B1622" w:rsidRPr="00D51A7A">
        <w:t xml:space="preserve">  Subparagraph 22(b)(</w:t>
      </w:r>
      <w:proofErr w:type="spellStart"/>
      <w:r w:rsidR="007B1622" w:rsidRPr="00D51A7A">
        <w:t>i</w:t>
      </w:r>
      <w:proofErr w:type="spellEnd"/>
      <w:r w:rsidR="007B1622" w:rsidRPr="00D51A7A">
        <w:t>)</w:t>
      </w:r>
    </w:p>
    <w:p w:rsidR="007B1622" w:rsidRPr="00D51A7A" w:rsidRDefault="007B1622" w:rsidP="00D51A7A">
      <w:pPr>
        <w:pStyle w:val="Item"/>
      </w:pPr>
      <w:r w:rsidRPr="00D51A7A">
        <w:t>Omit “, and the reasons for deciding on that category”.</w:t>
      </w:r>
    </w:p>
    <w:p w:rsidR="007B1622" w:rsidRPr="00D51A7A" w:rsidRDefault="004A5D14" w:rsidP="00D51A7A">
      <w:pPr>
        <w:pStyle w:val="ItemHead"/>
      </w:pPr>
      <w:r w:rsidRPr="00D51A7A">
        <w:t>47</w:t>
      </w:r>
      <w:r w:rsidR="007B1622" w:rsidRPr="00D51A7A">
        <w:t xml:space="preserve">  After subparagraph</w:t>
      </w:r>
      <w:r w:rsidR="00D51A7A" w:rsidRPr="00D51A7A">
        <w:t> </w:t>
      </w:r>
      <w:r w:rsidR="007B1622" w:rsidRPr="00D51A7A">
        <w:t>22(b)(</w:t>
      </w:r>
      <w:proofErr w:type="spellStart"/>
      <w:r w:rsidR="007B1622" w:rsidRPr="00D51A7A">
        <w:t>i</w:t>
      </w:r>
      <w:proofErr w:type="spellEnd"/>
      <w:r w:rsidR="007B1622" w:rsidRPr="00D51A7A">
        <w:t>)</w:t>
      </w:r>
    </w:p>
    <w:p w:rsidR="007B1622" w:rsidRPr="00D51A7A" w:rsidRDefault="007B1622" w:rsidP="00D51A7A">
      <w:pPr>
        <w:pStyle w:val="Item"/>
      </w:pPr>
      <w:r w:rsidRPr="00D51A7A">
        <w:t>Insert:</w:t>
      </w:r>
    </w:p>
    <w:p w:rsidR="007B1622" w:rsidRPr="00D51A7A" w:rsidRDefault="007B1622" w:rsidP="00D51A7A">
      <w:pPr>
        <w:pStyle w:val="paragraphsub"/>
      </w:pPr>
      <w:r w:rsidRPr="00D51A7A">
        <w:tab/>
        <w:t>(</w:t>
      </w:r>
      <w:proofErr w:type="spellStart"/>
      <w:r w:rsidRPr="00D51A7A">
        <w:t>ia</w:t>
      </w:r>
      <w:proofErr w:type="spellEnd"/>
      <w:r w:rsidRPr="00D51A7A">
        <w:t>)</w:t>
      </w:r>
      <w:r w:rsidRPr="00D51A7A">
        <w:tab/>
        <w:t xml:space="preserve">if the provider category is </w:t>
      </w:r>
      <w:r w:rsidR="00545029" w:rsidRPr="00D51A7A">
        <w:t xml:space="preserve">not </w:t>
      </w:r>
      <w:r w:rsidRPr="00D51A7A">
        <w:t xml:space="preserve">the provider category </w:t>
      </w:r>
      <w:r w:rsidR="00545029" w:rsidRPr="00D51A7A">
        <w:t xml:space="preserve">that </w:t>
      </w:r>
      <w:r w:rsidR="003979D1" w:rsidRPr="00D51A7A">
        <w:t>the applicant applied for under subsection</w:t>
      </w:r>
      <w:r w:rsidR="00D51A7A" w:rsidRPr="00D51A7A">
        <w:t> </w:t>
      </w:r>
      <w:r w:rsidR="003979D1" w:rsidRPr="00D51A7A">
        <w:t>18(1)—the reasons for deciding on that category;</w:t>
      </w:r>
    </w:p>
    <w:p w:rsidR="00DA720B" w:rsidRPr="00D51A7A" w:rsidRDefault="004A5D14" w:rsidP="00D51A7A">
      <w:pPr>
        <w:pStyle w:val="ItemHead"/>
      </w:pPr>
      <w:r w:rsidRPr="00D51A7A">
        <w:t>48</w:t>
      </w:r>
      <w:r w:rsidR="00DA720B" w:rsidRPr="00D51A7A">
        <w:t xml:space="preserve">  </w:t>
      </w:r>
      <w:r w:rsidR="00F404C6" w:rsidRPr="00D51A7A">
        <w:t>Section</w:t>
      </w:r>
      <w:r w:rsidR="00D51A7A" w:rsidRPr="00D51A7A">
        <w:t> </w:t>
      </w:r>
      <w:r w:rsidR="00F404C6" w:rsidRPr="00D51A7A">
        <w:t>34</w:t>
      </w:r>
    </w:p>
    <w:p w:rsidR="00F404C6" w:rsidRPr="00D51A7A" w:rsidRDefault="00F404C6" w:rsidP="00D51A7A">
      <w:pPr>
        <w:pStyle w:val="Item"/>
      </w:pPr>
      <w:r w:rsidRPr="00D51A7A">
        <w:t>Before “TEQSA must”, insert “(1)”.</w:t>
      </w:r>
    </w:p>
    <w:p w:rsidR="00F404C6" w:rsidRPr="00D51A7A" w:rsidRDefault="004A5D14" w:rsidP="00D51A7A">
      <w:pPr>
        <w:pStyle w:val="ItemHead"/>
      </w:pPr>
      <w:r w:rsidRPr="00D51A7A">
        <w:t>49</w:t>
      </w:r>
      <w:r w:rsidR="00F404C6" w:rsidRPr="00D51A7A">
        <w:t xml:space="preserve">  At the end of section</w:t>
      </w:r>
      <w:r w:rsidR="00D51A7A" w:rsidRPr="00D51A7A">
        <w:t> </w:t>
      </w:r>
      <w:r w:rsidR="00F404C6" w:rsidRPr="00D51A7A">
        <w:t>34</w:t>
      </w:r>
    </w:p>
    <w:p w:rsidR="00F404C6" w:rsidRPr="00D51A7A" w:rsidRDefault="00F404C6" w:rsidP="00D51A7A">
      <w:pPr>
        <w:pStyle w:val="Item"/>
      </w:pPr>
      <w:r w:rsidRPr="00D51A7A">
        <w:t>Add:</w:t>
      </w:r>
    </w:p>
    <w:p w:rsidR="00E2313F" w:rsidRPr="00D51A7A" w:rsidRDefault="00F404C6" w:rsidP="00D51A7A">
      <w:pPr>
        <w:pStyle w:val="subsection"/>
      </w:pPr>
      <w:r w:rsidRPr="00D51A7A">
        <w:tab/>
        <w:t>(2)</w:t>
      </w:r>
      <w:r w:rsidRPr="00D51A7A">
        <w:tab/>
      </w:r>
      <w:r w:rsidR="00D51A7A" w:rsidRPr="00D51A7A">
        <w:t>Paragraph (</w:t>
      </w:r>
      <w:r w:rsidRPr="00D51A7A">
        <w:t>1)(b) does not apply if</w:t>
      </w:r>
      <w:r w:rsidR="00E2313F" w:rsidRPr="00D51A7A">
        <w:t>:</w:t>
      </w:r>
    </w:p>
    <w:p w:rsidR="00F404C6" w:rsidRPr="00D51A7A" w:rsidRDefault="00E2313F" w:rsidP="00D51A7A">
      <w:pPr>
        <w:pStyle w:val="paragraph"/>
      </w:pPr>
      <w:r w:rsidRPr="00D51A7A">
        <w:tab/>
        <w:t>(a)</w:t>
      </w:r>
      <w:r w:rsidRPr="00D51A7A">
        <w:tab/>
      </w:r>
      <w:r w:rsidR="00F404C6" w:rsidRPr="00D51A7A">
        <w:t xml:space="preserve">the decision is </w:t>
      </w:r>
      <w:r w:rsidR="00B544BF" w:rsidRPr="00D51A7A">
        <w:t xml:space="preserve">made </w:t>
      </w:r>
      <w:r w:rsidR="00F404C6" w:rsidRPr="00D51A7A">
        <w:t>under subsection</w:t>
      </w:r>
      <w:r w:rsidR="00D51A7A" w:rsidRPr="00D51A7A">
        <w:t> </w:t>
      </w:r>
      <w:r w:rsidRPr="00D51A7A">
        <w:t>32(3) in response to an application made by a registered higher education provider; and</w:t>
      </w:r>
    </w:p>
    <w:p w:rsidR="00E2313F" w:rsidRPr="00D51A7A" w:rsidRDefault="00E2313F" w:rsidP="00D51A7A">
      <w:pPr>
        <w:pStyle w:val="paragraph"/>
      </w:pPr>
      <w:r w:rsidRPr="00D51A7A">
        <w:tab/>
        <w:t>(b)</w:t>
      </w:r>
      <w:r w:rsidRPr="00D51A7A">
        <w:tab/>
        <w:t>the decision is in accordance with the application.</w:t>
      </w:r>
    </w:p>
    <w:p w:rsidR="00B63BF3" w:rsidRPr="00D51A7A" w:rsidRDefault="004A5D14" w:rsidP="00D51A7A">
      <w:pPr>
        <w:pStyle w:val="ItemHead"/>
      </w:pPr>
      <w:r w:rsidRPr="00D51A7A">
        <w:t>50</w:t>
      </w:r>
      <w:r w:rsidR="00B63BF3" w:rsidRPr="00D51A7A">
        <w:t xml:space="preserve">  At the end of Subdivision A of Division</w:t>
      </w:r>
      <w:r w:rsidR="00D51A7A" w:rsidRPr="00D51A7A">
        <w:t> </w:t>
      </w:r>
      <w:r w:rsidR="00B63BF3" w:rsidRPr="00D51A7A">
        <w:t>1 of Part</w:t>
      </w:r>
      <w:r w:rsidR="00D51A7A" w:rsidRPr="00D51A7A">
        <w:t> </w:t>
      </w:r>
      <w:r w:rsidR="00B63BF3" w:rsidRPr="00D51A7A">
        <w:t>7</w:t>
      </w:r>
    </w:p>
    <w:p w:rsidR="00B63BF3" w:rsidRPr="00D51A7A" w:rsidRDefault="00B63BF3" w:rsidP="00D51A7A">
      <w:pPr>
        <w:pStyle w:val="Item"/>
      </w:pPr>
      <w:r w:rsidRPr="00D51A7A">
        <w:t>Add:</w:t>
      </w:r>
    </w:p>
    <w:p w:rsidR="002B23E9" w:rsidRPr="00D51A7A" w:rsidRDefault="002B23E9" w:rsidP="00D51A7A">
      <w:pPr>
        <w:pStyle w:val="ActHead5"/>
      </w:pPr>
      <w:bookmarkStart w:id="41" w:name="_Toc406573191"/>
      <w:r w:rsidRPr="00D51A7A">
        <w:rPr>
          <w:rStyle w:val="CharSectno"/>
        </w:rPr>
        <w:t>101A</w:t>
      </w:r>
      <w:r w:rsidRPr="00D51A7A">
        <w:t xml:space="preserve">  TEQSA to notify provider of decision to impose sanction</w:t>
      </w:r>
      <w:bookmarkEnd w:id="41"/>
    </w:p>
    <w:p w:rsidR="002B23E9" w:rsidRPr="00D51A7A" w:rsidRDefault="002B23E9" w:rsidP="00D51A7A">
      <w:pPr>
        <w:pStyle w:val="subsection"/>
      </w:pPr>
      <w:r w:rsidRPr="00D51A7A">
        <w:tab/>
      </w:r>
      <w:r w:rsidRPr="00D51A7A">
        <w:tab/>
        <w:t xml:space="preserve">TEQSA must, within 30 days </w:t>
      </w:r>
      <w:r w:rsidR="00B544BF" w:rsidRPr="00D51A7A">
        <w:t>after</w:t>
      </w:r>
      <w:r w:rsidRPr="00D51A7A">
        <w:t xml:space="preserve"> making a decision under section</w:t>
      </w:r>
      <w:r w:rsidR="00D51A7A" w:rsidRPr="00D51A7A">
        <w:t> </w:t>
      </w:r>
      <w:r w:rsidRPr="00D51A7A">
        <w:t>99, 100 or 101, notify the provider, in writing, of:</w:t>
      </w:r>
    </w:p>
    <w:p w:rsidR="002B23E9" w:rsidRPr="00D51A7A" w:rsidRDefault="002B23E9" w:rsidP="00D51A7A">
      <w:pPr>
        <w:pStyle w:val="paragraph"/>
      </w:pPr>
      <w:r w:rsidRPr="00D51A7A">
        <w:tab/>
        <w:t>(a)</w:t>
      </w:r>
      <w:r w:rsidRPr="00D51A7A">
        <w:tab/>
        <w:t>the decision; and</w:t>
      </w:r>
    </w:p>
    <w:p w:rsidR="002B23E9" w:rsidRPr="00D51A7A" w:rsidRDefault="002B23E9" w:rsidP="00D51A7A">
      <w:pPr>
        <w:pStyle w:val="paragraph"/>
      </w:pPr>
      <w:r w:rsidRPr="00D51A7A">
        <w:tab/>
        <w:t>(b)</w:t>
      </w:r>
      <w:r w:rsidRPr="00D51A7A">
        <w:tab/>
        <w:t>the reasons for the decision.</w:t>
      </w:r>
    </w:p>
    <w:p w:rsidR="000902C1" w:rsidRPr="00D51A7A" w:rsidRDefault="004A5D14" w:rsidP="00D51A7A">
      <w:pPr>
        <w:pStyle w:val="ItemHead"/>
      </w:pPr>
      <w:r w:rsidRPr="00D51A7A">
        <w:lastRenderedPageBreak/>
        <w:t>51</w:t>
      </w:r>
      <w:r w:rsidR="000902C1" w:rsidRPr="00D51A7A">
        <w:t xml:space="preserve">  Application—section</w:t>
      </w:r>
      <w:r w:rsidR="00D51A7A" w:rsidRPr="00D51A7A">
        <w:t> </w:t>
      </w:r>
      <w:r w:rsidR="000902C1" w:rsidRPr="00D51A7A">
        <w:t xml:space="preserve">22 of the </w:t>
      </w:r>
      <w:r w:rsidR="000902C1" w:rsidRPr="00D51A7A">
        <w:rPr>
          <w:i/>
        </w:rPr>
        <w:t>Tertiary Education Quality and Standards Agency Act 2011</w:t>
      </w:r>
    </w:p>
    <w:p w:rsidR="000902C1" w:rsidRPr="00D51A7A" w:rsidRDefault="000902C1" w:rsidP="00D51A7A">
      <w:pPr>
        <w:pStyle w:val="Item"/>
      </w:pPr>
      <w:r w:rsidRPr="00D51A7A">
        <w:t>The amendments of section</w:t>
      </w:r>
      <w:r w:rsidR="00D51A7A" w:rsidRPr="00D51A7A">
        <w:t> </w:t>
      </w:r>
      <w:r w:rsidRPr="00D51A7A">
        <w:t xml:space="preserve">22 of the </w:t>
      </w:r>
      <w:r w:rsidRPr="00D51A7A">
        <w:rPr>
          <w:i/>
        </w:rPr>
        <w:t>Tertiary Education Quality and Standards Agency Act 2011</w:t>
      </w:r>
      <w:r w:rsidRPr="00D51A7A">
        <w:t xml:space="preserve"> made by this Part apply to a decision made after the commencement of this item.</w:t>
      </w:r>
    </w:p>
    <w:p w:rsidR="000902C1" w:rsidRPr="00D51A7A" w:rsidRDefault="004A5D14" w:rsidP="00D51A7A">
      <w:pPr>
        <w:pStyle w:val="ItemHead"/>
      </w:pPr>
      <w:r w:rsidRPr="00D51A7A">
        <w:t>52</w:t>
      </w:r>
      <w:r w:rsidR="000902C1" w:rsidRPr="00D51A7A">
        <w:t xml:space="preserve">  Application—section</w:t>
      </w:r>
      <w:r w:rsidR="00D51A7A" w:rsidRPr="00D51A7A">
        <w:t> </w:t>
      </w:r>
      <w:r w:rsidR="000902C1" w:rsidRPr="00D51A7A">
        <w:t xml:space="preserve">34 of the </w:t>
      </w:r>
      <w:r w:rsidR="000902C1" w:rsidRPr="00D51A7A">
        <w:rPr>
          <w:i/>
        </w:rPr>
        <w:t>Tertiary Education Quality and Standards Agency Act 2011</w:t>
      </w:r>
    </w:p>
    <w:p w:rsidR="000902C1" w:rsidRPr="00D51A7A" w:rsidRDefault="000902C1" w:rsidP="00D51A7A">
      <w:pPr>
        <w:pStyle w:val="Item"/>
      </w:pPr>
      <w:r w:rsidRPr="00D51A7A">
        <w:t>The amendments of section</w:t>
      </w:r>
      <w:r w:rsidR="00D51A7A" w:rsidRPr="00D51A7A">
        <w:t> </w:t>
      </w:r>
      <w:r w:rsidRPr="00D51A7A">
        <w:t xml:space="preserve">34 of the </w:t>
      </w:r>
      <w:r w:rsidRPr="00D51A7A">
        <w:rPr>
          <w:i/>
        </w:rPr>
        <w:t>Tertiary Education Quality and Standards Agency Act 2011</w:t>
      </w:r>
      <w:r w:rsidRPr="00D51A7A">
        <w:t xml:space="preserve"> made by this Part apply to a decision made after the commencement of this item.</w:t>
      </w:r>
    </w:p>
    <w:p w:rsidR="00DA720B" w:rsidRPr="00D51A7A" w:rsidRDefault="004A5D14" w:rsidP="00D51A7A">
      <w:pPr>
        <w:pStyle w:val="ItemHead"/>
      </w:pPr>
      <w:r w:rsidRPr="00D51A7A">
        <w:t>53</w:t>
      </w:r>
      <w:r w:rsidR="00DA720B" w:rsidRPr="00D51A7A">
        <w:t xml:space="preserve">  </w:t>
      </w:r>
      <w:r w:rsidR="000902C1" w:rsidRPr="00D51A7A">
        <w:t>Application—section</w:t>
      </w:r>
      <w:r w:rsidR="00D51A7A" w:rsidRPr="00D51A7A">
        <w:t> </w:t>
      </w:r>
      <w:r w:rsidR="000902C1" w:rsidRPr="00D51A7A">
        <w:t xml:space="preserve">101A of the </w:t>
      </w:r>
      <w:r w:rsidR="000902C1" w:rsidRPr="00D51A7A">
        <w:rPr>
          <w:i/>
        </w:rPr>
        <w:t>Tertiary Education Quality and Standards Agency Act 2011</w:t>
      </w:r>
    </w:p>
    <w:p w:rsidR="00DA720B" w:rsidRPr="00D51A7A" w:rsidRDefault="00DA720B" w:rsidP="00D51A7A">
      <w:pPr>
        <w:pStyle w:val="Item"/>
      </w:pPr>
      <w:r w:rsidRPr="00D51A7A">
        <w:t>Section</w:t>
      </w:r>
      <w:r w:rsidR="00D51A7A" w:rsidRPr="00D51A7A">
        <w:t> </w:t>
      </w:r>
      <w:r w:rsidRPr="00D51A7A">
        <w:t xml:space="preserve">101A of the </w:t>
      </w:r>
      <w:r w:rsidR="000902C1" w:rsidRPr="00D51A7A">
        <w:rPr>
          <w:i/>
        </w:rPr>
        <w:t>Tertiary Education Quality and Standards Agency Act 2011</w:t>
      </w:r>
      <w:r w:rsidR="000902C1" w:rsidRPr="00D51A7A">
        <w:t xml:space="preserve"> </w:t>
      </w:r>
      <w:r w:rsidRPr="00D51A7A">
        <w:t xml:space="preserve">as amended by this </w:t>
      </w:r>
      <w:r w:rsidR="00B544BF" w:rsidRPr="00D51A7A">
        <w:t xml:space="preserve">Part </w:t>
      </w:r>
      <w:r w:rsidRPr="00D51A7A">
        <w:t>applies to a decision made after the commencement of this item.</w:t>
      </w:r>
    </w:p>
    <w:p w:rsidR="00197F64" w:rsidRPr="00D51A7A" w:rsidRDefault="00197F64" w:rsidP="00D51A7A">
      <w:pPr>
        <w:pStyle w:val="ActHead7"/>
        <w:pageBreakBefore/>
      </w:pPr>
      <w:bookmarkStart w:id="42" w:name="_Toc406573192"/>
      <w:r w:rsidRPr="00D51A7A">
        <w:rPr>
          <w:rStyle w:val="CharAmPartNo"/>
        </w:rPr>
        <w:lastRenderedPageBreak/>
        <w:t>Part</w:t>
      </w:r>
      <w:r w:rsidR="00D51A7A" w:rsidRPr="00D51A7A">
        <w:rPr>
          <w:rStyle w:val="CharAmPartNo"/>
        </w:rPr>
        <w:t> </w:t>
      </w:r>
      <w:r w:rsidRPr="00D51A7A">
        <w:rPr>
          <w:rStyle w:val="CharAmPartNo"/>
        </w:rPr>
        <w:t>7</w:t>
      </w:r>
      <w:r w:rsidRPr="00D51A7A">
        <w:t>—</w:t>
      </w:r>
      <w:r w:rsidRPr="00D51A7A">
        <w:rPr>
          <w:rStyle w:val="CharAmPartText"/>
        </w:rPr>
        <w:t>Directions to TEQSA</w:t>
      </w:r>
      <w:bookmarkEnd w:id="42"/>
    </w:p>
    <w:p w:rsidR="003F1A81" w:rsidRPr="00D51A7A" w:rsidRDefault="003F1A81" w:rsidP="00D51A7A">
      <w:pPr>
        <w:pStyle w:val="ActHead9"/>
        <w:rPr>
          <w:i w:val="0"/>
        </w:rPr>
      </w:pPr>
      <w:bookmarkStart w:id="43" w:name="_Toc406573193"/>
      <w:r w:rsidRPr="00D51A7A">
        <w:t>Tertiary Education Quality and Standards Agency Act 2011</w:t>
      </w:r>
      <w:bookmarkEnd w:id="43"/>
    </w:p>
    <w:p w:rsidR="00197F64" w:rsidRPr="00D51A7A" w:rsidRDefault="004A5D14" w:rsidP="00D51A7A">
      <w:pPr>
        <w:pStyle w:val="ItemHead"/>
      </w:pPr>
      <w:r w:rsidRPr="00D51A7A">
        <w:t>54</w:t>
      </w:r>
      <w:r w:rsidR="00197F64" w:rsidRPr="00D51A7A">
        <w:t xml:space="preserve">  Subsection</w:t>
      </w:r>
      <w:r w:rsidR="00D51A7A" w:rsidRPr="00D51A7A">
        <w:t> </w:t>
      </w:r>
      <w:r w:rsidR="00197F64" w:rsidRPr="00D51A7A">
        <w:t>136(1)</w:t>
      </w:r>
    </w:p>
    <w:p w:rsidR="00197F64" w:rsidRPr="00D51A7A" w:rsidRDefault="00197F64" w:rsidP="00D51A7A">
      <w:pPr>
        <w:pStyle w:val="Item"/>
      </w:pPr>
      <w:r w:rsidRPr="00D51A7A">
        <w:t xml:space="preserve">Omit </w:t>
      </w:r>
      <w:r w:rsidR="00D749E9" w:rsidRPr="00D51A7A">
        <w:t>“a direction to TEQSA if the Minister considers that the direction is necessary to protect the integrity of the higher education sector”</w:t>
      </w:r>
      <w:r w:rsidR="00C17A90" w:rsidRPr="00D51A7A">
        <w:t>, substitute “directions to TEQSA in relation to the performance of its functions and the exercise of its powers”.</w:t>
      </w:r>
    </w:p>
    <w:p w:rsidR="009A627D" w:rsidRPr="008E40B7" w:rsidRDefault="009A627D" w:rsidP="009A627D">
      <w:pPr>
        <w:pStyle w:val="ItemHead"/>
      </w:pPr>
      <w:r w:rsidRPr="008E40B7">
        <w:t>54A  Subsection 136(1) (note)</w:t>
      </w:r>
    </w:p>
    <w:p w:rsidR="009A627D" w:rsidRPr="008E40B7" w:rsidRDefault="009A627D" w:rsidP="009A627D">
      <w:pPr>
        <w:pStyle w:val="Item"/>
      </w:pPr>
      <w:r w:rsidRPr="008E40B7">
        <w:t>Repeal the note, substitute:</w:t>
      </w:r>
    </w:p>
    <w:p w:rsidR="009A627D" w:rsidRPr="008E40B7" w:rsidRDefault="009A627D" w:rsidP="009A627D">
      <w:pPr>
        <w:pStyle w:val="notetext"/>
      </w:pPr>
      <w:r w:rsidRPr="008E40B7">
        <w:t>Note:</w:t>
      </w:r>
      <w:r w:rsidRPr="008E40B7">
        <w:tab/>
        <w:t>Part 6 (</w:t>
      </w:r>
      <w:proofErr w:type="spellStart"/>
      <w:r w:rsidRPr="008E40B7">
        <w:t>sunsetting</w:t>
      </w:r>
      <w:proofErr w:type="spellEnd"/>
      <w:r w:rsidRPr="008E40B7">
        <w:t xml:space="preserve">) of the </w:t>
      </w:r>
      <w:r w:rsidRPr="008E40B7">
        <w:rPr>
          <w:i/>
        </w:rPr>
        <w:t>Legislative Instruments Act 2003</w:t>
      </w:r>
      <w:r w:rsidRPr="008E40B7">
        <w:t xml:space="preserve"> does not apply to the direction (see section 54 of that Act).</w:t>
      </w:r>
    </w:p>
    <w:p w:rsidR="00C17A90" w:rsidRPr="00D51A7A" w:rsidRDefault="004A5D14" w:rsidP="00D51A7A">
      <w:pPr>
        <w:pStyle w:val="ItemHead"/>
      </w:pPr>
      <w:r w:rsidRPr="00D51A7A">
        <w:t>55</w:t>
      </w:r>
      <w:r w:rsidR="00C17A90" w:rsidRPr="00D51A7A">
        <w:t xml:space="preserve">  Subsection</w:t>
      </w:r>
      <w:r w:rsidR="00D51A7A" w:rsidRPr="00D51A7A">
        <w:t> </w:t>
      </w:r>
      <w:r w:rsidR="00C17A90" w:rsidRPr="00D51A7A">
        <w:t>136(2)</w:t>
      </w:r>
    </w:p>
    <w:p w:rsidR="00C17A90" w:rsidRPr="00D51A7A" w:rsidRDefault="00C17A90" w:rsidP="00D51A7A">
      <w:pPr>
        <w:pStyle w:val="Item"/>
      </w:pPr>
      <w:r w:rsidRPr="00D51A7A">
        <w:t>Repeal the subsection, substitute:</w:t>
      </w:r>
    </w:p>
    <w:p w:rsidR="00903DF8" w:rsidRPr="00D51A7A" w:rsidRDefault="00C17A90" w:rsidP="00D51A7A">
      <w:pPr>
        <w:pStyle w:val="subsection"/>
      </w:pPr>
      <w:r w:rsidRPr="00D51A7A">
        <w:tab/>
        <w:t>(2)</w:t>
      </w:r>
      <w:r w:rsidRPr="00D51A7A">
        <w:tab/>
        <w:t xml:space="preserve">A direction under </w:t>
      </w:r>
      <w:r w:rsidR="00D51A7A" w:rsidRPr="00D51A7A">
        <w:t>subsection (</w:t>
      </w:r>
      <w:r w:rsidRPr="00D51A7A">
        <w:t>1) must be of a general nature only.</w:t>
      </w:r>
    </w:p>
    <w:p w:rsidR="00903DF8" w:rsidRPr="00D51A7A" w:rsidRDefault="00903DF8" w:rsidP="00D51A7A">
      <w:pPr>
        <w:pStyle w:val="subsection"/>
      </w:pPr>
      <w:r w:rsidRPr="00D51A7A">
        <w:tab/>
        <w:t>(2A)</w:t>
      </w:r>
      <w:r w:rsidRPr="00D51A7A">
        <w:tab/>
      </w:r>
      <w:r w:rsidR="00D51A7A" w:rsidRPr="00D51A7A">
        <w:t>Subsection (</w:t>
      </w:r>
      <w:r w:rsidRPr="00D51A7A">
        <w:t>2) does not apply to a direction that relates to the power conferred by subsection</w:t>
      </w:r>
      <w:r w:rsidR="00D51A7A" w:rsidRPr="00D51A7A">
        <w:t> </w:t>
      </w:r>
      <w:r w:rsidRPr="00D51A7A">
        <w:t>158(1).</w:t>
      </w:r>
    </w:p>
    <w:p w:rsidR="00903DF8" w:rsidRPr="00D51A7A" w:rsidRDefault="00903DF8" w:rsidP="00D51A7A">
      <w:pPr>
        <w:pStyle w:val="notetext"/>
      </w:pPr>
      <w:r w:rsidRPr="00D51A7A">
        <w:t>Note:</w:t>
      </w:r>
      <w:r w:rsidRPr="00D51A7A">
        <w:tab/>
        <w:t>Subsection</w:t>
      </w:r>
      <w:r w:rsidR="00D51A7A" w:rsidRPr="00D51A7A">
        <w:t> </w:t>
      </w:r>
      <w:r w:rsidRPr="00D51A7A">
        <w:t xml:space="preserve">158(1) </w:t>
      </w:r>
      <w:r w:rsidR="00D749E9" w:rsidRPr="00D51A7A">
        <w:t>confers</w:t>
      </w:r>
      <w:r w:rsidRPr="00D51A7A">
        <w:t xml:space="preserve"> a power to determine fees.</w:t>
      </w:r>
    </w:p>
    <w:p w:rsidR="009A627D" w:rsidRPr="008E40B7" w:rsidRDefault="009A627D" w:rsidP="009A627D">
      <w:pPr>
        <w:pStyle w:val="subsection"/>
      </w:pPr>
      <w:r w:rsidRPr="008E40B7">
        <w:tab/>
        <w:t>(2B)</w:t>
      </w:r>
      <w:r w:rsidRPr="008E40B7">
        <w:tab/>
        <w:t xml:space="preserve">Section 44 of the </w:t>
      </w:r>
      <w:r w:rsidRPr="008E40B7">
        <w:rPr>
          <w:i/>
          <w:iCs/>
        </w:rPr>
        <w:t>Legislative Instruments Act 2003</w:t>
      </w:r>
      <w:r w:rsidRPr="008E40B7">
        <w:t xml:space="preserve"> does not apply in relation to a direction under subsection (1) of this section.</w:t>
      </w:r>
    </w:p>
    <w:p w:rsidR="009A627D" w:rsidRPr="008E40B7" w:rsidRDefault="009A627D" w:rsidP="009A627D">
      <w:pPr>
        <w:pStyle w:val="notetext"/>
      </w:pPr>
      <w:r w:rsidRPr="008E40B7">
        <w:t>Note:</w:t>
      </w:r>
      <w:r w:rsidRPr="008E40B7">
        <w:tab/>
        <w:t xml:space="preserve">This means that section 42 (disallowance) of the </w:t>
      </w:r>
      <w:r w:rsidRPr="008E40B7">
        <w:rPr>
          <w:i/>
        </w:rPr>
        <w:t>Legislative Instruments Act 2003</w:t>
      </w:r>
      <w:r w:rsidRPr="008E40B7">
        <w:t xml:space="preserve"> applies to the direction.</w:t>
      </w:r>
    </w:p>
    <w:p w:rsidR="00197F64" w:rsidRPr="00D51A7A" w:rsidRDefault="004A5D14" w:rsidP="00D51A7A">
      <w:pPr>
        <w:pStyle w:val="ItemHead"/>
      </w:pPr>
      <w:r w:rsidRPr="00D51A7A">
        <w:t>56</w:t>
      </w:r>
      <w:r w:rsidR="00C17A90" w:rsidRPr="00D51A7A">
        <w:t xml:space="preserve">  Transitional—</w:t>
      </w:r>
      <w:r w:rsidR="00542B90" w:rsidRPr="00D51A7A">
        <w:t>M</w:t>
      </w:r>
      <w:r w:rsidR="00C17A90" w:rsidRPr="00D51A7A">
        <w:t>inisterial directions</w:t>
      </w:r>
    </w:p>
    <w:p w:rsidR="00542B90" w:rsidRPr="00D51A7A" w:rsidRDefault="00C17A90" w:rsidP="00D51A7A">
      <w:pPr>
        <w:pStyle w:val="Item"/>
      </w:pPr>
      <w:r w:rsidRPr="00D51A7A">
        <w:t>The amendment</w:t>
      </w:r>
      <w:r w:rsidR="00B200F3" w:rsidRPr="00D51A7A">
        <w:t>s</w:t>
      </w:r>
      <w:r w:rsidRPr="00D51A7A">
        <w:t xml:space="preserve"> </w:t>
      </w:r>
      <w:r w:rsidR="00B200F3" w:rsidRPr="00D51A7A">
        <w:t xml:space="preserve">made by this Part do not affect the continuity of a direction </w:t>
      </w:r>
      <w:r w:rsidR="00542B90" w:rsidRPr="00D51A7A">
        <w:t>that:</w:t>
      </w:r>
    </w:p>
    <w:p w:rsidR="00542B90" w:rsidRPr="00D51A7A" w:rsidRDefault="00542B90" w:rsidP="00D51A7A">
      <w:pPr>
        <w:pStyle w:val="paragraph"/>
      </w:pPr>
      <w:r w:rsidRPr="00D51A7A">
        <w:tab/>
        <w:t>(a)</w:t>
      </w:r>
      <w:r w:rsidRPr="00D51A7A">
        <w:tab/>
        <w:t>was given under subsection</w:t>
      </w:r>
      <w:r w:rsidR="00D51A7A" w:rsidRPr="00D51A7A">
        <w:t> </w:t>
      </w:r>
      <w:r w:rsidRPr="00D51A7A">
        <w:t xml:space="preserve">136(1) of the </w:t>
      </w:r>
      <w:r w:rsidRPr="00D51A7A">
        <w:rPr>
          <w:i/>
        </w:rPr>
        <w:t>Tertiary Education Quality and Standards Agency Act 2011</w:t>
      </w:r>
      <w:r w:rsidRPr="00D51A7A">
        <w:t>; and</w:t>
      </w:r>
    </w:p>
    <w:p w:rsidR="00542B90" w:rsidRPr="00D51A7A" w:rsidRDefault="00542B90" w:rsidP="00D51A7A">
      <w:pPr>
        <w:pStyle w:val="paragraph"/>
      </w:pPr>
      <w:r w:rsidRPr="00D51A7A">
        <w:tab/>
        <w:t>(b)</w:t>
      </w:r>
      <w:r w:rsidRPr="00D51A7A">
        <w:tab/>
        <w:t>was in force immediately before the commencement of this item.</w:t>
      </w:r>
    </w:p>
    <w:p w:rsidR="00E672D2" w:rsidRPr="00D51A7A" w:rsidRDefault="00E672D2" w:rsidP="00D51A7A">
      <w:pPr>
        <w:pStyle w:val="ActHead7"/>
        <w:pageBreakBefore/>
      </w:pPr>
      <w:bookmarkStart w:id="44" w:name="_Toc406573194"/>
      <w:r w:rsidRPr="00D51A7A">
        <w:rPr>
          <w:rStyle w:val="CharAmPartNo"/>
        </w:rPr>
        <w:lastRenderedPageBreak/>
        <w:t>Part</w:t>
      </w:r>
      <w:r w:rsidR="00D51A7A" w:rsidRPr="00D51A7A">
        <w:rPr>
          <w:rStyle w:val="CharAmPartNo"/>
        </w:rPr>
        <w:t> </w:t>
      </w:r>
      <w:r w:rsidRPr="00D51A7A">
        <w:rPr>
          <w:rStyle w:val="CharAmPartNo"/>
        </w:rPr>
        <w:t>8</w:t>
      </w:r>
      <w:r w:rsidRPr="00D51A7A">
        <w:t>—</w:t>
      </w:r>
      <w:r w:rsidRPr="00D51A7A">
        <w:rPr>
          <w:rStyle w:val="CharAmPartText"/>
        </w:rPr>
        <w:t>Fees</w:t>
      </w:r>
      <w:bookmarkEnd w:id="44"/>
    </w:p>
    <w:p w:rsidR="00E672D2" w:rsidRPr="00D51A7A" w:rsidRDefault="00E672D2" w:rsidP="00D51A7A">
      <w:pPr>
        <w:pStyle w:val="ActHead9"/>
        <w:rPr>
          <w:i w:val="0"/>
        </w:rPr>
      </w:pPr>
      <w:bookmarkStart w:id="45" w:name="_Toc406573195"/>
      <w:r w:rsidRPr="00D51A7A">
        <w:t>Tertiary Education Quality and Standards Agency Act 2011</w:t>
      </w:r>
      <w:bookmarkEnd w:id="45"/>
    </w:p>
    <w:p w:rsidR="00E672D2" w:rsidRPr="00D51A7A" w:rsidRDefault="004A5D14" w:rsidP="00D51A7A">
      <w:pPr>
        <w:pStyle w:val="ItemHead"/>
      </w:pPr>
      <w:r w:rsidRPr="00D51A7A">
        <w:t>57</w:t>
      </w:r>
      <w:r w:rsidR="00E672D2" w:rsidRPr="00D51A7A">
        <w:t xml:space="preserve">  At the end of section</w:t>
      </w:r>
      <w:r w:rsidR="00D51A7A" w:rsidRPr="00D51A7A">
        <w:t> </w:t>
      </w:r>
      <w:r w:rsidR="00E672D2" w:rsidRPr="00D51A7A">
        <w:t>158</w:t>
      </w:r>
    </w:p>
    <w:p w:rsidR="00E672D2" w:rsidRPr="00D51A7A" w:rsidRDefault="00E672D2" w:rsidP="00D51A7A">
      <w:pPr>
        <w:pStyle w:val="Item"/>
      </w:pPr>
      <w:r w:rsidRPr="00D51A7A">
        <w:t>Add:</w:t>
      </w:r>
    </w:p>
    <w:p w:rsidR="00D749E9" w:rsidRPr="00D51A7A" w:rsidRDefault="00D749E9" w:rsidP="00D51A7A">
      <w:pPr>
        <w:pStyle w:val="SubsectionHead"/>
      </w:pPr>
      <w:r w:rsidRPr="00D51A7A">
        <w:t>Ministerial approval</w:t>
      </w:r>
    </w:p>
    <w:p w:rsidR="00777B71" w:rsidRPr="00D51A7A" w:rsidRDefault="00623BDB" w:rsidP="00D51A7A">
      <w:pPr>
        <w:pStyle w:val="subsection"/>
      </w:pPr>
      <w:r w:rsidRPr="00D51A7A">
        <w:tab/>
        <w:t>(5)</w:t>
      </w:r>
      <w:r w:rsidRPr="00D51A7A">
        <w:tab/>
      </w:r>
      <w:r w:rsidR="00777B71" w:rsidRPr="00D51A7A">
        <w:t xml:space="preserve">TEQSA must not make an instrument under </w:t>
      </w:r>
      <w:r w:rsidR="00D51A7A" w:rsidRPr="00D51A7A">
        <w:t>subsection (</w:t>
      </w:r>
      <w:r w:rsidR="00777B71" w:rsidRPr="00D51A7A">
        <w:t>1) unless the Minister has given written approval to the making of the instrument.</w:t>
      </w:r>
    </w:p>
    <w:p w:rsidR="00903DF8" w:rsidRPr="00D51A7A" w:rsidRDefault="00264911" w:rsidP="00D51A7A">
      <w:pPr>
        <w:pStyle w:val="subsection"/>
      </w:pPr>
      <w:r w:rsidRPr="00D51A7A">
        <w:tab/>
        <w:t>(6)</w:t>
      </w:r>
      <w:r w:rsidRPr="00D51A7A">
        <w:tab/>
        <w:t xml:space="preserve">TEQSA must give the Minister such information as </w:t>
      </w:r>
      <w:r w:rsidR="00623BDB" w:rsidRPr="00D51A7A">
        <w:t xml:space="preserve">the Minister reasonably requires </w:t>
      </w:r>
      <w:r w:rsidRPr="00D51A7A">
        <w:t xml:space="preserve">for the purposes of </w:t>
      </w:r>
      <w:r w:rsidR="00623BDB" w:rsidRPr="00D51A7A">
        <w:t xml:space="preserve">making a decision </w:t>
      </w:r>
      <w:r w:rsidRPr="00D51A7A">
        <w:t xml:space="preserve">under </w:t>
      </w:r>
      <w:r w:rsidR="00D51A7A" w:rsidRPr="00D51A7A">
        <w:t>subsection (</w:t>
      </w:r>
      <w:r w:rsidRPr="00D51A7A">
        <w:t>5).</w:t>
      </w:r>
    </w:p>
    <w:p w:rsidR="00264911" w:rsidRPr="00D51A7A" w:rsidRDefault="004A5D14" w:rsidP="00D51A7A">
      <w:pPr>
        <w:pStyle w:val="ItemHead"/>
      </w:pPr>
      <w:r w:rsidRPr="00D51A7A">
        <w:t>58</w:t>
      </w:r>
      <w:r w:rsidR="00264911" w:rsidRPr="00D51A7A">
        <w:t xml:space="preserve">  Application—section</w:t>
      </w:r>
      <w:r w:rsidR="00D51A7A" w:rsidRPr="00D51A7A">
        <w:t> </w:t>
      </w:r>
      <w:r w:rsidR="00264911" w:rsidRPr="00D51A7A">
        <w:t xml:space="preserve">158 of the </w:t>
      </w:r>
      <w:r w:rsidR="00264911" w:rsidRPr="00D51A7A">
        <w:rPr>
          <w:i/>
        </w:rPr>
        <w:t>Tertiary Education Quality and Standards Agency Act 2011</w:t>
      </w:r>
    </w:p>
    <w:p w:rsidR="006C3CD5" w:rsidRDefault="00264911" w:rsidP="00D51A7A">
      <w:pPr>
        <w:pStyle w:val="Item"/>
      </w:pPr>
      <w:r w:rsidRPr="00D51A7A">
        <w:t>The amendment of section</w:t>
      </w:r>
      <w:r w:rsidR="00D51A7A" w:rsidRPr="00D51A7A">
        <w:t> </w:t>
      </w:r>
      <w:r w:rsidRPr="00D51A7A">
        <w:t xml:space="preserve">158 of the </w:t>
      </w:r>
      <w:r w:rsidRPr="00D51A7A">
        <w:rPr>
          <w:i/>
        </w:rPr>
        <w:t>Tertiary Education Quality and Standards Agency Act 2011</w:t>
      </w:r>
      <w:r w:rsidRPr="00D51A7A">
        <w:t xml:space="preserve"> made by this Part appl</w:t>
      </w:r>
      <w:r w:rsidR="00623BDB" w:rsidRPr="00D51A7A">
        <w:t>ies</w:t>
      </w:r>
      <w:r w:rsidRPr="00D51A7A">
        <w:t xml:space="preserve"> to a</w:t>
      </w:r>
      <w:r w:rsidR="00623BDB" w:rsidRPr="00D51A7A">
        <w:t xml:space="preserve">n instrument </w:t>
      </w:r>
      <w:r w:rsidRPr="00D51A7A">
        <w:t>made after the commencement of this item.</w:t>
      </w:r>
    </w:p>
    <w:p w:rsidR="003C2CD6" w:rsidRDefault="003C2CD6" w:rsidP="00E71F88"/>
    <w:p w:rsidR="003C2CD6" w:rsidRDefault="003C2CD6" w:rsidP="003C2CD6">
      <w:pPr>
        <w:pStyle w:val="AssentBk"/>
        <w:keepNext/>
      </w:pPr>
    </w:p>
    <w:p w:rsidR="003C2CD6" w:rsidRDefault="003C2CD6" w:rsidP="003C2CD6">
      <w:pPr>
        <w:pStyle w:val="AssentBk"/>
        <w:keepNext/>
      </w:pPr>
    </w:p>
    <w:p w:rsidR="00E71F88" w:rsidRDefault="00E71F88" w:rsidP="003B1CD0">
      <w:pPr>
        <w:pStyle w:val="2ndRd"/>
        <w:keepNext/>
        <w:pBdr>
          <w:top w:val="single" w:sz="2" w:space="1" w:color="auto"/>
        </w:pBdr>
      </w:pPr>
    </w:p>
    <w:p w:rsidR="00E71F88" w:rsidRDefault="00E71F88" w:rsidP="003B1CD0">
      <w:pPr>
        <w:pStyle w:val="2ndRd"/>
        <w:keepNext/>
        <w:spacing w:line="260" w:lineRule="atLeast"/>
        <w:rPr>
          <w:i/>
        </w:rPr>
      </w:pPr>
      <w:r>
        <w:t>[</w:t>
      </w:r>
      <w:r>
        <w:rPr>
          <w:i/>
        </w:rPr>
        <w:t>Minister’s second reading speech made in—</w:t>
      </w:r>
    </w:p>
    <w:p w:rsidR="00E71F88" w:rsidRDefault="00E71F88" w:rsidP="003B1CD0">
      <w:pPr>
        <w:pStyle w:val="2ndRd"/>
        <w:keepNext/>
        <w:spacing w:line="260" w:lineRule="atLeast"/>
        <w:rPr>
          <w:i/>
        </w:rPr>
      </w:pPr>
      <w:r>
        <w:rPr>
          <w:i/>
        </w:rPr>
        <w:t>House of Representatives on 27 February 2014</w:t>
      </w:r>
    </w:p>
    <w:p w:rsidR="00E71F88" w:rsidRDefault="00E71F88" w:rsidP="003B1CD0">
      <w:pPr>
        <w:pStyle w:val="2ndRd"/>
        <w:keepNext/>
        <w:spacing w:line="260" w:lineRule="atLeast"/>
        <w:rPr>
          <w:i/>
        </w:rPr>
      </w:pPr>
      <w:r>
        <w:rPr>
          <w:i/>
        </w:rPr>
        <w:t>Senate on 5 March 2014</w:t>
      </w:r>
      <w:r>
        <w:t>]</w:t>
      </w:r>
    </w:p>
    <w:p w:rsidR="00E71F88" w:rsidRDefault="00E71F88" w:rsidP="003B1CD0"/>
    <w:p w:rsidR="003C2CD6" w:rsidRPr="00E71F88" w:rsidRDefault="00E71F88" w:rsidP="00E71F88">
      <w:pPr>
        <w:framePr w:hSpace="180" w:wrap="around" w:vAnchor="text" w:hAnchor="page" w:x="2397" w:y="2180"/>
      </w:pPr>
      <w:r>
        <w:t>(14/14)</w:t>
      </w:r>
    </w:p>
    <w:p w:rsidR="00E71F88" w:rsidRDefault="00E71F88"/>
    <w:sectPr w:rsidR="00E71F88" w:rsidSect="003C2CD6">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CD6" w:rsidRDefault="003C2CD6" w:rsidP="0048364F">
      <w:pPr>
        <w:spacing w:line="240" w:lineRule="auto"/>
      </w:pPr>
      <w:r>
        <w:separator/>
      </w:r>
    </w:p>
  </w:endnote>
  <w:endnote w:type="continuationSeparator" w:id="0">
    <w:p w:rsidR="003C2CD6" w:rsidRDefault="003C2CD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5F1388" w:rsidRDefault="003C2CD6" w:rsidP="00D51A7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8" w:rsidRDefault="00E71F88"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3C2CD6" w:rsidRDefault="003C2CD6" w:rsidP="00D51A7A">
    <w:pPr>
      <w:pStyle w:val="Footer"/>
      <w:spacing w:before="120"/>
    </w:pPr>
  </w:p>
  <w:p w:rsidR="003C2CD6" w:rsidRPr="005F1388" w:rsidRDefault="003C2CD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ED79B6" w:rsidRDefault="003C2CD6" w:rsidP="00D51A7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Default="003C2CD6" w:rsidP="00D51A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2CD6" w:rsidTr="003059B1">
      <w:tc>
        <w:tcPr>
          <w:tcW w:w="646" w:type="dxa"/>
        </w:tcPr>
        <w:p w:rsidR="003C2CD6" w:rsidRDefault="003C2CD6" w:rsidP="003059B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583E">
            <w:rPr>
              <w:i/>
              <w:noProof/>
              <w:sz w:val="18"/>
            </w:rPr>
            <w:t>xxi</w:t>
          </w:r>
          <w:r w:rsidRPr="00ED79B6">
            <w:rPr>
              <w:i/>
              <w:sz w:val="18"/>
            </w:rPr>
            <w:fldChar w:fldCharType="end"/>
          </w:r>
        </w:p>
      </w:tc>
      <w:tc>
        <w:tcPr>
          <w:tcW w:w="5387" w:type="dxa"/>
        </w:tcPr>
        <w:p w:rsidR="003C2CD6" w:rsidRDefault="00021ADD" w:rsidP="003059B1">
          <w:pPr>
            <w:jc w:val="center"/>
            <w:rPr>
              <w:sz w:val="18"/>
            </w:rPr>
          </w:pPr>
          <w:r>
            <w:rPr>
              <w:i/>
              <w:sz w:val="18"/>
            </w:rPr>
            <w:t>Tertiary Education Quality and Standards Agency Amendment Act 2014</w:t>
          </w:r>
        </w:p>
      </w:tc>
      <w:tc>
        <w:tcPr>
          <w:tcW w:w="1270" w:type="dxa"/>
        </w:tcPr>
        <w:p w:rsidR="003C2CD6" w:rsidRDefault="00021ADD" w:rsidP="003059B1">
          <w:pPr>
            <w:jc w:val="right"/>
            <w:rPr>
              <w:sz w:val="18"/>
            </w:rPr>
          </w:pPr>
          <w:r>
            <w:rPr>
              <w:i/>
              <w:sz w:val="18"/>
            </w:rPr>
            <w:t>No.      , 2014</w:t>
          </w:r>
        </w:p>
      </w:tc>
    </w:tr>
  </w:tbl>
  <w:p w:rsidR="003C2CD6" w:rsidRDefault="003C2CD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Default="003C2CD6" w:rsidP="00D51A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2CD6" w:rsidTr="003059B1">
      <w:tc>
        <w:tcPr>
          <w:tcW w:w="1247" w:type="dxa"/>
        </w:tcPr>
        <w:p w:rsidR="003C2CD6" w:rsidRDefault="00021ADD" w:rsidP="00E71F88">
          <w:pPr>
            <w:rPr>
              <w:i/>
              <w:sz w:val="18"/>
            </w:rPr>
          </w:pPr>
          <w:r>
            <w:rPr>
              <w:i/>
              <w:sz w:val="18"/>
            </w:rPr>
            <w:t xml:space="preserve">No. </w:t>
          </w:r>
          <w:r w:rsidR="00E71F88">
            <w:rPr>
              <w:i/>
              <w:sz w:val="18"/>
            </w:rPr>
            <w:t>130</w:t>
          </w:r>
          <w:r>
            <w:rPr>
              <w:i/>
              <w:sz w:val="18"/>
            </w:rPr>
            <w:t>, 2014</w:t>
          </w:r>
        </w:p>
      </w:tc>
      <w:tc>
        <w:tcPr>
          <w:tcW w:w="5387" w:type="dxa"/>
        </w:tcPr>
        <w:p w:rsidR="003C2CD6" w:rsidRDefault="00021ADD" w:rsidP="003059B1">
          <w:pPr>
            <w:jc w:val="center"/>
            <w:rPr>
              <w:i/>
              <w:sz w:val="18"/>
            </w:rPr>
          </w:pPr>
          <w:r>
            <w:rPr>
              <w:i/>
              <w:sz w:val="18"/>
            </w:rPr>
            <w:t>Tertiary Education Quality and Standards Agency Amendment Act 2014</w:t>
          </w:r>
        </w:p>
      </w:tc>
      <w:tc>
        <w:tcPr>
          <w:tcW w:w="669" w:type="dxa"/>
        </w:tcPr>
        <w:p w:rsidR="003C2CD6" w:rsidRDefault="003C2CD6" w:rsidP="003059B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583E">
            <w:rPr>
              <w:i/>
              <w:noProof/>
              <w:sz w:val="18"/>
            </w:rPr>
            <w:t>i</w:t>
          </w:r>
          <w:r w:rsidRPr="00ED79B6">
            <w:rPr>
              <w:i/>
              <w:sz w:val="18"/>
            </w:rPr>
            <w:fldChar w:fldCharType="end"/>
          </w:r>
        </w:p>
      </w:tc>
    </w:tr>
  </w:tbl>
  <w:p w:rsidR="003C2CD6" w:rsidRPr="00ED79B6" w:rsidRDefault="003C2CD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A961C4" w:rsidRDefault="003C2CD6" w:rsidP="00D51A7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2CD6" w:rsidTr="00D51A7A">
      <w:tc>
        <w:tcPr>
          <w:tcW w:w="646" w:type="dxa"/>
        </w:tcPr>
        <w:p w:rsidR="003C2CD6" w:rsidRDefault="003C2CD6" w:rsidP="003059B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F583E">
            <w:rPr>
              <w:i/>
              <w:noProof/>
              <w:sz w:val="18"/>
            </w:rPr>
            <w:t>20</w:t>
          </w:r>
          <w:r w:rsidRPr="007A1328">
            <w:rPr>
              <w:i/>
              <w:sz w:val="18"/>
            </w:rPr>
            <w:fldChar w:fldCharType="end"/>
          </w:r>
        </w:p>
      </w:tc>
      <w:tc>
        <w:tcPr>
          <w:tcW w:w="5387" w:type="dxa"/>
        </w:tcPr>
        <w:p w:rsidR="003C2CD6" w:rsidRDefault="00021ADD" w:rsidP="003059B1">
          <w:pPr>
            <w:jc w:val="center"/>
            <w:rPr>
              <w:sz w:val="18"/>
            </w:rPr>
          </w:pPr>
          <w:r>
            <w:rPr>
              <w:i/>
              <w:sz w:val="18"/>
            </w:rPr>
            <w:t>Tertiary Education Quality and Standards Agency Amendment Act 2014</w:t>
          </w:r>
        </w:p>
      </w:tc>
      <w:tc>
        <w:tcPr>
          <w:tcW w:w="1270" w:type="dxa"/>
        </w:tcPr>
        <w:p w:rsidR="003C2CD6" w:rsidRDefault="00E71F88" w:rsidP="003059B1">
          <w:pPr>
            <w:jc w:val="right"/>
            <w:rPr>
              <w:sz w:val="18"/>
            </w:rPr>
          </w:pPr>
          <w:r>
            <w:rPr>
              <w:i/>
              <w:sz w:val="18"/>
            </w:rPr>
            <w:t>No. 130, 2014</w:t>
          </w:r>
        </w:p>
      </w:tc>
    </w:tr>
  </w:tbl>
  <w:p w:rsidR="003C2CD6" w:rsidRPr="00A961C4" w:rsidRDefault="003C2CD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A961C4" w:rsidRDefault="003C2CD6" w:rsidP="00D51A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2CD6" w:rsidTr="00D51A7A">
      <w:tc>
        <w:tcPr>
          <w:tcW w:w="1247" w:type="dxa"/>
        </w:tcPr>
        <w:p w:rsidR="003C2CD6" w:rsidRDefault="00E71F88" w:rsidP="003059B1">
          <w:pPr>
            <w:rPr>
              <w:sz w:val="18"/>
            </w:rPr>
          </w:pPr>
          <w:r>
            <w:rPr>
              <w:i/>
              <w:sz w:val="18"/>
            </w:rPr>
            <w:t>No. 130, 2014</w:t>
          </w:r>
        </w:p>
      </w:tc>
      <w:tc>
        <w:tcPr>
          <w:tcW w:w="5387" w:type="dxa"/>
        </w:tcPr>
        <w:p w:rsidR="003C2CD6" w:rsidRDefault="00021ADD" w:rsidP="003059B1">
          <w:pPr>
            <w:jc w:val="center"/>
            <w:rPr>
              <w:sz w:val="18"/>
            </w:rPr>
          </w:pPr>
          <w:r>
            <w:rPr>
              <w:i/>
              <w:sz w:val="18"/>
            </w:rPr>
            <w:t>Tertiary Education Quality and Standards Agency Amendment Act 2014</w:t>
          </w:r>
        </w:p>
      </w:tc>
      <w:tc>
        <w:tcPr>
          <w:tcW w:w="669" w:type="dxa"/>
        </w:tcPr>
        <w:p w:rsidR="003C2CD6" w:rsidRDefault="003C2CD6" w:rsidP="003059B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F583E">
            <w:rPr>
              <w:i/>
              <w:noProof/>
              <w:sz w:val="18"/>
            </w:rPr>
            <w:t>21</w:t>
          </w:r>
          <w:r w:rsidRPr="007A1328">
            <w:rPr>
              <w:i/>
              <w:sz w:val="18"/>
            </w:rPr>
            <w:fldChar w:fldCharType="end"/>
          </w:r>
        </w:p>
      </w:tc>
    </w:tr>
  </w:tbl>
  <w:p w:rsidR="003C2CD6" w:rsidRPr="00055B5C" w:rsidRDefault="003C2CD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A961C4" w:rsidRDefault="003C2CD6" w:rsidP="00D51A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C2CD6" w:rsidTr="00D51A7A">
      <w:tc>
        <w:tcPr>
          <w:tcW w:w="1247" w:type="dxa"/>
        </w:tcPr>
        <w:p w:rsidR="003C2CD6" w:rsidRDefault="00E71F88" w:rsidP="003059B1">
          <w:pPr>
            <w:rPr>
              <w:sz w:val="18"/>
            </w:rPr>
          </w:pPr>
          <w:r>
            <w:rPr>
              <w:i/>
              <w:sz w:val="18"/>
            </w:rPr>
            <w:t>No. 130, 2014</w:t>
          </w:r>
        </w:p>
      </w:tc>
      <w:tc>
        <w:tcPr>
          <w:tcW w:w="5387" w:type="dxa"/>
        </w:tcPr>
        <w:p w:rsidR="003C2CD6" w:rsidRDefault="00021ADD" w:rsidP="003059B1">
          <w:pPr>
            <w:jc w:val="center"/>
            <w:rPr>
              <w:sz w:val="18"/>
            </w:rPr>
          </w:pPr>
          <w:r>
            <w:rPr>
              <w:i/>
              <w:sz w:val="18"/>
            </w:rPr>
            <w:t>Tertiary Education Quality and Standards Agency Amendment Act 2014</w:t>
          </w:r>
        </w:p>
      </w:tc>
      <w:tc>
        <w:tcPr>
          <w:tcW w:w="669" w:type="dxa"/>
        </w:tcPr>
        <w:p w:rsidR="003C2CD6" w:rsidRDefault="003C2CD6" w:rsidP="003059B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F583E">
            <w:rPr>
              <w:i/>
              <w:noProof/>
              <w:sz w:val="18"/>
            </w:rPr>
            <w:t>1</w:t>
          </w:r>
          <w:r w:rsidRPr="007A1328">
            <w:rPr>
              <w:i/>
              <w:sz w:val="18"/>
            </w:rPr>
            <w:fldChar w:fldCharType="end"/>
          </w:r>
        </w:p>
      </w:tc>
    </w:tr>
  </w:tbl>
  <w:p w:rsidR="003C2CD6" w:rsidRPr="00A961C4" w:rsidRDefault="003C2CD6"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CD6" w:rsidRDefault="003C2CD6" w:rsidP="0048364F">
      <w:pPr>
        <w:spacing w:line="240" w:lineRule="auto"/>
      </w:pPr>
      <w:r>
        <w:separator/>
      </w:r>
    </w:p>
  </w:footnote>
  <w:footnote w:type="continuationSeparator" w:id="0">
    <w:p w:rsidR="003C2CD6" w:rsidRDefault="003C2CD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5F1388" w:rsidRDefault="003C2CD6"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5F1388" w:rsidRDefault="003C2CD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5F1388" w:rsidRDefault="003C2CD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ED79B6" w:rsidRDefault="003C2CD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ED79B6" w:rsidRDefault="003C2CD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ED79B6" w:rsidRDefault="003C2CD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A961C4" w:rsidRDefault="003C2CD6" w:rsidP="0048364F">
    <w:pPr>
      <w:rPr>
        <w:b/>
        <w:sz w:val="20"/>
      </w:rPr>
    </w:pPr>
    <w:r>
      <w:rPr>
        <w:b/>
        <w:sz w:val="20"/>
      </w:rPr>
      <w:fldChar w:fldCharType="begin"/>
    </w:r>
    <w:r>
      <w:rPr>
        <w:b/>
        <w:sz w:val="20"/>
      </w:rPr>
      <w:instrText xml:space="preserve"> STYLEREF CharAmSchNo </w:instrText>
    </w:r>
    <w:r w:rsidR="003F583E">
      <w:rPr>
        <w:b/>
        <w:sz w:val="20"/>
      </w:rPr>
      <w:fldChar w:fldCharType="separate"/>
    </w:r>
    <w:r w:rsidR="003F583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F583E">
      <w:rPr>
        <w:sz w:val="20"/>
      </w:rPr>
      <w:fldChar w:fldCharType="separate"/>
    </w:r>
    <w:r w:rsidR="003F583E">
      <w:rPr>
        <w:noProof/>
        <w:sz w:val="20"/>
      </w:rPr>
      <w:t>Amendments</w:t>
    </w:r>
    <w:r>
      <w:rPr>
        <w:sz w:val="20"/>
      </w:rPr>
      <w:fldChar w:fldCharType="end"/>
    </w:r>
  </w:p>
  <w:p w:rsidR="003C2CD6" w:rsidRPr="00A961C4" w:rsidRDefault="003C2CD6" w:rsidP="0048364F">
    <w:pPr>
      <w:rPr>
        <w:b/>
        <w:sz w:val="20"/>
      </w:rPr>
    </w:pPr>
    <w:r>
      <w:rPr>
        <w:b/>
        <w:sz w:val="20"/>
      </w:rPr>
      <w:fldChar w:fldCharType="begin"/>
    </w:r>
    <w:r>
      <w:rPr>
        <w:b/>
        <w:sz w:val="20"/>
      </w:rPr>
      <w:instrText xml:space="preserve"> STYLEREF CharAmPartNo </w:instrText>
    </w:r>
    <w:r w:rsidR="003F583E">
      <w:rPr>
        <w:b/>
        <w:sz w:val="20"/>
      </w:rPr>
      <w:fldChar w:fldCharType="separate"/>
    </w:r>
    <w:r w:rsidR="003F583E">
      <w:rPr>
        <w:b/>
        <w:noProof/>
        <w:sz w:val="20"/>
      </w:rPr>
      <w:t>Part 7</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F583E">
      <w:rPr>
        <w:sz w:val="20"/>
      </w:rPr>
      <w:fldChar w:fldCharType="separate"/>
    </w:r>
    <w:r w:rsidR="003F583E">
      <w:rPr>
        <w:noProof/>
        <w:sz w:val="20"/>
      </w:rPr>
      <w:t>Directions to TEQSA</w:t>
    </w:r>
    <w:r>
      <w:rPr>
        <w:sz w:val="20"/>
      </w:rPr>
      <w:fldChar w:fldCharType="end"/>
    </w:r>
  </w:p>
  <w:p w:rsidR="003C2CD6" w:rsidRPr="00A961C4" w:rsidRDefault="003C2CD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A961C4" w:rsidRDefault="003C2CD6" w:rsidP="0048364F">
    <w:pPr>
      <w:jc w:val="right"/>
      <w:rPr>
        <w:sz w:val="20"/>
      </w:rPr>
    </w:pPr>
    <w:r w:rsidRPr="00A961C4">
      <w:rPr>
        <w:sz w:val="20"/>
      </w:rPr>
      <w:fldChar w:fldCharType="begin"/>
    </w:r>
    <w:r w:rsidRPr="00A961C4">
      <w:rPr>
        <w:sz w:val="20"/>
      </w:rPr>
      <w:instrText xml:space="preserve"> STYLEREF CharAmSchText </w:instrText>
    </w:r>
    <w:r w:rsidR="003F583E">
      <w:rPr>
        <w:sz w:val="20"/>
      </w:rPr>
      <w:fldChar w:fldCharType="separate"/>
    </w:r>
    <w:r w:rsidR="003F583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F583E">
      <w:rPr>
        <w:b/>
        <w:sz w:val="20"/>
      </w:rPr>
      <w:fldChar w:fldCharType="separate"/>
    </w:r>
    <w:r w:rsidR="003F583E">
      <w:rPr>
        <w:b/>
        <w:noProof/>
        <w:sz w:val="20"/>
      </w:rPr>
      <w:t>Schedule 1</w:t>
    </w:r>
    <w:r>
      <w:rPr>
        <w:b/>
        <w:sz w:val="20"/>
      </w:rPr>
      <w:fldChar w:fldCharType="end"/>
    </w:r>
  </w:p>
  <w:p w:rsidR="003C2CD6" w:rsidRPr="00A961C4" w:rsidRDefault="003C2CD6" w:rsidP="0048364F">
    <w:pPr>
      <w:jc w:val="right"/>
      <w:rPr>
        <w:b/>
        <w:sz w:val="20"/>
      </w:rPr>
    </w:pPr>
    <w:r w:rsidRPr="00A961C4">
      <w:rPr>
        <w:sz w:val="20"/>
      </w:rPr>
      <w:fldChar w:fldCharType="begin"/>
    </w:r>
    <w:r w:rsidRPr="00A961C4">
      <w:rPr>
        <w:sz w:val="20"/>
      </w:rPr>
      <w:instrText xml:space="preserve"> STYLEREF CharAmPartText </w:instrText>
    </w:r>
    <w:r w:rsidR="003F583E">
      <w:rPr>
        <w:sz w:val="20"/>
      </w:rPr>
      <w:fldChar w:fldCharType="separate"/>
    </w:r>
    <w:r w:rsidR="003F583E">
      <w:rPr>
        <w:noProof/>
        <w:sz w:val="20"/>
      </w:rPr>
      <w:t>Fees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F583E">
      <w:rPr>
        <w:b/>
        <w:sz w:val="20"/>
      </w:rPr>
      <w:fldChar w:fldCharType="separate"/>
    </w:r>
    <w:r w:rsidR="003F583E">
      <w:rPr>
        <w:b/>
        <w:noProof/>
        <w:sz w:val="20"/>
      </w:rPr>
      <w:t>Part 8</w:t>
    </w:r>
    <w:r w:rsidRPr="00A961C4">
      <w:rPr>
        <w:b/>
        <w:sz w:val="20"/>
      </w:rPr>
      <w:fldChar w:fldCharType="end"/>
    </w:r>
  </w:p>
  <w:p w:rsidR="003C2CD6" w:rsidRPr="00A961C4" w:rsidRDefault="003C2CD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D6" w:rsidRPr="00A961C4" w:rsidRDefault="003C2CD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45"/>
    <w:rsid w:val="000113BC"/>
    <w:rsid w:val="000136AF"/>
    <w:rsid w:val="00021ADD"/>
    <w:rsid w:val="00022640"/>
    <w:rsid w:val="00036D4B"/>
    <w:rsid w:val="000370F0"/>
    <w:rsid w:val="000417C9"/>
    <w:rsid w:val="000446DB"/>
    <w:rsid w:val="00055B5C"/>
    <w:rsid w:val="00060FF9"/>
    <w:rsid w:val="000614BF"/>
    <w:rsid w:val="000902C1"/>
    <w:rsid w:val="000B1FD2"/>
    <w:rsid w:val="000B2E0F"/>
    <w:rsid w:val="000D05EF"/>
    <w:rsid w:val="000E2F86"/>
    <w:rsid w:val="000F1778"/>
    <w:rsid w:val="000F21C1"/>
    <w:rsid w:val="00101460"/>
    <w:rsid w:val="00101D90"/>
    <w:rsid w:val="0010745C"/>
    <w:rsid w:val="001137A3"/>
    <w:rsid w:val="00113BD1"/>
    <w:rsid w:val="00122206"/>
    <w:rsid w:val="001226F0"/>
    <w:rsid w:val="0012299F"/>
    <w:rsid w:val="0013548A"/>
    <w:rsid w:val="001363D6"/>
    <w:rsid w:val="00147E6D"/>
    <w:rsid w:val="00152770"/>
    <w:rsid w:val="0015499F"/>
    <w:rsid w:val="0015646E"/>
    <w:rsid w:val="00156EA5"/>
    <w:rsid w:val="001630A8"/>
    <w:rsid w:val="001643C9"/>
    <w:rsid w:val="00165568"/>
    <w:rsid w:val="00166C2F"/>
    <w:rsid w:val="001716C9"/>
    <w:rsid w:val="00173363"/>
    <w:rsid w:val="00173B94"/>
    <w:rsid w:val="001854B4"/>
    <w:rsid w:val="001906DD"/>
    <w:rsid w:val="001939E1"/>
    <w:rsid w:val="00195382"/>
    <w:rsid w:val="00197F64"/>
    <w:rsid w:val="001A3658"/>
    <w:rsid w:val="001A759A"/>
    <w:rsid w:val="001B7A5D"/>
    <w:rsid w:val="001C2418"/>
    <w:rsid w:val="001C69C4"/>
    <w:rsid w:val="001E3590"/>
    <w:rsid w:val="001E412B"/>
    <w:rsid w:val="001E7407"/>
    <w:rsid w:val="00201D27"/>
    <w:rsid w:val="00203D76"/>
    <w:rsid w:val="00206E75"/>
    <w:rsid w:val="00240749"/>
    <w:rsid w:val="00244FA0"/>
    <w:rsid w:val="00254E10"/>
    <w:rsid w:val="00256D22"/>
    <w:rsid w:val="00263820"/>
    <w:rsid w:val="00264911"/>
    <w:rsid w:val="002654AB"/>
    <w:rsid w:val="002704D2"/>
    <w:rsid w:val="002749B0"/>
    <w:rsid w:val="00291D91"/>
    <w:rsid w:val="00297ECB"/>
    <w:rsid w:val="002B23E9"/>
    <w:rsid w:val="002B5A30"/>
    <w:rsid w:val="002C40CA"/>
    <w:rsid w:val="002D043A"/>
    <w:rsid w:val="002D2BCB"/>
    <w:rsid w:val="002D395A"/>
    <w:rsid w:val="002F2B12"/>
    <w:rsid w:val="003059B1"/>
    <w:rsid w:val="00324B74"/>
    <w:rsid w:val="00324EE3"/>
    <w:rsid w:val="003415D3"/>
    <w:rsid w:val="00347999"/>
    <w:rsid w:val="00350417"/>
    <w:rsid w:val="00352029"/>
    <w:rsid w:val="00352B0F"/>
    <w:rsid w:val="00375C6C"/>
    <w:rsid w:val="00383055"/>
    <w:rsid w:val="00391D08"/>
    <w:rsid w:val="003979D1"/>
    <w:rsid w:val="003A240C"/>
    <w:rsid w:val="003C2CD6"/>
    <w:rsid w:val="003C5F2B"/>
    <w:rsid w:val="003C769A"/>
    <w:rsid w:val="003D049A"/>
    <w:rsid w:val="003D0BFE"/>
    <w:rsid w:val="003D0E42"/>
    <w:rsid w:val="003D5700"/>
    <w:rsid w:val="003F1A81"/>
    <w:rsid w:val="003F583E"/>
    <w:rsid w:val="00410B8E"/>
    <w:rsid w:val="004116CD"/>
    <w:rsid w:val="00421FC1"/>
    <w:rsid w:val="004229C7"/>
    <w:rsid w:val="00424CA9"/>
    <w:rsid w:val="00430626"/>
    <w:rsid w:val="00436785"/>
    <w:rsid w:val="00436BD5"/>
    <w:rsid w:val="00437157"/>
    <w:rsid w:val="00437E4B"/>
    <w:rsid w:val="0044291A"/>
    <w:rsid w:val="00456BA8"/>
    <w:rsid w:val="00465E7A"/>
    <w:rsid w:val="00471C6A"/>
    <w:rsid w:val="00476B0E"/>
    <w:rsid w:val="0048196B"/>
    <w:rsid w:val="0048364F"/>
    <w:rsid w:val="00496F97"/>
    <w:rsid w:val="004A5D14"/>
    <w:rsid w:val="004C67D2"/>
    <w:rsid w:val="004C7C8C"/>
    <w:rsid w:val="004E0B79"/>
    <w:rsid w:val="004E2A4A"/>
    <w:rsid w:val="004F0D23"/>
    <w:rsid w:val="004F1FAC"/>
    <w:rsid w:val="004F3B04"/>
    <w:rsid w:val="004F5757"/>
    <w:rsid w:val="00505CDB"/>
    <w:rsid w:val="00516B8D"/>
    <w:rsid w:val="00537FBC"/>
    <w:rsid w:val="00542B90"/>
    <w:rsid w:val="00543469"/>
    <w:rsid w:val="00545029"/>
    <w:rsid w:val="00551B54"/>
    <w:rsid w:val="005522E2"/>
    <w:rsid w:val="005646B6"/>
    <w:rsid w:val="005700EC"/>
    <w:rsid w:val="00574C21"/>
    <w:rsid w:val="00584811"/>
    <w:rsid w:val="00586009"/>
    <w:rsid w:val="0059375A"/>
    <w:rsid w:val="00593AA6"/>
    <w:rsid w:val="00594161"/>
    <w:rsid w:val="00594749"/>
    <w:rsid w:val="005A0D92"/>
    <w:rsid w:val="005B4067"/>
    <w:rsid w:val="005C3F41"/>
    <w:rsid w:val="005D4A4A"/>
    <w:rsid w:val="005E734D"/>
    <w:rsid w:val="00600219"/>
    <w:rsid w:val="00607EEA"/>
    <w:rsid w:val="00621CD6"/>
    <w:rsid w:val="00623BDB"/>
    <w:rsid w:val="00625E12"/>
    <w:rsid w:val="00641DE5"/>
    <w:rsid w:val="00642773"/>
    <w:rsid w:val="00656F0C"/>
    <w:rsid w:val="006614AD"/>
    <w:rsid w:val="00677CC2"/>
    <w:rsid w:val="00681F92"/>
    <w:rsid w:val="006842C2"/>
    <w:rsid w:val="00685F42"/>
    <w:rsid w:val="0069207B"/>
    <w:rsid w:val="00694913"/>
    <w:rsid w:val="006A01BD"/>
    <w:rsid w:val="006C2874"/>
    <w:rsid w:val="006C3CD5"/>
    <w:rsid w:val="006C62E3"/>
    <w:rsid w:val="006C7F8C"/>
    <w:rsid w:val="006D380D"/>
    <w:rsid w:val="006D3B64"/>
    <w:rsid w:val="006E0135"/>
    <w:rsid w:val="006E303A"/>
    <w:rsid w:val="006F7E19"/>
    <w:rsid w:val="00700B2C"/>
    <w:rsid w:val="00712D8D"/>
    <w:rsid w:val="00713084"/>
    <w:rsid w:val="007149A8"/>
    <w:rsid w:val="00714B26"/>
    <w:rsid w:val="007271FF"/>
    <w:rsid w:val="00731E00"/>
    <w:rsid w:val="0073290C"/>
    <w:rsid w:val="00734FE7"/>
    <w:rsid w:val="007440B7"/>
    <w:rsid w:val="00747DD7"/>
    <w:rsid w:val="007634AD"/>
    <w:rsid w:val="007715C9"/>
    <w:rsid w:val="00774EDD"/>
    <w:rsid w:val="00775026"/>
    <w:rsid w:val="007757EC"/>
    <w:rsid w:val="00777B71"/>
    <w:rsid w:val="00784FE3"/>
    <w:rsid w:val="00795012"/>
    <w:rsid w:val="007A07BA"/>
    <w:rsid w:val="007B1622"/>
    <w:rsid w:val="007B6F6F"/>
    <w:rsid w:val="007E7D4A"/>
    <w:rsid w:val="008006CC"/>
    <w:rsid w:val="00807F18"/>
    <w:rsid w:val="00811103"/>
    <w:rsid w:val="008239F3"/>
    <w:rsid w:val="00823E53"/>
    <w:rsid w:val="00824A64"/>
    <w:rsid w:val="00850AEB"/>
    <w:rsid w:val="00856A31"/>
    <w:rsid w:val="00857D6B"/>
    <w:rsid w:val="008754D0"/>
    <w:rsid w:val="00877D48"/>
    <w:rsid w:val="00883781"/>
    <w:rsid w:val="00885570"/>
    <w:rsid w:val="00887D55"/>
    <w:rsid w:val="00893958"/>
    <w:rsid w:val="008A2E77"/>
    <w:rsid w:val="008C6F6F"/>
    <w:rsid w:val="008D0EE0"/>
    <w:rsid w:val="008F4F1C"/>
    <w:rsid w:val="008F77C4"/>
    <w:rsid w:val="00900EB0"/>
    <w:rsid w:val="00903DF8"/>
    <w:rsid w:val="009103F3"/>
    <w:rsid w:val="00923330"/>
    <w:rsid w:val="00926F66"/>
    <w:rsid w:val="00932377"/>
    <w:rsid w:val="00936BE3"/>
    <w:rsid w:val="00945436"/>
    <w:rsid w:val="0096305E"/>
    <w:rsid w:val="00967042"/>
    <w:rsid w:val="009672FF"/>
    <w:rsid w:val="0098255A"/>
    <w:rsid w:val="009845BE"/>
    <w:rsid w:val="009969C9"/>
    <w:rsid w:val="009A627D"/>
    <w:rsid w:val="009B40E3"/>
    <w:rsid w:val="009B4F46"/>
    <w:rsid w:val="009B7A69"/>
    <w:rsid w:val="009E3A03"/>
    <w:rsid w:val="009E7AB4"/>
    <w:rsid w:val="00A05AA6"/>
    <w:rsid w:val="00A10775"/>
    <w:rsid w:val="00A21862"/>
    <w:rsid w:val="00A231E2"/>
    <w:rsid w:val="00A36C48"/>
    <w:rsid w:val="00A64912"/>
    <w:rsid w:val="00A677C4"/>
    <w:rsid w:val="00A70A74"/>
    <w:rsid w:val="00A8453E"/>
    <w:rsid w:val="00AA01CC"/>
    <w:rsid w:val="00AA3795"/>
    <w:rsid w:val="00AA58D7"/>
    <w:rsid w:val="00AC1E75"/>
    <w:rsid w:val="00AC3DBC"/>
    <w:rsid w:val="00AD2576"/>
    <w:rsid w:val="00AD5641"/>
    <w:rsid w:val="00AE1088"/>
    <w:rsid w:val="00AE6BF3"/>
    <w:rsid w:val="00AF5E72"/>
    <w:rsid w:val="00B032D8"/>
    <w:rsid w:val="00B070B3"/>
    <w:rsid w:val="00B200F3"/>
    <w:rsid w:val="00B20EB5"/>
    <w:rsid w:val="00B23D12"/>
    <w:rsid w:val="00B33B3C"/>
    <w:rsid w:val="00B544BF"/>
    <w:rsid w:val="00B57CB3"/>
    <w:rsid w:val="00B6382D"/>
    <w:rsid w:val="00B63BF3"/>
    <w:rsid w:val="00B76EA1"/>
    <w:rsid w:val="00B93A66"/>
    <w:rsid w:val="00BA5026"/>
    <w:rsid w:val="00BB40BF"/>
    <w:rsid w:val="00BD34F3"/>
    <w:rsid w:val="00BE4DF7"/>
    <w:rsid w:val="00BE719A"/>
    <w:rsid w:val="00BE720A"/>
    <w:rsid w:val="00BF0461"/>
    <w:rsid w:val="00BF1AF1"/>
    <w:rsid w:val="00BF4944"/>
    <w:rsid w:val="00C04409"/>
    <w:rsid w:val="00C067E5"/>
    <w:rsid w:val="00C101CC"/>
    <w:rsid w:val="00C164CA"/>
    <w:rsid w:val="00C176CF"/>
    <w:rsid w:val="00C17A90"/>
    <w:rsid w:val="00C276E6"/>
    <w:rsid w:val="00C31380"/>
    <w:rsid w:val="00C42BF8"/>
    <w:rsid w:val="00C460AE"/>
    <w:rsid w:val="00C4656B"/>
    <w:rsid w:val="00C47C6B"/>
    <w:rsid w:val="00C50043"/>
    <w:rsid w:val="00C54E84"/>
    <w:rsid w:val="00C706BF"/>
    <w:rsid w:val="00C7573B"/>
    <w:rsid w:val="00C76715"/>
    <w:rsid w:val="00C76CF3"/>
    <w:rsid w:val="00C8092A"/>
    <w:rsid w:val="00C9730A"/>
    <w:rsid w:val="00CA3CB6"/>
    <w:rsid w:val="00CB2D2D"/>
    <w:rsid w:val="00CC4C2E"/>
    <w:rsid w:val="00CC79CA"/>
    <w:rsid w:val="00CD5870"/>
    <w:rsid w:val="00CE0BEF"/>
    <w:rsid w:val="00CE1E31"/>
    <w:rsid w:val="00CE2312"/>
    <w:rsid w:val="00CF0BB2"/>
    <w:rsid w:val="00D00EAA"/>
    <w:rsid w:val="00D13441"/>
    <w:rsid w:val="00D243A3"/>
    <w:rsid w:val="00D477C3"/>
    <w:rsid w:val="00D51A7A"/>
    <w:rsid w:val="00D52EFE"/>
    <w:rsid w:val="00D63EF6"/>
    <w:rsid w:val="00D70DFB"/>
    <w:rsid w:val="00D73029"/>
    <w:rsid w:val="00D749E9"/>
    <w:rsid w:val="00D766DF"/>
    <w:rsid w:val="00D83592"/>
    <w:rsid w:val="00DA1EDD"/>
    <w:rsid w:val="00DA720B"/>
    <w:rsid w:val="00DB57B5"/>
    <w:rsid w:val="00DD336C"/>
    <w:rsid w:val="00DD616D"/>
    <w:rsid w:val="00DF193A"/>
    <w:rsid w:val="00DF709C"/>
    <w:rsid w:val="00DF7AE9"/>
    <w:rsid w:val="00E01F49"/>
    <w:rsid w:val="00E04C42"/>
    <w:rsid w:val="00E05704"/>
    <w:rsid w:val="00E2313F"/>
    <w:rsid w:val="00E24D66"/>
    <w:rsid w:val="00E35FFE"/>
    <w:rsid w:val="00E54292"/>
    <w:rsid w:val="00E662B1"/>
    <w:rsid w:val="00E672D2"/>
    <w:rsid w:val="00E71F88"/>
    <w:rsid w:val="00E74DC7"/>
    <w:rsid w:val="00E87699"/>
    <w:rsid w:val="00EA65AE"/>
    <w:rsid w:val="00ED321B"/>
    <w:rsid w:val="00ED32DE"/>
    <w:rsid w:val="00ED492F"/>
    <w:rsid w:val="00EE55F9"/>
    <w:rsid w:val="00EF2E3A"/>
    <w:rsid w:val="00EF5842"/>
    <w:rsid w:val="00F047E2"/>
    <w:rsid w:val="00F078DC"/>
    <w:rsid w:val="00F07D8F"/>
    <w:rsid w:val="00F13E86"/>
    <w:rsid w:val="00F15345"/>
    <w:rsid w:val="00F17B00"/>
    <w:rsid w:val="00F32978"/>
    <w:rsid w:val="00F371A8"/>
    <w:rsid w:val="00F404C6"/>
    <w:rsid w:val="00F44321"/>
    <w:rsid w:val="00F57066"/>
    <w:rsid w:val="00F677A9"/>
    <w:rsid w:val="00F80FC9"/>
    <w:rsid w:val="00F84CF5"/>
    <w:rsid w:val="00F85F67"/>
    <w:rsid w:val="00FA420B"/>
    <w:rsid w:val="00FB22E1"/>
    <w:rsid w:val="00FB69A9"/>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1A7A"/>
    <w:pPr>
      <w:spacing w:line="260" w:lineRule="atLeast"/>
    </w:pPr>
    <w:rPr>
      <w:sz w:val="22"/>
    </w:rPr>
  </w:style>
  <w:style w:type="paragraph" w:styleId="Heading1">
    <w:name w:val="heading 1"/>
    <w:basedOn w:val="Normal"/>
    <w:next w:val="Normal"/>
    <w:link w:val="Heading1Char"/>
    <w:uiPriority w:val="9"/>
    <w:qFormat/>
    <w:rsid w:val="00CC4C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4C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4C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4C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4C2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4C2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C4C2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4C2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C4C2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1A7A"/>
  </w:style>
  <w:style w:type="paragraph" w:customStyle="1" w:styleId="OPCParaBase">
    <w:name w:val="OPCParaBase"/>
    <w:link w:val="OPCParaBaseChar"/>
    <w:qFormat/>
    <w:rsid w:val="00D51A7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51A7A"/>
    <w:pPr>
      <w:spacing w:line="240" w:lineRule="auto"/>
    </w:pPr>
    <w:rPr>
      <w:b/>
      <w:sz w:val="40"/>
    </w:rPr>
  </w:style>
  <w:style w:type="paragraph" w:customStyle="1" w:styleId="ActHead1">
    <w:name w:val="ActHead 1"/>
    <w:aliases w:val="c"/>
    <w:basedOn w:val="OPCParaBase"/>
    <w:next w:val="Normal"/>
    <w:qFormat/>
    <w:rsid w:val="00D51A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1A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1A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1A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51A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1A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1A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1A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1A7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51A7A"/>
  </w:style>
  <w:style w:type="paragraph" w:customStyle="1" w:styleId="Blocks">
    <w:name w:val="Blocks"/>
    <w:aliases w:val="bb"/>
    <w:basedOn w:val="OPCParaBase"/>
    <w:qFormat/>
    <w:rsid w:val="00D51A7A"/>
    <w:pPr>
      <w:spacing w:line="240" w:lineRule="auto"/>
    </w:pPr>
    <w:rPr>
      <w:sz w:val="24"/>
    </w:rPr>
  </w:style>
  <w:style w:type="paragraph" w:customStyle="1" w:styleId="BoxText">
    <w:name w:val="BoxText"/>
    <w:aliases w:val="bt"/>
    <w:basedOn w:val="OPCParaBase"/>
    <w:qFormat/>
    <w:rsid w:val="00D51A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1A7A"/>
    <w:rPr>
      <w:b/>
    </w:rPr>
  </w:style>
  <w:style w:type="paragraph" w:customStyle="1" w:styleId="BoxHeadItalic">
    <w:name w:val="BoxHeadItalic"/>
    <w:aliases w:val="bhi"/>
    <w:basedOn w:val="BoxText"/>
    <w:next w:val="BoxStep"/>
    <w:qFormat/>
    <w:rsid w:val="00D51A7A"/>
    <w:rPr>
      <w:i/>
    </w:rPr>
  </w:style>
  <w:style w:type="paragraph" w:customStyle="1" w:styleId="BoxList">
    <w:name w:val="BoxList"/>
    <w:aliases w:val="bl"/>
    <w:basedOn w:val="BoxText"/>
    <w:qFormat/>
    <w:rsid w:val="00D51A7A"/>
    <w:pPr>
      <w:ind w:left="1559" w:hanging="425"/>
    </w:pPr>
  </w:style>
  <w:style w:type="paragraph" w:customStyle="1" w:styleId="BoxNote">
    <w:name w:val="BoxNote"/>
    <w:aliases w:val="bn"/>
    <w:basedOn w:val="BoxText"/>
    <w:qFormat/>
    <w:rsid w:val="00D51A7A"/>
    <w:pPr>
      <w:tabs>
        <w:tab w:val="left" w:pos="1985"/>
      </w:tabs>
      <w:spacing w:before="122" w:line="198" w:lineRule="exact"/>
      <w:ind w:left="2948" w:hanging="1814"/>
    </w:pPr>
    <w:rPr>
      <w:sz w:val="18"/>
    </w:rPr>
  </w:style>
  <w:style w:type="paragraph" w:customStyle="1" w:styleId="BoxPara">
    <w:name w:val="BoxPara"/>
    <w:aliases w:val="bp"/>
    <w:basedOn w:val="BoxText"/>
    <w:qFormat/>
    <w:rsid w:val="00D51A7A"/>
    <w:pPr>
      <w:tabs>
        <w:tab w:val="right" w:pos="2268"/>
      </w:tabs>
      <w:ind w:left="2552" w:hanging="1418"/>
    </w:pPr>
  </w:style>
  <w:style w:type="paragraph" w:customStyle="1" w:styleId="BoxStep">
    <w:name w:val="BoxStep"/>
    <w:aliases w:val="bs"/>
    <w:basedOn w:val="BoxText"/>
    <w:qFormat/>
    <w:rsid w:val="00D51A7A"/>
    <w:pPr>
      <w:ind w:left="1985" w:hanging="851"/>
    </w:pPr>
  </w:style>
  <w:style w:type="character" w:customStyle="1" w:styleId="CharAmPartNo">
    <w:name w:val="CharAmPartNo"/>
    <w:basedOn w:val="OPCCharBase"/>
    <w:qFormat/>
    <w:rsid w:val="00D51A7A"/>
  </w:style>
  <w:style w:type="character" w:customStyle="1" w:styleId="CharAmPartText">
    <w:name w:val="CharAmPartText"/>
    <w:basedOn w:val="OPCCharBase"/>
    <w:qFormat/>
    <w:rsid w:val="00D51A7A"/>
  </w:style>
  <w:style w:type="character" w:customStyle="1" w:styleId="CharAmSchNo">
    <w:name w:val="CharAmSchNo"/>
    <w:basedOn w:val="OPCCharBase"/>
    <w:qFormat/>
    <w:rsid w:val="00D51A7A"/>
  </w:style>
  <w:style w:type="character" w:customStyle="1" w:styleId="CharAmSchText">
    <w:name w:val="CharAmSchText"/>
    <w:basedOn w:val="OPCCharBase"/>
    <w:qFormat/>
    <w:rsid w:val="00D51A7A"/>
  </w:style>
  <w:style w:type="character" w:customStyle="1" w:styleId="CharBoldItalic">
    <w:name w:val="CharBoldItalic"/>
    <w:basedOn w:val="OPCCharBase"/>
    <w:uiPriority w:val="1"/>
    <w:qFormat/>
    <w:rsid w:val="00D51A7A"/>
    <w:rPr>
      <w:b/>
      <w:i/>
    </w:rPr>
  </w:style>
  <w:style w:type="character" w:customStyle="1" w:styleId="CharChapNo">
    <w:name w:val="CharChapNo"/>
    <w:basedOn w:val="OPCCharBase"/>
    <w:uiPriority w:val="1"/>
    <w:qFormat/>
    <w:rsid w:val="00D51A7A"/>
  </w:style>
  <w:style w:type="character" w:customStyle="1" w:styleId="CharChapText">
    <w:name w:val="CharChapText"/>
    <w:basedOn w:val="OPCCharBase"/>
    <w:uiPriority w:val="1"/>
    <w:qFormat/>
    <w:rsid w:val="00D51A7A"/>
  </w:style>
  <w:style w:type="character" w:customStyle="1" w:styleId="CharDivNo">
    <w:name w:val="CharDivNo"/>
    <w:basedOn w:val="OPCCharBase"/>
    <w:uiPriority w:val="1"/>
    <w:qFormat/>
    <w:rsid w:val="00D51A7A"/>
  </w:style>
  <w:style w:type="character" w:customStyle="1" w:styleId="CharDivText">
    <w:name w:val="CharDivText"/>
    <w:basedOn w:val="OPCCharBase"/>
    <w:uiPriority w:val="1"/>
    <w:qFormat/>
    <w:rsid w:val="00D51A7A"/>
  </w:style>
  <w:style w:type="character" w:customStyle="1" w:styleId="CharItalic">
    <w:name w:val="CharItalic"/>
    <w:basedOn w:val="OPCCharBase"/>
    <w:uiPriority w:val="1"/>
    <w:qFormat/>
    <w:rsid w:val="00D51A7A"/>
    <w:rPr>
      <w:i/>
    </w:rPr>
  </w:style>
  <w:style w:type="character" w:customStyle="1" w:styleId="CharPartNo">
    <w:name w:val="CharPartNo"/>
    <w:basedOn w:val="OPCCharBase"/>
    <w:uiPriority w:val="1"/>
    <w:qFormat/>
    <w:rsid w:val="00D51A7A"/>
  </w:style>
  <w:style w:type="character" w:customStyle="1" w:styleId="CharPartText">
    <w:name w:val="CharPartText"/>
    <w:basedOn w:val="OPCCharBase"/>
    <w:uiPriority w:val="1"/>
    <w:qFormat/>
    <w:rsid w:val="00D51A7A"/>
  </w:style>
  <w:style w:type="character" w:customStyle="1" w:styleId="CharSectno">
    <w:name w:val="CharSectno"/>
    <w:basedOn w:val="OPCCharBase"/>
    <w:qFormat/>
    <w:rsid w:val="00D51A7A"/>
  </w:style>
  <w:style w:type="character" w:customStyle="1" w:styleId="CharSubdNo">
    <w:name w:val="CharSubdNo"/>
    <w:basedOn w:val="OPCCharBase"/>
    <w:uiPriority w:val="1"/>
    <w:qFormat/>
    <w:rsid w:val="00D51A7A"/>
  </w:style>
  <w:style w:type="character" w:customStyle="1" w:styleId="CharSubdText">
    <w:name w:val="CharSubdText"/>
    <w:basedOn w:val="OPCCharBase"/>
    <w:uiPriority w:val="1"/>
    <w:qFormat/>
    <w:rsid w:val="00D51A7A"/>
  </w:style>
  <w:style w:type="paragraph" w:customStyle="1" w:styleId="CTA--">
    <w:name w:val="CTA --"/>
    <w:basedOn w:val="OPCParaBase"/>
    <w:next w:val="Normal"/>
    <w:rsid w:val="00D51A7A"/>
    <w:pPr>
      <w:spacing w:before="60" w:line="240" w:lineRule="atLeast"/>
      <w:ind w:left="142" w:hanging="142"/>
    </w:pPr>
    <w:rPr>
      <w:sz w:val="20"/>
    </w:rPr>
  </w:style>
  <w:style w:type="paragraph" w:customStyle="1" w:styleId="CTA-">
    <w:name w:val="CTA -"/>
    <w:basedOn w:val="OPCParaBase"/>
    <w:rsid w:val="00D51A7A"/>
    <w:pPr>
      <w:spacing w:before="60" w:line="240" w:lineRule="atLeast"/>
      <w:ind w:left="85" w:hanging="85"/>
    </w:pPr>
    <w:rPr>
      <w:sz w:val="20"/>
    </w:rPr>
  </w:style>
  <w:style w:type="paragraph" w:customStyle="1" w:styleId="CTA---">
    <w:name w:val="CTA ---"/>
    <w:basedOn w:val="OPCParaBase"/>
    <w:next w:val="Normal"/>
    <w:rsid w:val="00D51A7A"/>
    <w:pPr>
      <w:spacing w:before="60" w:line="240" w:lineRule="atLeast"/>
      <w:ind w:left="198" w:hanging="198"/>
    </w:pPr>
    <w:rPr>
      <w:sz w:val="20"/>
    </w:rPr>
  </w:style>
  <w:style w:type="paragraph" w:customStyle="1" w:styleId="CTA----">
    <w:name w:val="CTA ----"/>
    <w:basedOn w:val="OPCParaBase"/>
    <w:next w:val="Normal"/>
    <w:rsid w:val="00D51A7A"/>
    <w:pPr>
      <w:spacing w:before="60" w:line="240" w:lineRule="atLeast"/>
      <w:ind w:left="255" w:hanging="255"/>
    </w:pPr>
    <w:rPr>
      <w:sz w:val="20"/>
    </w:rPr>
  </w:style>
  <w:style w:type="paragraph" w:customStyle="1" w:styleId="CTA1a">
    <w:name w:val="CTA 1(a)"/>
    <w:basedOn w:val="OPCParaBase"/>
    <w:rsid w:val="00D51A7A"/>
    <w:pPr>
      <w:tabs>
        <w:tab w:val="right" w:pos="414"/>
      </w:tabs>
      <w:spacing w:before="40" w:line="240" w:lineRule="atLeast"/>
      <w:ind w:left="675" w:hanging="675"/>
    </w:pPr>
    <w:rPr>
      <w:sz w:val="20"/>
    </w:rPr>
  </w:style>
  <w:style w:type="paragraph" w:customStyle="1" w:styleId="CTA1ai">
    <w:name w:val="CTA 1(a)(i)"/>
    <w:basedOn w:val="OPCParaBase"/>
    <w:rsid w:val="00D51A7A"/>
    <w:pPr>
      <w:tabs>
        <w:tab w:val="right" w:pos="1004"/>
      </w:tabs>
      <w:spacing w:before="40" w:line="240" w:lineRule="atLeast"/>
      <w:ind w:left="1253" w:hanging="1253"/>
    </w:pPr>
    <w:rPr>
      <w:sz w:val="20"/>
    </w:rPr>
  </w:style>
  <w:style w:type="paragraph" w:customStyle="1" w:styleId="CTA2a">
    <w:name w:val="CTA 2(a)"/>
    <w:basedOn w:val="OPCParaBase"/>
    <w:rsid w:val="00D51A7A"/>
    <w:pPr>
      <w:tabs>
        <w:tab w:val="right" w:pos="482"/>
      </w:tabs>
      <w:spacing w:before="40" w:line="240" w:lineRule="atLeast"/>
      <w:ind w:left="748" w:hanging="748"/>
    </w:pPr>
    <w:rPr>
      <w:sz w:val="20"/>
    </w:rPr>
  </w:style>
  <w:style w:type="paragraph" w:customStyle="1" w:styleId="CTA2ai">
    <w:name w:val="CTA 2(a)(i)"/>
    <w:basedOn w:val="OPCParaBase"/>
    <w:rsid w:val="00D51A7A"/>
    <w:pPr>
      <w:tabs>
        <w:tab w:val="right" w:pos="1089"/>
      </w:tabs>
      <w:spacing w:before="40" w:line="240" w:lineRule="atLeast"/>
      <w:ind w:left="1327" w:hanging="1327"/>
    </w:pPr>
    <w:rPr>
      <w:sz w:val="20"/>
    </w:rPr>
  </w:style>
  <w:style w:type="paragraph" w:customStyle="1" w:styleId="CTA3a">
    <w:name w:val="CTA 3(a)"/>
    <w:basedOn w:val="OPCParaBase"/>
    <w:rsid w:val="00D51A7A"/>
    <w:pPr>
      <w:tabs>
        <w:tab w:val="right" w:pos="556"/>
      </w:tabs>
      <w:spacing w:before="40" w:line="240" w:lineRule="atLeast"/>
      <w:ind w:left="805" w:hanging="805"/>
    </w:pPr>
    <w:rPr>
      <w:sz w:val="20"/>
    </w:rPr>
  </w:style>
  <w:style w:type="paragraph" w:customStyle="1" w:styleId="CTA3ai">
    <w:name w:val="CTA 3(a)(i)"/>
    <w:basedOn w:val="OPCParaBase"/>
    <w:rsid w:val="00D51A7A"/>
    <w:pPr>
      <w:tabs>
        <w:tab w:val="right" w:pos="1140"/>
      </w:tabs>
      <w:spacing w:before="40" w:line="240" w:lineRule="atLeast"/>
      <w:ind w:left="1361" w:hanging="1361"/>
    </w:pPr>
    <w:rPr>
      <w:sz w:val="20"/>
    </w:rPr>
  </w:style>
  <w:style w:type="paragraph" w:customStyle="1" w:styleId="CTA4a">
    <w:name w:val="CTA 4(a)"/>
    <w:basedOn w:val="OPCParaBase"/>
    <w:rsid w:val="00D51A7A"/>
    <w:pPr>
      <w:tabs>
        <w:tab w:val="right" w:pos="624"/>
      </w:tabs>
      <w:spacing w:before="40" w:line="240" w:lineRule="atLeast"/>
      <w:ind w:left="873" w:hanging="873"/>
    </w:pPr>
    <w:rPr>
      <w:sz w:val="20"/>
    </w:rPr>
  </w:style>
  <w:style w:type="paragraph" w:customStyle="1" w:styleId="CTA4ai">
    <w:name w:val="CTA 4(a)(i)"/>
    <w:basedOn w:val="OPCParaBase"/>
    <w:rsid w:val="00D51A7A"/>
    <w:pPr>
      <w:tabs>
        <w:tab w:val="right" w:pos="1213"/>
      </w:tabs>
      <w:spacing w:before="40" w:line="240" w:lineRule="atLeast"/>
      <w:ind w:left="1452" w:hanging="1452"/>
    </w:pPr>
    <w:rPr>
      <w:sz w:val="20"/>
    </w:rPr>
  </w:style>
  <w:style w:type="paragraph" w:customStyle="1" w:styleId="CTACAPS">
    <w:name w:val="CTA CAPS"/>
    <w:basedOn w:val="OPCParaBase"/>
    <w:rsid w:val="00D51A7A"/>
    <w:pPr>
      <w:spacing w:before="60" w:line="240" w:lineRule="atLeast"/>
    </w:pPr>
    <w:rPr>
      <w:sz w:val="20"/>
    </w:rPr>
  </w:style>
  <w:style w:type="paragraph" w:customStyle="1" w:styleId="CTAright">
    <w:name w:val="CTA right"/>
    <w:basedOn w:val="OPCParaBase"/>
    <w:rsid w:val="00D51A7A"/>
    <w:pPr>
      <w:spacing w:before="60" w:line="240" w:lineRule="auto"/>
      <w:jc w:val="right"/>
    </w:pPr>
    <w:rPr>
      <w:sz w:val="20"/>
    </w:rPr>
  </w:style>
  <w:style w:type="paragraph" w:customStyle="1" w:styleId="subsection">
    <w:name w:val="subsection"/>
    <w:aliases w:val="ss"/>
    <w:basedOn w:val="OPCParaBase"/>
    <w:link w:val="subsectionChar"/>
    <w:rsid w:val="00D51A7A"/>
    <w:pPr>
      <w:tabs>
        <w:tab w:val="right" w:pos="1021"/>
      </w:tabs>
      <w:spacing w:before="180" w:line="240" w:lineRule="auto"/>
      <w:ind w:left="1134" w:hanging="1134"/>
    </w:pPr>
  </w:style>
  <w:style w:type="paragraph" w:customStyle="1" w:styleId="Definition">
    <w:name w:val="Definition"/>
    <w:aliases w:val="dd"/>
    <w:basedOn w:val="OPCParaBase"/>
    <w:rsid w:val="00D51A7A"/>
    <w:pPr>
      <w:spacing w:before="180" w:line="240" w:lineRule="auto"/>
      <w:ind w:left="1134"/>
    </w:pPr>
  </w:style>
  <w:style w:type="paragraph" w:customStyle="1" w:styleId="ETAsubitem">
    <w:name w:val="ETA(subitem)"/>
    <w:basedOn w:val="OPCParaBase"/>
    <w:rsid w:val="00D51A7A"/>
    <w:pPr>
      <w:tabs>
        <w:tab w:val="right" w:pos="340"/>
      </w:tabs>
      <w:spacing w:before="60" w:line="240" w:lineRule="auto"/>
      <w:ind w:left="454" w:hanging="454"/>
    </w:pPr>
    <w:rPr>
      <w:sz w:val="20"/>
    </w:rPr>
  </w:style>
  <w:style w:type="paragraph" w:customStyle="1" w:styleId="ETApara">
    <w:name w:val="ETA(para)"/>
    <w:basedOn w:val="OPCParaBase"/>
    <w:rsid w:val="00D51A7A"/>
    <w:pPr>
      <w:tabs>
        <w:tab w:val="right" w:pos="754"/>
      </w:tabs>
      <w:spacing w:before="60" w:line="240" w:lineRule="auto"/>
      <w:ind w:left="828" w:hanging="828"/>
    </w:pPr>
    <w:rPr>
      <w:sz w:val="20"/>
    </w:rPr>
  </w:style>
  <w:style w:type="paragraph" w:customStyle="1" w:styleId="ETAsubpara">
    <w:name w:val="ETA(subpara)"/>
    <w:basedOn w:val="OPCParaBase"/>
    <w:rsid w:val="00D51A7A"/>
    <w:pPr>
      <w:tabs>
        <w:tab w:val="right" w:pos="1083"/>
      </w:tabs>
      <w:spacing w:before="60" w:line="240" w:lineRule="auto"/>
      <w:ind w:left="1191" w:hanging="1191"/>
    </w:pPr>
    <w:rPr>
      <w:sz w:val="20"/>
    </w:rPr>
  </w:style>
  <w:style w:type="paragraph" w:customStyle="1" w:styleId="ETAsub-subpara">
    <w:name w:val="ETA(sub-subpara)"/>
    <w:basedOn w:val="OPCParaBase"/>
    <w:rsid w:val="00D51A7A"/>
    <w:pPr>
      <w:tabs>
        <w:tab w:val="right" w:pos="1412"/>
      </w:tabs>
      <w:spacing w:before="60" w:line="240" w:lineRule="auto"/>
      <w:ind w:left="1525" w:hanging="1525"/>
    </w:pPr>
    <w:rPr>
      <w:sz w:val="20"/>
    </w:rPr>
  </w:style>
  <w:style w:type="paragraph" w:customStyle="1" w:styleId="Formula">
    <w:name w:val="Formula"/>
    <w:basedOn w:val="OPCParaBase"/>
    <w:rsid w:val="00D51A7A"/>
    <w:pPr>
      <w:spacing w:line="240" w:lineRule="auto"/>
      <w:ind w:left="1134"/>
    </w:pPr>
    <w:rPr>
      <w:sz w:val="20"/>
    </w:rPr>
  </w:style>
  <w:style w:type="paragraph" w:styleId="Header">
    <w:name w:val="header"/>
    <w:basedOn w:val="OPCParaBase"/>
    <w:link w:val="HeaderChar"/>
    <w:unhideWhenUsed/>
    <w:rsid w:val="00D51A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1A7A"/>
    <w:rPr>
      <w:rFonts w:eastAsia="Times New Roman" w:cs="Times New Roman"/>
      <w:sz w:val="16"/>
      <w:lang w:eastAsia="en-AU"/>
    </w:rPr>
  </w:style>
  <w:style w:type="paragraph" w:customStyle="1" w:styleId="House">
    <w:name w:val="House"/>
    <w:basedOn w:val="OPCParaBase"/>
    <w:rsid w:val="00D51A7A"/>
    <w:pPr>
      <w:spacing w:line="240" w:lineRule="auto"/>
    </w:pPr>
    <w:rPr>
      <w:sz w:val="28"/>
    </w:rPr>
  </w:style>
  <w:style w:type="paragraph" w:customStyle="1" w:styleId="Item">
    <w:name w:val="Item"/>
    <w:aliases w:val="i"/>
    <w:basedOn w:val="OPCParaBase"/>
    <w:next w:val="ItemHead"/>
    <w:rsid w:val="00D51A7A"/>
    <w:pPr>
      <w:keepLines/>
      <w:spacing w:before="80" w:line="240" w:lineRule="auto"/>
      <w:ind w:left="709"/>
    </w:pPr>
  </w:style>
  <w:style w:type="paragraph" w:customStyle="1" w:styleId="ItemHead">
    <w:name w:val="ItemHead"/>
    <w:aliases w:val="ih"/>
    <w:basedOn w:val="OPCParaBase"/>
    <w:next w:val="Item"/>
    <w:link w:val="ItemHeadChar"/>
    <w:rsid w:val="00D51A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51A7A"/>
    <w:pPr>
      <w:spacing w:line="240" w:lineRule="auto"/>
    </w:pPr>
    <w:rPr>
      <w:b/>
      <w:sz w:val="32"/>
    </w:rPr>
  </w:style>
  <w:style w:type="paragraph" w:customStyle="1" w:styleId="notedraft">
    <w:name w:val="note(draft)"/>
    <w:aliases w:val="nd"/>
    <w:basedOn w:val="OPCParaBase"/>
    <w:rsid w:val="00D51A7A"/>
    <w:pPr>
      <w:spacing w:before="240" w:line="240" w:lineRule="auto"/>
      <w:ind w:left="284" w:hanging="284"/>
    </w:pPr>
    <w:rPr>
      <w:i/>
      <w:sz w:val="24"/>
    </w:rPr>
  </w:style>
  <w:style w:type="paragraph" w:customStyle="1" w:styleId="notemargin">
    <w:name w:val="note(margin)"/>
    <w:aliases w:val="nm"/>
    <w:basedOn w:val="OPCParaBase"/>
    <w:rsid w:val="00D51A7A"/>
    <w:pPr>
      <w:tabs>
        <w:tab w:val="left" w:pos="709"/>
      </w:tabs>
      <w:spacing w:before="122" w:line="198" w:lineRule="exact"/>
      <w:ind w:left="709" w:hanging="709"/>
    </w:pPr>
    <w:rPr>
      <w:sz w:val="18"/>
    </w:rPr>
  </w:style>
  <w:style w:type="paragraph" w:customStyle="1" w:styleId="noteToPara">
    <w:name w:val="noteToPara"/>
    <w:aliases w:val="ntp"/>
    <w:basedOn w:val="OPCParaBase"/>
    <w:rsid w:val="00D51A7A"/>
    <w:pPr>
      <w:spacing w:before="122" w:line="198" w:lineRule="exact"/>
      <w:ind w:left="2353" w:hanging="709"/>
    </w:pPr>
    <w:rPr>
      <w:sz w:val="18"/>
    </w:rPr>
  </w:style>
  <w:style w:type="paragraph" w:customStyle="1" w:styleId="noteParlAmend">
    <w:name w:val="note(ParlAmend)"/>
    <w:aliases w:val="npp"/>
    <w:basedOn w:val="OPCParaBase"/>
    <w:next w:val="ParlAmend"/>
    <w:rsid w:val="00D51A7A"/>
    <w:pPr>
      <w:spacing w:line="240" w:lineRule="auto"/>
      <w:jc w:val="right"/>
    </w:pPr>
    <w:rPr>
      <w:rFonts w:ascii="Arial" w:hAnsi="Arial"/>
      <w:b/>
      <w:i/>
    </w:rPr>
  </w:style>
  <w:style w:type="paragraph" w:customStyle="1" w:styleId="Page1">
    <w:name w:val="Page1"/>
    <w:basedOn w:val="OPCParaBase"/>
    <w:rsid w:val="00D51A7A"/>
    <w:pPr>
      <w:spacing w:before="400" w:line="240" w:lineRule="auto"/>
    </w:pPr>
    <w:rPr>
      <w:b/>
      <w:sz w:val="32"/>
    </w:rPr>
  </w:style>
  <w:style w:type="paragraph" w:customStyle="1" w:styleId="PageBreak">
    <w:name w:val="PageBreak"/>
    <w:aliases w:val="pb"/>
    <w:basedOn w:val="OPCParaBase"/>
    <w:rsid w:val="00D51A7A"/>
    <w:pPr>
      <w:spacing w:line="240" w:lineRule="auto"/>
    </w:pPr>
    <w:rPr>
      <w:sz w:val="20"/>
    </w:rPr>
  </w:style>
  <w:style w:type="paragraph" w:customStyle="1" w:styleId="paragraphsub">
    <w:name w:val="paragraph(sub)"/>
    <w:aliases w:val="aa"/>
    <w:basedOn w:val="OPCParaBase"/>
    <w:rsid w:val="00D51A7A"/>
    <w:pPr>
      <w:tabs>
        <w:tab w:val="right" w:pos="1985"/>
      </w:tabs>
      <w:spacing w:before="40" w:line="240" w:lineRule="auto"/>
      <w:ind w:left="2098" w:hanging="2098"/>
    </w:pPr>
  </w:style>
  <w:style w:type="paragraph" w:customStyle="1" w:styleId="paragraphsub-sub">
    <w:name w:val="paragraph(sub-sub)"/>
    <w:aliases w:val="aaa"/>
    <w:basedOn w:val="OPCParaBase"/>
    <w:rsid w:val="00D51A7A"/>
    <w:pPr>
      <w:tabs>
        <w:tab w:val="right" w:pos="2722"/>
      </w:tabs>
      <w:spacing w:before="40" w:line="240" w:lineRule="auto"/>
      <w:ind w:left="2835" w:hanging="2835"/>
    </w:pPr>
  </w:style>
  <w:style w:type="paragraph" w:customStyle="1" w:styleId="paragraph">
    <w:name w:val="paragraph"/>
    <w:aliases w:val="a"/>
    <w:basedOn w:val="OPCParaBase"/>
    <w:link w:val="paragraphChar"/>
    <w:rsid w:val="00D51A7A"/>
    <w:pPr>
      <w:tabs>
        <w:tab w:val="right" w:pos="1531"/>
      </w:tabs>
      <w:spacing w:before="40" w:line="240" w:lineRule="auto"/>
      <w:ind w:left="1644" w:hanging="1644"/>
    </w:pPr>
  </w:style>
  <w:style w:type="paragraph" w:customStyle="1" w:styleId="ParlAmend">
    <w:name w:val="ParlAmend"/>
    <w:aliases w:val="pp"/>
    <w:basedOn w:val="OPCParaBase"/>
    <w:rsid w:val="00D51A7A"/>
    <w:pPr>
      <w:spacing w:before="240" w:line="240" w:lineRule="atLeast"/>
      <w:ind w:hanging="567"/>
    </w:pPr>
    <w:rPr>
      <w:sz w:val="24"/>
    </w:rPr>
  </w:style>
  <w:style w:type="paragraph" w:customStyle="1" w:styleId="Penalty">
    <w:name w:val="Penalty"/>
    <w:basedOn w:val="OPCParaBase"/>
    <w:rsid w:val="00D51A7A"/>
    <w:pPr>
      <w:tabs>
        <w:tab w:val="left" w:pos="2977"/>
      </w:tabs>
      <w:spacing w:before="180" w:line="240" w:lineRule="auto"/>
      <w:ind w:left="1985" w:hanging="851"/>
    </w:pPr>
  </w:style>
  <w:style w:type="paragraph" w:customStyle="1" w:styleId="Portfolio">
    <w:name w:val="Portfolio"/>
    <w:basedOn w:val="OPCParaBase"/>
    <w:rsid w:val="00D51A7A"/>
    <w:pPr>
      <w:spacing w:line="240" w:lineRule="auto"/>
    </w:pPr>
    <w:rPr>
      <w:i/>
      <w:sz w:val="20"/>
    </w:rPr>
  </w:style>
  <w:style w:type="paragraph" w:customStyle="1" w:styleId="Preamble">
    <w:name w:val="Preamble"/>
    <w:basedOn w:val="OPCParaBase"/>
    <w:next w:val="Normal"/>
    <w:rsid w:val="00D51A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1A7A"/>
    <w:pPr>
      <w:spacing w:line="240" w:lineRule="auto"/>
    </w:pPr>
    <w:rPr>
      <w:i/>
      <w:sz w:val="20"/>
    </w:rPr>
  </w:style>
  <w:style w:type="paragraph" w:customStyle="1" w:styleId="Session">
    <w:name w:val="Session"/>
    <w:basedOn w:val="OPCParaBase"/>
    <w:rsid w:val="00D51A7A"/>
    <w:pPr>
      <w:spacing w:line="240" w:lineRule="auto"/>
    </w:pPr>
    <w:rPr>
      <w:sz w:val="28"/>
    </w:rPr>
  </w:style>
  <w:style w:type="paragraph" w:customStyle="1" w:styleId="Sponsor">
    <w:name w:val="Sponsor"/>
    <w:basedOn w:val="OPCParaBase"/>
    <w:rsid w:val="00D51A7A"/>
    <w:pPr>
      <w:spacing w:line="240" w:lineRule="auto"/>
    </w:pPr>
    <w:rPr>
      <w:i/>
    </w:rPr>
  </w:style>
  <w:style w:type="paragraph" w:customStyle="1" w:styleId="Subitem">
    <w:name w:val="Subitem"/>
    <w:aliases w:val="iss"/>
    <w:basedOn w:val="OPCParaBase"/>
    <w:rsid w:val="00D51A7A"/>
    <w:pPr>
      <w:spacing w:before="180" w:line="240" w:lineRule="auto"/>
      <w:ind w:left="709" w:hanging="709"/>
    </w:pPr>
  </w:style>
  <w:style w:type="paragraph" w:customStyle="1" w:styleId="SubitemHead">
    <w:name w:val="SubitemHead"/>
    <w:aliases w:val="issh"/>
    <w:basedOn w:val="OPCParaBase"/>
    <w:rsid w:val="00D51A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1A7A"/>
    <w:pPr>
      <w:spacing w:before="40" w:line="240" w:lineRule="auto"/>
      <w:ind w:left="1134"/>
    </w:pPr>
  </w:style>
  <w:style w:type="paragraph" w:customStyle="1" w:styleId="SubsectionHead">
    <w:name w:val="SubsectionHead"/>
    <w:aliases w:val="ssh"/>
    <w:basedOn w:val="OPCParaBase"/>
    <w:next w:val="subsection"/>
    <w:rsid w:val="00D51A7A"/>
    <w:pPr>
      <w:keepNext/>
      <w:keepLines/>
      <w:spacing w:before="240" w:line="240" w:lineRule="auto"/>
      <w:ind w:left="1134"/>
    </w:pPr>
    <w:rPr>
      <w:i/>
    </w:rPr>
  </w:style>
  <w:style w:type="paragraph" w:customStyle="1" w:styleId="Tablea">
    <w:name w:val="Table(a)"/>
    <w:aliases w:val="ta"/>
    <w:basedOn w:val="OPCParaBase"/>
    <w:rsid w:val="00D51A7A"/>
    <w:pPr>
      <w:spacing w:before="60" w:line="240" w:lineRule="auto"/>
      <w:ind w:left="284" w:hanging="284"/>
    </w:pPr>
    <w:rPr>
      <w:sz w:val="20"/>
    </w:rPr>
  </w:style>
  <w:style w:type="paragraph" w:customStyle="1" w:styleId="TableAA">
    <w:name w:val="Table(AA)"/>
    <w:aliases w:val="taaa"/>
    <w:basedOn w:val="OPCParaBase"/>
    <w:rsid w:val="00D51A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1A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51A7A"/>
    <w:pPr>
      <w:spacing w:before="60" w:line="240" w:lineRule="atLeast"/>
    </w:pPr>
    <w:rPr>
      <w:sz w:val="20"/>
    </w:rPr>
  </w:style>
  <w:style w:type="paragraph" w:customStyle="1" w:styleId="TLPBoxTextnote">
    <w:name w:val="TLPBoxText(note"/>
    <w:aliases w:val="right)"/>
    <w:basedOn w:val="OPCParaBase"/>
    <w:rsid w:val="00D51A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1A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1A7A"/>
    <w:pPr>
      <w:spacing w:before="122" w:line="198" w:lineRule="exact"/>
      <w:ind w:left="1985" w:hanging="851"/>
      <w:jc w:val="right"/>
    </w:pPr>
    <w:rPr>
      <w:sz w:val="18"/>
    </w:rPr>
  </w:style>
  <w:style w:type="paragraph" w:customStyle="1" w:styleId="TLPTableBullet">
    <w:name w:val="TLPTableBullet"/>
    <w:aliases w:val="ttb"/>
    <w:basedOn w:val="OPCParaBase"/>
    <w:rsid w:val="00D51A7A"/>
    <w:pPr>
      <w:spacing w:line="240" w:lineRule="exact"/>
      <w:ind w:left="284" w:hanging="284"/>
    </w:pPr>
    <w:rPr>
      <w:sz w:val="20"/>
    </w:rPr>
  </w:style>
  <w:style w:type="paragraph" w:styleId="TOC1">
    <w:name w:val="toc 1"/>
    <w:basedOn w:val="OPCParaBase"/>
    <w:next w:val="Normal"/>
    <w:uiPriority w:val="39"/>
    <w:semiHidden/>
    <w:unhideWhenUsed/>
    <w:rsid w:val="00D51A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51A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51A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51A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51A7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51A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51A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51A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51A7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1A7A"/>
    <w:pPr>
      <w:keepLines/>
      <w:spacing w:before="240" w:after="120" w:line="240" w:lineRule="auto"/>
      <w:ind w:left="794"/>
    </w:pPr>
    <w:rPr>
      <w:b/>
      <w:kern w:val="28"/>
      <w:sz w:val="20"/>
    </w:rPr>
  </w:style>
  <w:style w:type="paragraph" w:customStyle="1" w:styleId="TofSectsHeading">
    <w:name w:val="TofSects(Heading)"/>
    <w:basedOn w:val="OPCParaBase"/>
    <w:rsid w:val="00D51A7A"/>
    <w:pPr>
      <w:spacing w:before="240" w:after="120" w:line="240" w:lineRule="auto"/>
    </w:pPr>
    <w:rPr>
      <w:b/>
      <w:sz w:val="24"/>
    </w:rPr>
  </w:style>
  <w:style w:type="paragraph" w:customStyle="1" w:styleId="TofSectsSection">
    <w:name w:val="TofSects(Section)"/>
    <w:basedOn w:val="OPCParaBase"/>
    <w:rsid w:val="00D51A7A"/>
    <w:pPr>
      <w:keepLines/>
      <w:spacing w:before="40" w:line="240" w:lineRule="auto"/>
      <w:ind w:left="1588" w:hanging="794"/>
    </w:pPr>
    <w:rPr>
      <w:kern w:val="28"/>
      <w:sz w:val="18"/>
    </w:rPr>
  </w:style>
  <w:style w:type="paragraph" w:customStyle="1" w:styleId="TofSectsSubdiv">
    <w:name w:val="TofSects(Subdiv)"/>
    <w:basedOn w:val="OPCParaBase"/>
    <w:rsid w:val="00D51A7A"/>
    <w:pPr>
      <w:keepLines/>
      <w:spacing w:before="80" w:line="240" w:lineRule="auto"/>
      <w:ind w:left="1588" w:hanging="794"/>
    </w:pPr>
    <w:rPr>
      <w:kern w:val="28"/>
    </w:rPr>
  </w:style>
  <w:style w:type="paragraph" w:customStyle="1" w:styleId="WRStyle">
    <w:name w:val="WR Style"/>
    <w:aliases w:val="WR"/>
    <w:basedOn w:val="OPCParaBase"/>
    <w:rsid w:val="00D51A7A"/>
    <w:pPr>
      <w:spacing w:before="240" w:line="240" w:lineRule="auto"/>
      <w:ind w:left="284" w:hanging="284"/>
    </w:pPr>
    <w:rPr>
      <w:b/>
      <w:i/>
      <w:kern w:val="28"/>
      <w:sz w:val="24"/>
    </w:rPr>
  </w:style>
  <w:style w:type="paragraph" w:customStyle="1" w:styleId="notepara">
    <w:name w:val="note(para)"/>
    <w:aliases w:val="na"/>
    <w:basedOn w:val="OPCParaBase"/>
    <w:rsid w:val="00D51A7A"/>
    <w:pPr>
      <w:spacing w:before="40" w:line="198" w:lineRule="exact"/>
      <w:ind w:left="2354" w:hanging="369"/>
    </w:pPr>
    <w:rPr>
      <w:sz w:val="18"/>
    </w:rPr>
  </w:style>
  <w:style w:type="paragraph" w:styleId="Footer">
    <w:name w:val="footer"/>
    <w:link w:val="FooterChar"/>
    <w:rsid w:val="00D51A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1A7A"/>
    <w:rPr>
      <w:rFonts w:eastAsia="Times New Roman" w:cs="Times New Roman"/>
      <w:sz w:val="22"/>
      <w:szCs w:val="24"/>
      <w:lang w:eastAsia="en-AU"/>
    </w:rPr>
  </w:style>
  <w:style w:type="character" w:styleId="LineNumber">
    <w:name w:val="line number"/>
    <w:basedOn w:val="OPCCharBase"/>
    <w:uiPriority w:val="99"/>
    <w:semiHidden/>
    <w:unhideWhenUsed/>
    <w:rsid w:val="00D51A7A"/>
    <w:rPr>
      <w:sz w:val="16"/>
    </w:rPr>
  </w:style>
  <w:style w:type="table" w:customStyle="1" w:styleId="CFlag">
    <w:name w:val="CFlag"/>
    <w:basedOn w:val="TableNormal"/>
    <w:uiPriority w:val="99"/>
    <w:rsid w:val="00D51A7A"/>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51A7A"/>
    <w:rPr>
      <w:b/>
      <w:sz w:val="28"/>
      <w:szCs w:val="28"/>
    </w:rPr>
  </w:style>
  <w:style w:type="paragraph" w:customStyle="1" w:styleId="NotesHeading2">
    <w:name w:val="NotesHeading 2"/>
    <w:basedOn w:val="OPCParaBase"/>
    <w:next w:val="Normal"/>
    <w:rsid w:val="00D51A7A"/>
    <w:rPr>
      <w:b/>
      <w:sz w:val="28"/>
      <w:szCs w:val="28"/>
    </w:rPr>
  </w:style>
  <w:style w:type="paragraph" w:customStyle="1" w:styleId="SignCoverPageEnd">
    <w:name w:val="SignCoverPageEnd"/>
    <w:basedOn w:val="OPCParaBase"/>
    <w:next w:val="Normal"/>
    <w:rsid w:val="00D51A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1A7A"/>
    <w:pPr>
      <w:pBdr>
        <w:top w:val="single" w:sz="4" w:space="1" w:color="auto"/>
      </w:pBdr>
      <w:spacing w:before="360"/>
      <w:ind w:right="397"/>
      <w:jc w:val="both"/>
    </w:pPr>
  </w:style>
  <w:style w:type="paragraph" w:customStyle="1" w:styleId="Paragraphsub-sub-sub">
    <w:name w:val="Paragraph(sub-sub-sub)"/>
    <w:aliases w:val="aaaa"/>
    <w:basedOn w:val="OPCParaBase"/>
    <w:rsid w:val="00D51A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1A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1A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1A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1A7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51A7A"/>
    <w:pPr>
      <w:spacing w:before="120"/>
    </w:pPr>
  </w:style>
  <w:style w:type="paragraph" w:customStyle="1" w:styleId="TableTextEndNotes">
    <w:name w:val="TableTextEndNotes"/>
    <w:aliases w:val="Tten"/>
    <w:basedOn w:val="Normal"/>
    <w:rsid w:val="00D51A7A"/>
    <w:pPr>
      <w:spacing w:before="60" w:line="240" w:lineRule="auto"/>
    </w:pPr>
    <w:rPr>
      <w:rFonts w:cs="Arial"/>
      <w:sz w:val="20"/>
      <w:szCs w:val="22"/>
    </w:rPr>
  </w:style>
  <w:style w:type="paragraph" w:customStyle="1" w:styleId="TableHeading">
    <w:name w:val="TableHeading"/>
    <w:aliases w:val="th"/>
    <w:basedOn w:val="OPCParaBase"/>
    <w:next w:val="Tabletext"/>
    <w:rsid w:val="00D51A7A"/>
    <w:pPr>
      <w:keepNext/>
      <w:spacing w:before="60" w:line="240" w:lineRule="atLeast"/>
    </w:pPr>
    <w:rPr>
      <w:b/>
      <w:sz w:val="20"/>
    </w:rPr>
  </w:style>
  <w:style w:type="paragraph" w:customStyle="1" w:styleId="NoteToSubpara">
    <w:name w:val="NoteToSubpara"/>
    <w:aliases w:val="nts"/>
    <w:basedOn w:val="OPCParaBase"/>
    <w:rsid w:val="00D51A7A"/>
    <w:pPr>
      <w:spacing w:before="40" w:line="198" w:lineRule="exact"/>
      <w:ind w:left="2835" w:hanging="709"/>
    </w:pPr>
    <w:rPr>
      <w:sz w:val="18"/>
    </w:rPr>
  </w:style>
  <w:style w:type="paragraph" w:customStyle="1" w:styleId="ENoteTableHeading">
    <w:name w:val="ENoteTableHeading"/>
    <w:aliases w:val="enth"/>
    <w:basedOn w:val="OPCParaBase"/>
    <w:rsid w:val="00D51A7A"/>
    <w:pPr>
      <w:keepNext/>
      <w:spacing w:before="60" w:line="240" w:lineRule="atLeast"/>
    </w:pPr>
    <w:rPr>
      <w:rFonts w:ascii="Arial" w:hAnsi="Arial"/>
      <w:b/>
      <w:sz w:val="16"/>
    </w:rPr>
  </w:style>
  <w:style w:type="paragraph" w:customStyle="1" w:styleId="ENoteTTi">
    <w:name w:val="ENoteTTi"/>
    <w:aliases w:val="entti"/>
    <w:basedOn w:val="OPCParaBase"/>
    <w:rsid w:val="00D51A7A"/>
    <w:pPr>
      <w:keepNext/>
      <w:spacing w:before="60" w:line="240" w:lineRule="atLeast"/>
      <w:ind w:left="170"/>
    </w:pPr>
    <w:rPr>
      <w:sz w:val="16"/>
    </w:rPr>
  </w:style>
  <w:style w:type="paragraph" w:customStyle="1" w:styleId="ENotesHeading1">
    <w:name w:val="ENotesHeading 1"/>
    <w:aliases w:val="Enh1"/>
    <w:basedOn w:val="OPCParaBase"/>
    <w:next w:val="Normal"/>
    <w:rsid w:val="00D51A7A"/>
    <w:pPr>
      <w:spacing w:before="120"/>
      <w:outlineLvl w:val="1"/>
    </w:pPr>
    <w:rPr>
      <w:b/>
      <w:sz w:val="28"/>
      <w:szCs w:val="28"/>
    </w:rPr>
  </w:style>
  <w:style w:type="paragraph" w:customStyle="1" w:styleId="ENotesHeading2">
    <w:name w:val="ENotesHeading 2"/>
    <w:aliases w:val="Enh2"/>
    <w:basedOn w:val="OPCParaBase"/>
    <w:next w:val="Normal"/>
    <w:rsid w:val="00D51A7A"/>
    <w:pPr>
      <w:spacing w:before="120" w:after="120"/>
      <w:outlineLvl w:val="2"/>
    </w:pPr>
    <w:rPr>
      <w:b/>
      <w:sz w:val="24"/>
      <w:szCs w:val="28"/>
    </w:rPr>
  </w:style>
  <w:style w:type="paragraph" w:customStyle="1" w:styleId="ENoteTTIndentHeading">
    <w:name w:val="ENoteTTIndentHeading"/>
    <w:aliases w:val="enTTHi"/>
    <w:basedOn w:val="OPCParaBase"/>
    <w:rsid w:val="00D51A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1A7A"/>
    <w:pPr>
      <w:spacing w:before="60" w:line="240" w:lineRule="atLeast"/>
    </w:pPr>
    <w:rPr>
      <w:sz w:val="16"/>
    </w:rPr>
  </w:style>
  <w:style w:type="paragraph" w:customStyle="1" w:styleId="MadeunderText">
    <w:name w:val="MadeunderText"/>
    <w:basedOn w:val="OPCParaBase"/>
    <w:next w:val="Normal"/>
    <w:rsid w:val="00D51A7A"/>
    <w:pPr>
      <w:spacing w:before="240"/>
    </w:pPr>
    <w:rPr>
      <w:sz w:val="24"/>
      <w:szCs w:val="24"/>
    </w:rPr>
  </w:style>
  <w:style w:type="paragraph" w:customStyle="1" w:styleId="ENotesHeading3">
    <w:name w:val="ENotesHeading 3"/>
    <w:aliases w:val="Enh3"/>
    <w:basedOn w:val="OPCParaBase"/>
    <w:next w:val="Normal"/>
    <w:rsid w:val="00D51A7A"/>
    <w:pPr>
      <w:keepNext/>
      <w:spacing w:before="120" w:line="240" w:lineRule="auto"/>
      <w:outlineLvl w:val="4"/>
    </w:pPr>
    <w:rPr>
      <w:b/>
      <w:szCs w:val="24"/>
    </w:rPr>
  </w:style>
  <w:style w:type="paragraph" w:customStyle="1" w:styleId="SubPartCASA">
    <w:name w:val="SubPart(CASA)"/>
    <w:aliases w:val="csp"/>
    <w:basedOn w:val="OPCParaBase"/>
    <w:next w:val="ActHead3"/>
    <w:rsid w:val="00D51A7A"/>
    <w:pPr>
      <w:keepNext/>
      <w:keepLines/>
      <w:spacing w:before="280"/>
      <w:outlineLvl w:val="1"/>
    </w:pPr>
    <w:rPr>
      <w:b/>
      <w:kern w:val="28"/>
      <w:sz w:val="32"/>
    </w:rPr>
  </w:style>
  <w:style w:type="character" w:customStyle="1" w:styleId="CharSubPartTextCASA">
    <w:name w:val="CharSubPartText(CASA)"/>
    <w:basedOn w:val="OPCCharBase"/>
    <w:uiPriority w:val="1"/>
    <w:rsid w:val="00D51A7A"/>
  </w:style>
  <w:style w:type="character" w:customStyle="1" w:styleId="CharSubPartNoCASA">
    <w:name w:val="CharSubPartNo(CASA)"/>
    <w:basedOn w:val="OPCCharBase"/>
    <w:uiPriority w:val="1"/>
    <w:rsid w:val="00D51A7A"/>
  </w:style>
  <w:style w:type="paragraph" w:customStyle="1" w:styleId="ENoteTTIndentHeadingSub">
    <w:name w:val="ENoteTTIndentHeadingSub"/>
    <w:aliases w:val="enTTHis"/>
    <w:basedOn w:val="OPCParaBase"/>
    <w:rsid w:val="00D51A7A"/>
    <w:pPr>
      <w:keepNext/>
      <w:spacing w:before="60" w:line="240" w:lineRule="atLeast"/>
      <w:ind w:left="340"/>
    </w:pPr>
    <w:rPr>
      <w:b/>
      <w:sz w:val="16"/>
    </w:rPr>
  </w:style>
  <w:style w:type="paragraph" w:customStyle="1" w:styleId="ENoteTTiSub">
    <w:name w:val="ENoteTTiSub"/>
    <w:aliases w:val="enttis"/>
    <w:basedOn w:val="OPCParaBase"/>
    <w:rsid w:val="00D51A7A"/>
    <w:pPr>
      <w:keepNext/>
      <w:spacing w:before="60" w:line="240" w:lineRule="atLeast"/>
      <w:ind w:left="340"/>
    </w:pPr>
    <w:rPr>
      <w:sz w:val="16"/>
    </w:rPr>
  </w:style>
  <w:style w:type="paragraph" w:customStyle="1" w:styleId="SubDivisionMigration">
    <w:name w:val="SubDivisionMigration"/>
    <w:aliases w:val="sdm"/>
    <w:basedOn w:val="OPCParaBase"/>
    <w:rsid w:val="00D51A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1A7A"/>
    <w:pPr>
      <w:keepNext/>
      <w:keepLines/>
      <w:spacing w:before="240" w:line="240" w:lineRule="auto"/>
      <w:ind w:left="1134" w:hanging="1134"/>
    </w:pPr>
    <w:rPr>
      <w:b/>
      <w:sz w:val="28"/>
    </w:rPr>
  </w:style>
  <w:style w:type="table" w:styleId="TableGrid">
    <w:name w:val="Table Grid"/>
    <w:basedOn w:val="TableNormal"/>
    <w:uiPriority w:val="59"/>
    <w:rsid w:val="00D51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D51A7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51A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51A7A"/>
    <w:rPr>
      <w:sz w:val="22"/>
    </w:rPr>
  </w:style>
  <w:style w:type="paragraph" w:customStyle="1" w:styleId="SOTextNote">
    <w:name w:val="SO TextNote"/>
    <w:aliases w:val="sont"/>
    <w:basedOn w:val="SOText"/>
    <w:qFormat/>
    <w:rsid w:val="00D51A7A"/>
    <w:pPr>
      <w:spacing w:before="122" w:line="198" w:lineRule="exact"/>
      <w:ind w:left="1843" w:hanging="709"/>
    </w:pPr>
    <w:rPr>
      <w:sz w:val="18"/>
    </w:rPr>
  </w:style>
  <w:style w:type="paragraph" w:customStyle="1" w:styleId="SOPara">
    <w:name w:val="SO Para"/>
    <w:aliases w:val="soa"/>
    <w:basedOn w:val="SOText"/>
    <w:link w:val="SOParaChar"/>
    <w:qFormat/>
    <w:rsid w:val="00D51A7A"/>
    <w:pPr>
      <w:tabs>
        <w:tab w:val="right" w:pos="1786"/>
      </w:tabs>
      <w:spacing w:before="40"/>
      <w:ind w:left="2070" w:hanging="936"/>
    </w:pPr>
  </w:style>
  <w:style w:type="character" w:customStyle="1" w:styleId="SOParaChar">
    <w:name w:val="SO Para Char"/>
    <w:aliases w:val="soa Char"/>
    <w:basedOn w:val="DefaultParagraphFont"/>
    <w:link w:val="SOPara"/>
    <w:rsid w:val="00D51A7A"/>
    <w:rPr>
      <w:sz w:val="22"/>
    </w:rPr>
  </w:style>
  <w:style w:type="paragraph" w:customStyle="1" w:styleId="FileName">
    <w:name w:val="FileName"/>
    <w:basedOn w:val="Normal"/>
    <w:rsid w:val="00D51A7A"/>
  </w:style>
  <w:style w:type="paragraph" w:customStyle="1" w:styleId="SOHeadBold">
    <w:name w:val="SO HeadBold"/>
    <w:aliases w:val="sohb"/>
    <w:basedOn w:val="SOText"/>
    <w:next w:val="SOText"/>
    <w:link w:val="SOHeadBoldChar"/>
    <w:qFormat/>
    <w:rsid w:val="00D51A7A"/>
    <w:rPr>
      <w:b/>
    </w:rPr>
  </w:style>
  <w:style w:type="character" w:customStyle="1" w:styleId="SOHeadBoldChar">
    <w:name w:val="SO HeadBold Char"/>
    <w:aliases w:val="sohb Char"/>
    <w:basedOn w:val="DefaultParagraphFont"/>
    <w:link w:val="SOHeadBold"/>
    <w:rsid w:val="00D51A7A"/>
    <w:rPr>
      <w:b/>
      <w:sz w:val="22"/>
    </w:rPr>
  </w:style>
  <w:style w:type="paragraph" w:customStyle="1" w:styleId="SOHeadItalic">
    <w:name w:val="SO HeadItalic"/>
    <w:aliases w:val="sohi"/>
    <w:basedOn w:val="SOText"/>
    <w:next w:val="SOText"/>
    <w:link w:val="SOHeadItalicChar"/>
    <w:qFormat/>
    <w:rsid w:val="00D51A7A"/>
    <w:rPr>
      <w:i/>
    </w:rPr>
  </w:style>
  <w:style w:type="character" w:customStyle="1" w:styleId="SOHeadItalicChar">
    <w:name w:val="SO HeadItalic Char"/>
    <w:aliases w:val="sohi Char"/>
    <w:basedOn w:val="DefaultParagraphFont"/>
    <w:link w:val="SOHeadItalic"/>
    <w:rsid w:val="00D51A7A"/>
    <w:rPr>
      <w:i/>
      <w:sz w:val="22"/>
    </w:rPr>
  </w:style>
  <w:style w:type="paragraph" w:customStyle="1" w:styleId="SOBullet">
    <w:name w:val="SO Bullet"/>
    <w:aliases w:val="sotb"/>
    <w:basedOn w:val="SOText"/>
    <w:link w:val="SOBulletChar"/>
    <w:qFormat/>
    <w:rsid w:val="00D51A7A"/>
    <w:pPr>
      <w:ind w:left="1559" w:hanging="425"/>
    </w:pPr>
  </w:style>
  <w:style w:type="character" w:customStyle="1" w:styleId="SOBulletChar">
    <w:name w:val="SO Bullet Char"/>
    <w:aliases w:val="sotb Char"/>
    <w:basedOn w:val="DefaultParagraphFont"/>
    <w:link w:val="SOBullet"/>
    <w:rsid w:val="00D51A7A"/>
    <w:rPr>
      <w:sz w:val="22"/>
    </w:rPr>
  </w:style>
  <w:style w:type="paragraph" w:customStyle="1" w:styleId="SOBulletNote">
    <w:name w:val="SO BulletNote"/>
    <w:aliases w:val="sonb"/>
    <w:basedOn w:val="SOTextNote"/>
    <w:link w:val="SOBulletNoteChar"/>
    <w:qFormat/>
    <w:rsid w:val="00D51A7A"/>
    <w:pPr>
      <w:tabs>
        <w:tab w:val="left" w:pos="1560"/>
      </w:tabs>
      <w:ind w:left="2268" w:hanging="1134"/>
    </w:pPr>
  </w:style>
  <w:style w:type="character" w:customStyle="1" w:styleId="SOBulletNoteChar">
    <w:name w:val="SO BulletNote Char"/>
    <w:aliases w:val="sonb Char"/>
    <w:basedOn w:val="DefaultParagraphFont"/>
    <w:link w:val="SOBulletNote"/>
    <w:rsid w:val="00D51A7A"/>
    <w:rPr>
      <w:sz w:val="18"/>
    </w:rPr>
  </w:style>
  <w:style w:type="character" w:customStyle="1" w:styleId="ItemHeadChar">
    <w:name w:val="ItemHead Char"/>
    <w:aliases w:val="ih Char"/>
    <w:basedOn w:val="DefaultParagraphFont"/>
    <w:link w:val="ItemHead"/>
    <w:rsid w:val="000902C1"/>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CC4C2E"/>
    <w:rPr>
      <w:rFonts w:eastAsia="Times New Roman" w:cs="Times New Roman"/>
      <w:sz w:val="22"/>
      <w:lang w:eastAsia="en-AU"/>
    </w:rPr>
  </w:style>
  <w:style w:type="character" w:customStyle="1" w:styleId="Heading1Char">
    <w:name w:val="Heading 1 Char"/>
    <w:basedOn w:val="DefaultParagraphFont"/>
    <w:link w:val="Heading1"/>
    <w:uiPriority w:val="9"/>
    <w:rsid w:val="00CC4C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C4C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4C2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C4C2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C4C2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C4C2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C4C2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C4C2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C4C2E"/>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D51A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51A7A"/>
    <w:rPr>
      <w:sz w:val="22"/>
    </w:rPr>
  </w:style>
  <w:style w:type="character" w:customStyle="1" w:styleId="paragraphChar">
    <w:name w:val="paragraph Char"/>
    <w:aliases w:val="a Char"/>
    <w:link w:val="paragraph"/>
    <w:rsid w:val="00AA01CC"/>
    <w:rPr>
      <w:rFonts w:eastAsia="Times New Roman" w:cs="Times New Roman"/>
      <w:sz w:val="22"/>
      <w:lang w:eastAsia="en-AU"/>
    </w:rPr>
  </w:style>
  <w:style w:type="paragraph" w:styleId="BalloonText">
    <w:name w:val="Balloon Text"/>
    <w:basedOn w:val="Normal"/>
    <w:link w:val="BalloonTextChar"/>
    <w:uiPriority w:val="99"/>
    <w:semiHidden/>
    <w:unhideWhenUsed/>
    <w:rsid w:val="004A5D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D14"/>
    <w:rPr>
      <w:rFonts w:ascii="Tahoma" w:hAnsi="Tahoma" w:cs="Tahoma"/>
      <w:sz w:val="16"/>
      <w:szCs w:val="16"/>
    </w:rPr>
  </w:style>
  <w:style w:type="paragraph" w:customStyle="1" w:styleId="ShortTP1">
    <w:name w:val="ShortTP1"/>
    <w:basedOn w:val="ShortT"/>
    <w:link w:val="ShortTP1Char"/>
    <w:rsid w:val="003C2CD6"/>
    <w:pPr>
      <w:spacing w:before="800"/>
    </w:pPr>
  </w:style>
  <w:style w:type="character" w:customStyle="1" w:styleId="OPCParaBaseChar">
    <w:name w:val="OPCParaBase Char"/>
    <w:basedOn w:val="DefaultParagraphFont"/>
    <w:link w:val="OPCParaBase"/>
    <w:rsid w:val="003C2CD6"/>
    <w:rPr>
      <w:rFonts w:eastAsia="Times New Roman" w:cs="Times New Roman"/>
      <w:sz w:val="22"/>
      <w:lang w:eastAsia="en-AU"/>
    </w:rPr>
  </w:style>
  <w:style w:type="character" w:customStyle="1" w:styleId="ShortTChar">
    <w:name w:val="ShortT Char"/>
    <w:basedOn w:val="OPCParaBaseChar"/>
    <w:link w:val="ShortT"/>
    <w:rsid w:val="003C2CD6"/>
    <w:rPr>
      <w:rFonts w:eastAsia="Times New Roman" w:cs="Times New Roman"/>
      <w:b/>
      <w:sz w:val="40"/>
      <w:lang w:eastAsia="en-AU"/>
    </w:rPr>
  </w:style>
  <w:style w:type="character" w:customStyle="1" w:styleId="ShortTP1Char">
    <w:name w:val="ShortTP1 Char"/>
    <w:basedOn w:val="ShortTChar"/>
    <w:link w:val="ShortTP1"/>
    <w:rsid w:val="003C2CD6"/>
    <w:rPr>
      <w:rFonts w:eastAsia="Times New Roman" w:cs="Times New Roman"/>
      <w:b/>
      <w:sz w:val="40"/>
      <w:lang w:eastAsia="en-AU"/>
    </w:rPr>
  </w:style>
  <w:style w:type="paragraph" w:customStyle="1" w:styleId="ActNoP1">
    <w:name w:val="ActNoP1"/>
    <w:basedOn w:val="Actno"/>
    <w:link w:val="ActNoP1Char"/>
    <w:rsid w:val="003C2CD6"/>
    <w:pPr>
      <w:spacing w:before="800"/>
    </w:pPr>
    <w:rPr>
      <w:sz w:val="28"/>
    </w:rPr>
  </w:style>
  <w:style w:type="character" w:customStyle="1" w:styleId="ActnoChar">
    <w:name w:val="Actno Char"/>
    <w:basedOn w:val="ShortTChar"/>
    <w:link w:val="Actno"/>
    <w:rsid w:val="003C2CD6"/>
    <w:rPr>
      <w:rFonts w:eastAsia="Times New Roman" w:cs="Times New Roman"/>
      <w:b/>
      <w:sz w:val="40"/>
      <w:lang w:eastAsia="en-AU"/>
    </w:rPr>
  </w:style>
  <w:style w:type="character" w:customStyle="1" w:styleId="ActNoP1Char">
    <w:name w:val="ActNoP1 Char"/>
    <w:basedOn w:val="ActnoChar"/>
    <w:link w:val="ActNoP1"/>
    <w:rsid w:val="003C2CD6"/>
    <w:rPr>
      <w:rFonts w:eastAsia="Times New Roman" w:cs="Times New Roman"/>
      <w:b/>
      <w:sz w:val="28"/>
      <w:lang w:eastAsia="en-AU"/>
    </w:rPr>
  </w:style>
  <w:style w:type="paragraph" w:customStyle="1" w:styleId="ShortTCP">
    <w:name w:val="ShortTCP"/>
    <w:basedOn w:val="ShortT"/>
    <w:link w:val="ShortTCPChar"/>
    <w:rsid w:val="003C2CD6"/>
  </w:style>
  <w:style w:type="character" w:customStyle="1" w:styleId="ShortTCPChar">
    <w:name w:val="ShortTCP Char"/>
    <w:basedOn w:val="ShortTChar"/>
    <w:link w:val="ShortTCP"/>
    <w:rsid w:val="003C2CD6"/>
    <w:rPr>
      <w:rFonts w:eastAsia="Times New Roman" w:cs="Times New Roman"/>
      <w:b/>
      <w:sz w:val="40"/>
      <w:lang w:eastAsia="en-AU"/>
    </w:rPr>
  </w:style>
  <w:style w:type="paragraph" w:customStyle="1" w:styleId="ActNoCP">
    <w:name w:val="ActNoCP"/>
    <w:basedOn w:val="Actno"/>
    <w:link w:val="ActNoCPChar"/>
    <w:rsid w:val="003C2CD6"/>
    <w:pPr>
      <w:spacing w:before="400"/>
    </w:pPr>
  </w:style>
  <w:style w:type="character" w:customStyle="1" w:styleId="ActNoCPChar">
    <w:name w:val="ActNoCP Char"/>
    <w:basedOn w:val="ActnoChar"/>
    <w:link w:val="ActNoCP"/>
    <w:rsid w:val="003C2CD6"/>
    <w:rPr>
      <w:rFonts w:eastAsia="Times New Roman" w:cs="Times New Roman"/>
      <w:b/>
      <w:sz w:val="40"/>
      <w:lang w:eastAsia="en-AU"/>
    </w:rPr>
  </w:style>
  <w:style w:type="paragraph" w:customStyle="1" w:styleId="AssentBk">
    <w:name w:val="AssentBk"/>
    <w:basedOn w:val="Normal"/>
    <w:rsid w:val="003C2CD6"/>
    <w:pPr>
      <w:spacing w:line="240" w:lineRule="auto"/>
    </w:pPr>
    <w:rPr>
      <w:rFonts w:eastAsia="Times New Roman" w:cs="Times New Roman"/>
      <w:sz w:val="20"/>
      <w:lang w:eastAsia="en-AU"/>
    </w:rPr>
  </w:style>
  <w:style w:type="paragraph" w:customStyle="1" w:styleId="AssentDt">
    <w:name w:val="AssentDt"/>
    <w:basedOn w:val="Normal"/>
    <w:rsid w:val="00E71F88"/>
    <w:pPr>
      <w:spacing w:line="240" w:lineRule="auto"/>
    </w:pPr>
    <w:rPr>
      <w:rFonts w:eastAsia="Times New Roman" w:cs="Times New Roman"/>
      <w:sz w:val="20"/>
      <w:lang w:eastAsia="en-AU"/>
    </w:rPr>
  </w:style>
  <w:style w:type="paragraph" w:customStyle="1" w:styleId="2ndRd">
    <w:name w:val="2ndRd"/>
    <w:basedOn w:val="Normal"/>
    <w:rsid w:val="00E71F88"/>
    <w:pPr>
      <w:spacing w:line="240" w:lineRule="auto"/>
    </w:pPr>
    <w:rPr>
      <w:rFonts w:eastAsia="Times New Roman" w:cs="Times New Roman"/>
      <w:sz w:val="20"/>
      <w:lang w:eastAsia="en-AU"/>
    </w:rPr>
  </w:style>
  <w:style w:type="paragraph" w:customStyle="1" w:styleId="ScalePlusRef">
    <w:name w:val="ScalePlusRef"/>
    <w:basedOn w:val="Normal"/>
    <w:rsid w:val="00E71F8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1A7A"/>
    <w:pPr>
      <w:spacing w:line="260" w:lineRule="atLeast"/>
    </w:pPr>
    <w:rPr>
      <w:sz w:val="22"/>
    </w:rPr>
  </w:style>
  <w:style w:type="paragraph" w:styleId="Heading1">
    <w:name w:val="heading 1"/>
    <w:basedOn w:val="Normal"/>
    <w:next w:val="Normal"/>
    <w:link w:val="Heading1Char"/>
    <w:uiPriority w:val="9"/>
    <w:qFormat/>
    <w:rsid w:val="00CC4C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4C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4C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4C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4C2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4C2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C4C2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4C2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C4C2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1A7A"/>
  </w:style>
  <w:style w:type="paragraph" w:customStyle="1" w:styleId="OPCParaBase">
    <w:name w:val="OPCParaBase"/>
    <w:link w:val="OPCParaBaseChar"/>
    <w:qFormat/>
    <w:rsid w:val="00D51A7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51A7A"/>
    <w:pPr>
      <w:spacing w:line="240" w:lineRule="auto"/>
    </w:pPr>
    <w:rPr>
      <w:b/>
      <w:sz w:val="40"/>
    </w:rPr>
  </w:style>
  <w:style w:type="paragraph" w:customStyle="1" w:styleId="ActHead1">
    <w:name w:val="ActHead 1"/>
    <w:aliases w:val="c"/>
    <w:basedOn w:val="OPCParaBase"/>
    <w:next w:val="Normal"/>
    <w:qFormat/>
    <w:rsid w:val="00D51A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1A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1A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1A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51A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1A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1A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1A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1A7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51A7A"/>
  </w:style>
  <w:style w:type="paragraph" w:customStyle="1" w:styleId="Blocks">
    <w:name w:val="Blocks"/>
    <w:aliases w:val="bb"/>
    <w:basedOn w:val="OPCParaBase"/>
    <w:qFormat/>
    <w:rsid w:val="00D51A7A"/>
    <w:pPr>
      <w:spacing w:line="240" w:lineRule="auto"/>
    </w:pPr>
    <w:rPr>
      <w:sz w:val="24"/>
    </w:rPr>
  </w:style>
  <w:style w:type="paragraph" w:customStyle="1" w:styleId="BoxText">
    <w:name w:val="BoxText"/>
    <w:aliases w:val="bt"/>
    <w:basedOn w:val="OPCParaBase"/>
    <w:qFormat/>
    <w:rsid w:val="00D51A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1A7A"/>
    <w:rPr>
      <w:b/>
    </w:rPr>
  </w:style>
  <w:style w:type="paragraph" w:customStyle="1" w:styleId="BoxHeadItalic">
    <w:name w:val="BoxHeadItalic"/>
    <w:aliases w:val="bhi"/>
    <w:basedOn w:val="BoxText"/>
    <w:next w:val="BoxStep"/>
    <w:qFormat/>
    <w:rsid w:val="00D51A7A"/>
    <w:rPr>
      <w:i/>
    </w:rPr>
  </w:style>
  <w:style w:type="paragraph" w:customStyle="1" w:styleId="BoxList">
    <w:name w:val="BoxList"/>
    <w:aliases w:val="bl"/>
    <w:basedOn w:val="BoxText"/>
    <w:qFormat/>
    <w:rsid w:val="00D51A7A"/>
    <w:pPr>
      <w:ind w:left="1559" w:hanging="425"/>
    </w:pPr>
  </w:style>
  <w:style w:type="paragraph" w:customStyle="1" w:styleId="BoxNote">
    <w:name w:val="BoxNote"/>
    <w:aliases w:val="bn"/>
    <w:basedOn w:val="BoxText"/>
    <w:qFormat/>
    <w:rsid w:val="00D51A7A"/>
    <w:pPr>
      <w:tabs>
        <w:tab w:val="left" w:pos="1985"/>
      </w:tabs>
      <w:spacing w:before="122" w:line="198" w:lineRule="exact"/>
      <w:ind w:left="2948" w:hanging="1814"/>
    </w:pPr>
    <w:rPr>
      <w:sz w:val="18"/>
    </w:rPr>
  </w:style>
  <w:style w:type="paragraph" w:customStyle="1" w:styleId="BoxPara">
    <w:name w:val="BoxPara"/>
    <w:aliases w:val="bp"/>
    <w:basedOn w:val="BoxText"/>
    <w:qFormat/>
    <w:rsid w:val="00D51A7A"/>
    <w:pPr>
      <w:tabs>
        <w:tab w:val="right" w:pos="2268"/>
      </w:tabs>
      <w:ind w:left="2552" w:hanging="1418"/>
    </w:pPr>
  </w:style>
  <w:style w:type="paragraph" w:customStyle="1" w:styleId="BoxStep">
    <w:name w:val="BoxStep"/>
    <w:aliases w:val="bs"/>
    <w:basedOn w:val="BoxText"/>
    <w:qFormat/>
    <w:rsid w:val="00D51A7A"/>
    <w:pPr>
      <w:ind w:left="1985" w:hanging="851"/>
    </w:pPr>
  </w:style>
  <w:style w:type="character" w:customStyle="1" w:styleId="CharAmPartNo">
    <w:name w:val="CharAmPartNo"/>
    <w:basedOn w:val="OPCCharBase"/>
    <w:qFormat/>
    <w:rsid w:val="00D51A7A"/>
  </w:style>
  <w:style w:type="character" w:customStyle="1" w:styleId="CharAmPartText">
    <w:name w:val="CharAmPartText"/>
    <w:basedOn w:val="OPCCharBase"/>
    <w:qFormat/>
    <w:rsid w:val="00D51A7A"/>
  </w:style>
  <w:style w:type="character" w:customStyle="1" w:styleId="CharAmSchNo">
    <w:name w:val="CharAmSchNo"/>
    <w:basedOn w:val="OPCCharBase"/>
    <w:qFormat/>
    <w:rsid w:val="00D51A7A"/>
  </w:style>
  <w:style w:type="character" w:customStyle="1" w:styleId="CharAmSchText">
    <w:name w:val="CharAmSchText"/>
    <w:basedOn w:val="OPCCharBase"/>
    <w:qFormat/>
    <w:rsid w:val="00D51A7A"/>
  </w:style>
  <w:style w:type="character" w:customStyle="1" w:styleId="CharBoldItalic">
    <w:name w:val="CharBoldItalic"/>
    <w:basedOn w:val="OPCCharBase"/>
    <w:uiPriority w:val="1"/>
    <w:qFormat/>
    <w:rsid w:val="00D51A7A"/>
    <w:rPr>
      <w:b/>
      <w:i/>
    </w:rPr>
  </w:style>
  <w:style w:type="character" w:customStyle="1" w:styleId="CharChapNo">
    <w:name w:val="CharChapNo"/>
    <w:basedOn w:val="OPCCharBase"/>
    <w:uiPriority w:val="1"/>
    <w:qFormat/>
    <w:rsid w:val="00D51A7A"/>
  </w:style>
  <w:style w:type="character" w:customStyle="1" w:styleId="CharChapText">
    <w:name w:val="CharChapText"/>
    <w:basedOn w:val="OPCCharBase"/>
    <w:uiPriority w:val="1"/>
    <w:qFormat/>
    <w:rsid w:val="00D51A7A"/>
  </w:style>
  <w:style w:type="character" w:customStyle="1" w:styleId="CharDivNo">
    <w:name w:val="CharDivNo"/>
    <w:basedOn w:val="OPCCharBase"/>
    <w:uiPriority w:val="1"/>
    <w:qFormat/>
    <w:rsid w:val="00D51A7A"/>
  </w:style>
  <w:style w:type="character" w:customStyle="1" w:styleId="CharDivText">
    <w:name w:val="CharDivText"/>
    <w:basedOn w:val="OPCCharBase"/>
    <w:uiPriority w:val="1"/>
    <w:qFormat/>
    <w:rsid w:val="00D51A7A"/>
  </w:style>
  <w:style w:type="character" w:customStyle="1" w:styleId="CharItalic">
    <w:name w:val="CharItalic"/>
    <w:basedOn w:val="OPCCharBase"/>
    <w:uiPriority w:val="1"/>
    <w:qFormat/>
    <w:rsid w:val="00D51A7A"/>
    <w:rPr>
      <w:i/>
    </w:rPr>
  </w:style>
  <w:style w:type="character" w:customStyle="1" w:styleId="CharPartNo">
    <w:name w:val="CharPartNo"/>
    <w:basedOn w:val="OPCCharBase"/>
    <w:uiPriority w:val="1"/>
    <w:qFormat/>
    <w:rsid w:val="00D51A7A"/>
  </w:style>
  <w:style w:type="character" w:customStyle="1" w:styleId="CharPartText">
    <w:name w:val="CharPartText"/>
    <w:basedOn w:val="OPCCharBase"/>
    <w:uiPriority w:val="1"/>
    <w:qFormat/>
    <w:rsid w:val="00D51A7A"/>
  </w:style>
  <w:style w:type="character" w:customStyle="1" w:styleId="CharSectno">
    <w:name w:val="CharSectno"/>
    <w:basedOn w:val="OPCCharBase"/>
    <w:qFormat/>
    <w:rsid w:val="00D51A7A"/>
  </w:style>
  <w:style w:type="character" w:customStyle="1" w:styleId="CharSubdNo">
    <w:name w:val="CharSubdNo"/>
    <w:basedOn w:val="OPCCharBase"/>
    <w:uiPriority w:val="1"/>
    <w:qFormat/>
    <w:rsid w:val="00D51A7A"/>
  </w:style>
  <w:style w:type="character" w:customStyle="1" w:styleId="CharSubdText">
    <w:name w:val="CharSubdText"/>
    <w:basedOn w:val="OPCCharBase"/>
    <w:uiPriority w:val="1"/>
    <w:qFormat/>
    <w:rsid w:val="00D51A7A"/>
  </w:style>
  <w:style w:type="paragraph" w:customStyle="1" w:styleId="CTA--">
    <w:name w:val="CTA --"/>
    <w:basedOn w:val="OPCParaBase"/>
    <w:next w:val="Normal"/>
    <w:rsid w:val="00D51A7A"/>
    <w:pPr>
      <w:spacing w:before="60" w:line="240" w:lineRule="atLeast"/>
      <w:ind w:left="142" w:hanging="142"/>
    </w:pPr>
    <w:rPr>
      <w:sz w:val="20"/>
    </w:rPr>
  </w:style>
  <w:style w:type="paragraph" w:customStyle="1" w:styleId="CTA-">
    <w:name w:val="CTA -"/>
    <w:basedOn w:val="OPCParaBase"/>
    <w:rsid w:val="00D51A7A"/>
    <w:pPr>
      <w:spacing w:before="60" w:line="240" w:lineRule="atLeast"/>
      <w:ind w:left="85" w:hanging="85"/>
    </w:pPr>
    <w:rPr>
      <w:sz w:val="20"/>
    </w:rPr>
  </w:style>
  <w:style w:type="paragraph" w:customStyle="1" w:styleId="CTA---">
    <w:name w:val="CTA ---"/>
    <w:basedOn w:val="OPCParaBase"/>
    <w:next w:val="Normal"/>
    <w:rsid w:val="00D51A7A"/>
    <w:pPr>
      <w:spacing w:before="60" w:line="240" w:lineRule="atLeast"/>
      <w:ind w:left="198" w:hanging="198"/>
    </w:pPr>
    <w:rPr>
      <w:sz w:val="20"/>
    </w:rPr>
  </w:style>
  <w:style w:type="paragraph" w:customStyle="1" w:styleId="CTA----">
    <w:name w:val="CTA ----"/>
    <w:basedOn w:val="OPCParaBase"/>
    <w:next w:val="Normal"/>
    <w:rsid w:val="00D51A7A"/>
    <w:pPr>
      <w:spacing w:before="60" w:line="240" w:lineRule="atLeast"/>
      <w:ind w:left="255" w:hanging="255"/>
    </w:pPr>
    <w:rPr>
      <w:sz w:val="20"/>
    </w:rPr>
  </w:style>
  <w:style w:type="paragraph" w:customStyle="1" w:styleId="CTA1a">
    <w:name w:val="CTA 1(a)"/>
    <w:basedOn w:val="OPCParaBase"/>
    <w:rsid w:val="00D51A7A"/>
    <w:pPr>
      <w:tabs>
        <w:tab w:val="right" w:pos="414"/>
      </w:tabs>
      <w:spacing w:before="40" w:line="240" w:lineRule="atLeast"/>
      <w:ind w:left="675" w:hanging="675"/>
    </w:pPr>
    <w:rPr>
      <w:sz w:val="20"/>
    </w:rPr>
  </w:style>
  <w:style w:type="paragraph" w:customStyle="1" w:styleId="CTA1ai">
    <w:name w:val="CTA 1(a)(i)"/>
    <w:basedOn w:val="OPCParaBase"/>
    <w:rsid w:val="00D51A7A"/>
    <w:pPr>
      <w:tabs>
        <w:tab w:val="right" w:pos="1004"/>
      </w:tabs>
      <w:spacing w:before="40" w:line="240" w:lineRule="atLeast"/>
      <w:ind w:left="1253" w:hanging="1253"/>
    </w:pPr>
    <w:rPr>
      <w:sz w:val="20"/>
    </w:rPr>
  </w:style>
  <w:style w:type="paragraph" w:customStyle="1" w:styleId="CTA2a">
    <w:name w:val="CTA 2(a)"/>
    <w:basedOn w:val="OPCParaBase"/>
    <w:rsid w:val="00D51A7A"/>
    <w:pPr>
      <w:tabs>
        <w:tab w:val="right" w:pos="482"/>
      </w:tabs>
      <w:spacing w:before="40" w:line="240" w:lineRule="atLeast"/>
      <w:ind w:left="748" w:hanging="748"/>
    </w:pPr>
    <w:rPr>
      <w:sz w:val="20"/>
    </w:rPr>
  </w:style>
  <w:style w:type="paragraph" w:customStyle="1" w:styleId="CTA2ai">
    <w:name w:val="CTA 2(a)(i)"/>
    <w:basedOn w:val="OPCParaBase"/>
    <w:rsid w:val="00D51A7A"/>
    <w:pPr>
      <w:tabs>
        <w:tab w:val="right" w:pos="1089"/>
      </w:tabs>
      <w:spacing w:before="40" w:line="240" w:lineRule="atLeast"/>
      <w:ind w:left="1327" w:hanging="1327"/>
    </w:pPr>
    <w:rPr>
      <w:sz w:val="20"/>
    </w:rPr>
  </w:style>
  <w:style w:type="paragraph" w:customStyle="1" w:styleId="CTA3a">
    <w:name w:val="CTA 3(a)"/>
    <w:basedOn w:val="OPCParaBase"/>
    <w:rsid w:val="00D51A7A"/>
    <w:pPr>
      <w:tabs>
        <w:tab w:val="right" w:pos="556"/>
      </w:tabs>
      <w:spacing w:before="40" w:line="240" w:lineRule="atLeast"/>
      <w:ind w:left="805" w:hanging="805"/>
    </w:pPr>
    <w:rPr>
      <w:sz w:val="20"/>
    </w:rPr>
  </w:style>
  <w:style w:type="paragraph" w:customStyle="1" w:styleId="CTA3ai">
    <w:name w:val="CTA 3(a)(i)"/>
    <w:basedOn w:val="OPCParaBase"/>
    <w:rsid w:val="00D51A7A"/>
    <w:pPr>
      <w:tabs>
        <w:tab w:val="right" w:pos="1140"/>
      </w:tabs>
      <w:spacing w:before="40" w:line="240" w:lineRule="atLeast"/>
      <w:ind w:left="1361" w:hanging="1361"/>
    </w:pPr>
    <w:rPr>
      <w:sz w:val="20"/>
    </w:rPr>
  </w:style>
  <w:style w:type="paragraph" w:customStyle="1" w:styleId="CTA4a">
    <w:name w:val="CTA 4(a)"/>
    <w:basedOn w:val="OPCParaBase"/>
    <w:rsid w:val="00D51A7A"/>
    <w:pPr>
      <w:tabs>
        <w:tab w:val="right" w:pos="624"/>
      </w:tabs>
      <w:spacing w:before="40" w:line="240" w:lineRule="atLeast"/>
      <w:ind w:left="873" w:hanging="873"/>
    </w:pPr>
    <w:rPr>
      <w:sz w:val="20"/>
    </w:rPr>
  </w:style>
  <w:style w:type="paragraph" w:customStyle="1" w:styleId="CTA4ai">
    <w:name w:val="CTA 4(a)(i)"/>
    <w:basedOn w:val="OPCParaBase"/>
    <w:rsid w:val="00D51A7A"/>
    <w:pPr>
      <w:tabs>
        <w:tab w:val="right" w:pos="1213"/>
      </w:tabs>
      <w:spacing w:before="40" w:line="240" w:lineRule="atLeast"/>
      <w:ind w:left="1452" w:hanging="1452"/>
    </w:pPr>
    <w:rPr>
      <w:sz w:val="20"/>
    </w:rPr>
  </w:style>
  <w:style w:type="paragraph" w:customStyle="1" w:styleId="CTACAPS">
    <w:name w:val="CTA CAPS"/>
    <w:basedOn w:val="OPCParaBase"/>
    <w:rsid w:val="00D51A7A"/>
    <w:pPr>
      <w:spacing w:before="60" w:line="240" w:lineRule="atLeast"/>
    </w:pPr>
    <w:rPr>
      <w:sz w:val="20"/>
    </w:rPr>
  </w:style>
  <w:style w:type="paragraph" w:customStyle="1" w:styleId="CTAright">
    <w:name w:val="CTA right"/>
    <w:basedOn w:val="OPCParaBase"/>
    <w:rsid w:val="00D51A7A"/>
    <w:pPr>
      <w:spacing w:before="60" w:line="240" w:lineRule="auto"/>
      <w:jc w:val="right"/>
    </w:pPr>
    <w:rPr>
      <w:sz w:val="20"/>
    </w:rPr>
  </w:style>
  <w:style w:type="paragraph" w:customStyle="1" w:styleId="subsection">
    <w:name w:val="subsection"/>
    <w:aliases w:val="ss"/>
    <w:basedOn w:val="OPCParaBase"/>
    <w:link w:val="subsectionChar"/>
    <w:rsid w:val="00D51A7A"/>
    <w:pPr>
      <w:tabs>
        <w:tab w:val="right" w:pos="1021"/>
      </w:tabs>
      <w:spacing w:before="180" w:line="240" w:lineRule="auto"/>
      <w:ind w:left="1134" w:hanging="1134"/>
    </w:pPr>
  </w:style>
  <w:style w:type="paragraph" w:customStyle="1" w:styleId="Definition">
    <w:name w:val="Definition"/>
    <w:aliases w:val="dd"/>
    <w:basedOn w:val="OPCParaBase"/>
    <w:rsid w:val="00D51A7A"/>
    <w:pPr>
      <w:spacing w:before="180" w:line="240" w:lineRule="auto"/>
      <w:ind w:left="1134"/>
    </w:pPr>
  </w:style>
  <w:style w:type="paragraph" w:customStyle="1" w:styleId="ETAsubitem">
    <w:name w:val="ETA(subitem)"/>
    <w:basedOn w:val="OPCParaBase"/>
    <w:rsid w:val="00D51A7A"/>
    <w:pPr>
      <w:tabs>
        <w:tab w:val="right" w:pos="340"/>
      </w:tabs>
      <w:spacing w:before="60" w:line="240" w:lineRule="auto"/>
      <w:ind w:left="454" w:hanging="454"/>
    </w:pPr>
    <w:rPr>
      <w:sz w:val="20"/>
    </w:rPr>
  </w:style>
  <w:style w:type="paragraph" w:customStyle="1" w:styleId="ETApara">
    <w:name w:val="ETA(para)"/>
    <w:basedOn w:val="OPCParaBase"/>
    <w:rsid w:val="00D51A7A"/>
    <w:pPr>
      <w:tabs>
        <w:tab w:val="right" w:pos="754"/>
      </w:tabs>
      <w:spacing w:before="60" w:line="240" w:lineRule="auto"/>
      <w:ind w:left="828" w:hanging="828"/>
    </w:pPr>
    <w:rPr>
      <w:sz w:val="20"/>
    </w:rPr>
  </w:style>
  <w:style w:type="paragraph" w:customStyle="1" w:styleId="ETAsubpara">
    <w:name w:val="ETA(subpara)"/>
    <w:basedOn w:val="OPCParaBase"/>
    <w:rsid w:val="00D51A7A"/>
    <w:pPr>
      <w:tabs>
        <w:tab w:val="right" w:pos="1083"/>
      </w:tabs>
      <w:spacing w:before="60" w:line="240" w:lineRule="auto"/>
      <w:ind w:left="1191" w:hanging="1191"/>
    </w:pPr>
    <w:rPr>
      <w:sz w:val="20"/>
    </w:rPr>
  </w:style>
  <w:style w:type="paragraph" w:customStyle="1" w:styleId="ETAsub-subpara">
    <w:name w:val="ETA(sub-subpara)"/>
    <w:basedOn w:val="OPCParaBase"/>
    <w:rsid w:val="00D51A7A"/>
    <w:pPr>
      <w:tabs>
        <w:tab w:val="right" w:pos="1412"/>
      </w:tabs>
      <w:spacing w:before="60" w:line="240" w:lineRule="auto"/>
      <w:ind w:left="1525" w:hanging="1525"/>
    </w:pPr>
    <w:rPr>
      <w:sz w:val="20"/>
    </w:rPr>
  </w:style>
  <w:style w:type="paragraph" w:customStyle="1" w:styleId="Formula">
    <w:name w:val="Formula"/>
    <w:basedOn w:val="OPCParaBase"/>
    <w:rsid w:val="00D51A7A"/>
    <w:pPr>
      <w:spacing w:line="240" w:lineRule="auto"/>
      <w:ind w:left="1134"/>
    </w:pPr>
    <w:rPr>
      <w:sz w:val="20"/>
    </w:rPr>
  </w:style>
  <w:style w:type="paragraph" w:styleId="Header">
    <w:name w:val="header"/>
    <w:basedOn w:val="OPCParaBase"/>
    <w:link w:val="HeaderChar"/>
    <w:unhideWhenUsed/>
    <w:rsid w:val="00D51A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1A7A"/>
    <w:rPr>
      <w:rFonts w:eastAsia="Times New Roman" w:cs="Times New Roman"/>
      <w:sz w:val="16"/>
      <w:lang w:eastAsia="en-AU"/>
    </w:rPr>
  </w:style>
  <w:style w:type="paragraph" w:customStyle="1" w:styleId="House">
    <w:name w:val="House"/>
    <w:basedOn w:val="OPCParaBase"/>
    <w:rsid w:val="00D51A7A"/>
    <w:pPr>
      <w:spacing w:line="240" w:lineRule="auto"/>
    </w:pPr>
    <w:rPr>
      <w:sz w:val="28"/>
    </w:rPr>
  </w:style>
  <w:style w:type="paragraph" w:customStyle="1" w:styleId="Item">
    <w:name w:val="Item"/>
    <w:aliases w:val="i"/>
    <w:basedOn w:val="OPCParaBase"/>
    <w:next w:val="ItemHead"/>
    <w:rsid w:val="00D51A7A"/>
    <w:pPr>
      <w:keepLines/>
      <w:spacing w:before="80" w:line="240" w:lineRule="auto"/>
      <w:ind w:left="709"/>
    </w:pPr>
  </w:style>
  <w:style w:type="paragraph" w:customStyle="1" w:styleId="ItemHead">
    <w:name w:val="ItemHead"/>
    <w:aliases w:val="ih"/>
    <w:basedOn w:val="OPCParaBase"/>
    <w:next w:val="Item"/>
    <w:link w:val="ItemHeadChar"/>
    <w:rsid w:val="00D51A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51A7A"/>
    <w:pPr>
      <w:spacing w:line="240" w:lineRule="auto"/>
    </w:pPr>
    <w:rPr>
      <w:b/>
      <w:sz w:val="32"/>
    </w:rPr>
  </w:style>
  <w:style w:type="paragraph" w:customStyle="1" w:styleId="notedraft">
    <w:name w:val="note(draft)"/>
    <w:aliases w:val="nd"/>
    <w:basedOn w:val="OPCParaBase"/>
    <w:rsid w:val="00D51A7A"/>
    <w:pPr>
      <w:spacing w:before="240" w:line="240" w:lineRule="auto"/>
      <w:ind w:left="284" w:hanging="284"/>
    </w:pPr>
    <w:rPr>
      <w:i/>
      <w:sz w:val="24"/>
    </w:rPr>
  </w:style>
  <w:style w:type="paragraph" w:customStyle="1" w:styleId="notemargin">
    <w:name w:val="note(margin)"/>
    <w:aliases w:val="nm"/>
    <w:basedOn w:val="OPCParaBase"/>
    <w:rsid w:val="00D51A7A"/>
    <w:pPr>
      <w:tabs>
        <w:tab w:val="left" w:pos="709"/>
      </w:tabs>
      <w:spacing w:before="122" w:line="198" w:lineRule="exact"/>
      <w:ind w:left="709" w:hanging="709"/>
    </w:pPr>
    <w:rPr>
      <w:sz w:val="18"/>
    </w:rPr>
  </w:style>
  <w:style w:type="paragraph" w:customStyle="1" w:styleId="noteToPara">
    <w:name w:val="noteToPara"/>
    <w:aliases w:val="ntp"/>
    <w:basedOn w:val="OPCParaBase"/>
    <w:rsid w:val="00D51A7A"/>
    <w:pPr>
      <w:spacing w:before="122" w:line="198" w:lineRule="exact"/>
      <w:ind w:left="2353" w:hanging="709"/>
    </w:pPr>
    <w:rPr>
      <w:sz w:val="18"/>
    </w:rPr>
  </w:style>
  <w:style w:type="paragraph" w:customStyle="1" w:styleId="noteParlAmend">
    <w:name w:val="note(ParlAmend)"/>
    <w:aliases w:val="npp"/>
    <w:basedOn w:val="OPCParaBase"/>
    <w:next w:val="ParlAmend"/>
    <w:rsid w:val="00D51A7A"/>
    <w:pPr>
      <w:spacing w:line="240" w:lineRule="auto"/>
      <w:jc w:val="right"/>
    </w:pPr>
    <w:rPr>
      <w:rFonts w:ascii="Arial" w:hAnsi="Arial"/>
      <w:b/>
      <w:i/>
    </w:rPr>
  </w:style>
  <w:style w:type="paragraph" w:customStyle="1" w:styleId="Page1">
    <w:name w:val="Page1"/>
    <w:basedOn w:val="OPCParaBase"/>
    <w:rsid w:val="00D51A7A"/>
    <w:pPr>
      <w:spacing w:before="400" w:line="240" w:lineRule="auto"/>
    </w:pPr>
    <w:rPr>
      <w:b/>
      <w:sz w:val="32"/>
    </w:rPr>
  </w:style>
  <w:style w:type="paragraph" w:customStyle="1" w:styleId="PageBreak">
    <w:name w:val="PageBreak"/>
    <w:aliases w:val="pb"/>
    <w:basedOn w:val="OPCParaBase"/>
    <w:rsid w:val="00D51A7A"/>
    <w:pPr>
      <w:spacing w:line="240" w:lineRule="auto"/>
    </w:pPr>
    <w:rPr>
      <w:sz w:val="20"/>
    </w:rPr>
  </w:style>
  <w:style w:type="paragraph" w:customStyle="1" w:styleId="paragraphsub">
    <w:name w:val="paragraph(sub)"/>
    <w:aliases w:val="aa"/>
    <w:basedOn w:val="OPCParaBase"/>
    <w:rsid w:val="00D51A7A"/>
    <w:pPr>
      <w:tabs>
        <w:tab w:val="right" w:pos="1985"/>
      </w:tabs>
      <w:spacing w:before="40" w:line="240" w:lineRule="auto"/>
      <w:ind w:left="2098" w:hanging="2098"/>
    </w:pPr>
  </w:style>
  <w:style w:type="paragraph" w:customStyle="1" w:styleId="paragraphsub-sub">
    <w:name w:val="paragraph(sub-sub)"/>
    <w:aliases w:val="aaa"/>
    <w:basedOn w:val="OPCParaBase"/>
    <w:rsid w:val="00D51A7A"/>
    <w:pPr>
      <w:tabs>
        <w:tab w:val="right" w:pos="2722"/>
      </w:tabs>
      <w:spacing w:before="40" w:line="240" w:lineRule="auto"/>
      <w:ind w:left="2835" w:hanging="2835"/>
    </w:pPr>
  </w:style>
  <w:style w:type="paragraph" w:customStyle="1" w:styleId="paragraph">
    <w:name w:val="paragraph"/>
    <w:aliases w:val="a"/>
    <w:basedOn w:val="OPCParaBase"/>
    <w:link w:val="paragraphChar"/>
    <w:rsid w:val="00D51A7A"/>
    <w:pPr>
      <w:tabs>
        <w:tab w:val="right" w:pos="1531"/>
      </w:tabs>
      <w:spacing w:before="40" w:line="240" w:lineRule="auto"/>
      <w:ind w:left="1644" w:hanging="1644"/>
    </w:pPr>
  </w:style>
  <w:style w:type="paragraph" w:customStyle="1" w:styleId="ParlAmend">
    <w:name w:val="ParlAmend"/>
    <w:aliases w:val="pp"/>
    <w:basedOn w:val="OPCParaBase"/>
    <w:rsid w:val="00D51A7A"/>
    <w:pPr>
      <w:spacing w:before="240" w:line="240" w:lineRule="atLeast"/>
      <w:ind w:hanging="567"/>
    </w:pPr>
    <w:rPr>
      <w:sz w:val="24"/>
    </w:rPr>
  </w:style>
  <w:style w:type="paragraph" w:customStyle="1" w:styleId="Penalty">
    <w:name w:val="Penalty"/>
    <w:basedOn w:val="OPCParaBase"/>
    <w:rsid w:val="00D51A7A"/>
    <w:pPr>
      <w:tabs>
        <w:tab w:val="left" w:pos="2977"/>
      </w:tabs>
      <w:spacing w:before="180" w:line="240" w:lineRule="auto"/>
      <w:ind w:left="1985" w:hanging="851"/>
    </w:pPr>
  </w:style>
  <w:style w:type="paragraph" w:customStyle="1" w:styleId="Portfolio">
    <w:name w:val="Portfolio"/>
    <w:basedOn w:val="OPCParaBase"/>
    <w:rsid w:val="00D51A7A"/>
    <w:pPr>
      <w:spacing w:line="240" w:lineRule="auto"/>
    </w:pPr>
    <w:rPr>
      <w:i/>
      <w:sz w:val="20"/>
    </w:rPr>
  </w:style>
  <w:style w:type="paragraph" w:customStyle="1" w:styleId="Preamble">
    <w:name w:val="Preamble"/>
    <w:basedOn w:val="OPCParaBase"/>
    <w:next w:val="Normal"/>
    <w:rsid w:val="00D51A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1A7A"/>
    <w:pPr>
      <w:spacing w:line="240" w:lineRule="auto"/>
    </w:pPr>
    <w:rPr>
      <w:i/>
      <w:sz w:val="20"/>
    </w:rPr>
  </w:style>
  <w:style w:type="paragraph" w:customStyle="1" w:styleId="Session">
    <w:name w:val="Session"/>
    <w:basedOn w:val="OPCParaBase"/>
    <w:rsid w:val="00D51A7A"/>
    <w:pPr>
      <w:spacing w:line="240" w:lineRule="auto"/>
    </w:pPr>
    <w:rPr>
      <w:sz w:val="28"/>
    </w:rPr>
  </w:style>
  <w:style w:type="paragraph" w:customStyle="1" w:styleId="Sponsor">
    <w:name w:val="Sponsor"/>
    <w:basedOn w:val="OPCParaBase"/>
    <w:rsid w:val="00D51A7A"/>
    <w:pPr>
      <w:spacing w:line="240" w:lineRule="auto"/>
    </w:pPr>
    <w:rPr>
      <w:i/>
    </w:rPr>
  </w:style>
  <w:style w:type="paragraph" w:customStyle="1" w:styleId="Subitem">
    <w:name w:val="Subitem"/>
    <w:aliases w:val="iss"/>
    <w:basedOn w:val="OPCParaBase"/>
    <w:rsid w:val="00D51A7A"/>
    <w:pPr>
      <w:spacing w:before="180" w:line="240" w:lineRule="auto"/>
      <w:ind w:left="709" w:hanging="709"/>
    </w:pPr>
  </w:style>
  <w:style w:type="paragraph" w:customStyle="1" w:styleId="SubitemHead">
    <w:name w:val="SubitemHead"/>
    <w:aliases w:val="issh"/>
    <w:basedOn w:val="OPCParaBase"/>
    <w:rsid w:val="00D51A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1A7A"/>
    <w:pPr>
      <w:spacing w:before="40" w:line="240" w:lineRule="auto"/>
      <w:ind w:left="1134"/>
    </w:pPr>
  </w:style>
  <w:style w:type="paragraph" w:customStyle="1" w:styleId="SubsectionHead">
    <w:name w:val="SubsectionHead"/>
    <w:aliases w:val="ssh"/>
    <w:basedOn w:val="OPCParaBase"/>
    <w:next w:val="subsection"/>
    <w:rsid w:val="00D51A7A"/>
    <w:pPr>
      <w:keepNext/>
      <w:keepLines/>
      <w:spacing w:before="240" w:line="240" w:lineRule="auto"/>
      <w:ind w:left="1134"/>
    </w:pPr>
    <w:rPr>
      <w:i/>
    </w:rPr>
  </w:style>
  <w:style w:type="paragraph" w:customStyle="1" w:styleId="Tablea">
    <w:name w:val="Table(a)"/>
    <w:aliases w:val="ta"/>
    <w:basedOn w:val="OPCParaBase"/>
    <w:rsid w:val="00D51A7A"/>
    <w:pPr>
      <w:spacing w:before="60" w:line="240" w:lineRule="auto"/>
      <w:ind w:left="284" w:hanging="284"/>
    </w:pPr>
    <w:rPr>
      <w:sz w:val="20"/>
    </w:rPr>
  </w:style>
  <w:style w:type="paragraph" w:customStyle="1" w:styleId="TableAA">
    <w:name w:val="Table(AA)"/>
    <w:aliases w:val="taaa"/>
    <w:basedOn w:val="OPCParaBase"/>
    <w:rsid w:val="00D51A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1A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51A7A"/>
    <w:pPr>
      <w:spacing w:before="60" w:line="240" w:lineRule="atLeast"/>
    </w:pPr>
    <w:rPr>
      <w:sz w:val="20"/>
    </w:rPr>
  </w:style>
  <w:style w:type="paragraph" w:customStyle="1" w:styleId="TLPBoxTextnote">
    <w:name w:val="TLPBoxText(note"/>
    <w:aliases w:val="right)"/>
    <w:basedOn w:val="OPCParaBase"/>
    <w:rsid w:val="00D51A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1A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1A7A"/>
    <w:pPr>
      <w:spacing w:before="122" w:line="198" w:lineRule="exact"/>
      <w:ind w:left="1985" w:hanging="851"/>
      <w:jc w:val="right"/>
    </w:pPr>
    <w:rPr>
      <w:sz w:val="18"/>
    </w:rPr>
  </w:style>
  <w:style w:type="paragraph" w:customStyle="1" w:styleId="TLPTableBullet">
    <w:name w:val="TLPTableBullet"/>
    <w:aliases w:val="ttb"/>
    <w:basedOn w:val="OPCParaBase"/>
    <w:rsid w:val="00D51A7A"/>
    <w:pPr>
      <w:spacing w:line="240" w:lineRule="exact"/>
      <w:ind w:left="284" w:hanging="284"/>
    </w:pPr>
    <w:rPr>
      <w:sz w:val="20"/>
    </w:rPr>
  </w:style>
  <w:style w:type="paragraph" w:styleId="TOC1">
    <w:name w:val="toc 1"/>
    <w:basedOn w:val="OPCParaBase"/>
    <w:next w:val="Normal"/>
    <w:uiPriority w:val="39"/>
    <w:semiHidden/>
    <w:unhideWhenUsed/>
    <w:rsid w:val="00D51A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51A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51A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51A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51A7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51A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51A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51A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51A7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1A7A"/>
    <w:pPr>
      <w:keepLines/>
      <w:spacing w:before="240" w:after="120" w:line="240" w:lineRule="auto"/>
      <w:ind w:left="794"/>
    </w:pPr>
    <w:rPr>
      <w:b/>
      <w:kern w:val="28"/>
      <w:sz w:val="20"/>
    </w:rPr>
  </w:style>
  <w:style w:type="paragraph" w:customStyle="1" w:styleId="TofSectsHeading">
    <w:name w:val="TofSects(Heading)"/>
    <w:basedOn w:val="OPCParaBase"/>
    <w:rsid w:val="00D51A7A"/>
    <w:pPr>
      <w:spacing w:before="240" w:after="120" w:line="240" w:lineRule="auto"/>
    </w:pPr>
    <w:rPr>
      <w:b/>
      <w:sz w:val="24"/>
    </w:rPr>
  </w:style>
  <w:style w:type="paragraph" w:customStyle="1" w:styleId="TofSectsSection">
    <w:name w:val="TofSects(Section)"/>
    <w:basedOn w:val="OPCParaBase"/>
    <w:rsid w:val="00D51A7A"/>
    <w:pPr>
      <w:keepLines/>
      <w:spacing w:before="40" w:line="240" w:lineRule="auto"/>
      <w:ind w:left="1588" w:hanging="794"/>
    </w:pPr>
    <w:rPr>
      <w:kern w:val="28"/>
      <w:sz w:val="18"/>
    </w:rPr>
  </w:style>
  <w:style w:type="paragraph" w:customStyle="1" w:styleId="TofSectsSubdiv">
    <w:name w:val="TofSects(Subdiv)"/>
    <w:basedOn w:val="OPCParaBase"/>
    <w:rsid w:val="00D51A7A"/>
    <w:pPr>
      <w:keepLines/>
      <w:spacing w:before="80" w:line="240" w:lineRule="auto"/>
      <w:ind w:left="1588" w:hanging="794"/>
    </w:pPr>
    <w:rPr>
      <w:kern w:val="28"/>
    </w:rPr>
  </w:style>
  <w:style w:type="paragraph" w:customStyle="1" w:styleId="WRStyle">
    <w:name w:val="WR Style"/>
    <w:aliases w:val="WR"/>
    <w:basedOn w:val="OPCParaBase"/>
    <w:rsid w:val="00D51A7A"/>
    <w:pPr>
      <w:spacing w:before="240" w:line="240" w:lineRule="auto"/>
      <w:ind w:left="284" w:hanging="284"/>
    </w:pPr>
    <w:rPr>
      <w:b/>
      <w:i/>
      <w:kern w:val="28"/>
      <w:sz w:val="24"/>
    </w:rPr>
  </w:style>
  <w:style w:type="paragraph" w:customStyle="1" w:styleId="notepara">
    <w:name w:val="note(para)"/>
    <w:aliases w:val="na"/>
    <w:basedOn w:val="OPCParaBase"/>
    <w:rsid w:val="00D51A7A"/>
    <w:pPr>
      <w:spacing w:before="40" w:line="198" w:lineRule="exact"/>
      <w:ind w:left="2354" w:hanging="369"/>
    </w:pPr>
    <w:rPr>
      <w:sz w:val="18"/>
    </w:rPr>
  </w:style>
  <w:style w:type="paragraph" w:styleId="Footer">
    <w:name w:val="footer"/>
    <w:link w:val="FooterChar"/>
    <w:rsid w:val="00D51A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1A7A"/>
    <w:rPr>
      <w:rFonts w:eastAsia="Times New Roman" w:cs="Times New Roman"/>
      <w:sz w:val="22"/>
      <w:szCs w:val="24"/>
      <w:lang w:eastAsia="en-AU"/>
    </w:rPr>
  </w:style>
  <w:style w:type="character" w:styleId="LineNumber">
    <w:name w:val="line number"/>
    <w:basedOn w:val="OPCCharBase"/>
    <w:uiPriority w:val="99"/>
    <w:semiHidden/>
    <w:unhideWhenUsed/>
    <w:rsid w:val="00D51A7A"/>
    <w:rPr>
      <w:sz w:val="16"/>
    </w:rPr>
  </w:style>
  <w:style w:type="table" w:customStyle="1" w:styleId="CFlag">
    <w:name w:val="CFlag"/>
    <w:basedOn w:val="TableNormal"/>
    <w:uiPriority w:val="99"/>
    <w:rsid w:val="00D51A7A"/>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51A7A"/>
    <w:rPr>
      <w:b/>
      <w:sz w:val="28"/>
      <w:szCs w:val="28"/>
    </w:rPr>
  </w:style>
  <w:style w:type="paragraph" w:customStyle="1" w:styleId="NotesHeading2">
    <w:name w:val="NotesHeading 2"/>
    <w:basedOn w:val="OPCParaBase"/>
    <w:next w:val="Normal"/>
    <w:rsid w:val="00D51A7A"/>
    <w:rPr>
      <w:b/>
      <w:sz w:val="28"/>
      <w:szCs w:val="28"/>
    </w:rPr>
  </w:style>
  <w:style w:type="paragraph" w:customStyle="1" w:styleId="SignCoverPageEnd">
    <w:name w:val="SignCoverPageEnd"/>
    <w:basedOn w:val="OPCParaBase"/>
    <w:next w:val="Normal"/>
    <w:rsid w:val="00D51A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1A7A"/>
    <w:pPr>
      <w:pBdr>
        <w:top w:val="single" w:sz="4" w:space="1" w:color="auto"/>
      </w:pBdr>
      <w:spacing w:before="360"/>
      <w:ind w:right="397"/>
      <w:jc w:val="both"/>
    </w:pPr>
  </w:style>
  <w:style w:type="paragraph" w:customStyle="1" w:styleId="Paragraphsub-sub-sub">
    <w:name w:val="Paragraph(sub-sub-sub)"/>
    <w:aliases w:val="aaaa"/>
    <w:basedOn w:val="OPCParaBase"/>
    <w:rsid w:val="00D51A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1A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1A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1A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1A7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51A7A"/>
    <w:pPr>
      <w:spacing w:before="120"/>
    </w:pPr>
  </w:style>
  <w:style w:type="paragraph" w:customStyle="1" w:styleId="TableTextEndNotes">
    <w:name w:val="TableTextEndNotes"/>
    <w:aliases w:val="Tten"/>
    <w:basedOn w:val="Normal"/>
    <w:rsid w:val="00D51A7A"/>
    <w:pPr>
      <w:spacing w:before="60" w:line="240" w:lineRule="auto"/>
    </w:pPr>
    <w:rPr>
      <w:rFonts w:cs="Arial"/>
      <w:sz w:val="20"/>
      <w:szCs w:val="22"/>
    </w:rPr>
  </w:style>
  <w:style w:type="paragraph" w:customStyle="1" w:styleId="TableHeading">
    <w:name w:val="TableHeading"/>
    <w:aliases w:val="th"/>
    <w:basedOn w:val="OPCParaBase"/>
    <w:next w:val="Tabletext"/>
    <w:rsid w:val="00D51A7A"/>
    <w:pPr>
      <w:keepNext/>
      <w:spacing w:before="60" w:line="240" w:lineRule="atLeast"/>
    </w:pPr>
    <w:rPr>
      <w:b/>
      <w:sz w:val="20"/>
    </w:rPr>
  </w:style>
  <w:style w:type="paragraph" w:customStyle="1" w:styleId="NoteToSubpara">
    <w:name w:val="NoteToSubpara"/>
    <w:aliases w:val="nts"/>
    <w:basedOn w:val="OPCParaBase"/>
    <w:rsid w:val="00D51A7A"/>
    <w:pPr>
      <w:spacing w:before="40" w:line="198" w:lineRule="exact"/>
      <w:ind w:left="2835" w:hanging="709"/>
    </w:pPr>
    <w:rPr>
      <w:sz w:val="18"/>
    </w:rPr>
  </w:style>
  <w:style w:type="paragraph" w:customStyle="1" w:styleId="ENoteTableHeading">
    <w:name w:val="ENoteTableHeading"/>
    <w:aliases w:val="enth"/>
    <w:basedOn w:val="OPCParaBase"/>
    <w:rsid w:val="00D51A7A"/>
    <w:pPr>
      <w:keepNext/>
      <w:spacing w:before="60" w:line="240" w:lineRule="atLeast"/>
    </w:pPr>
    <w:rPr>
      <w:rFonts w:ascii="Arial" w:hAnsi="Arial"/>
      <w:b/>
      <w:sz w:val="16"/>
    </w:rPr>
  </w:style>
  <w:style w:type="paragraph" w:customStyle="1" w:styleId="ENoteTTi">
    <w:name w:val="ENoteTTi"/>
    <w:aliases w:val="entti"/>
    <w:basedOn w:val="OPCParaBase"/>
    <w:rsid w:val="00D51A7A"/>
    <w:pPr>
      <w:keepNext/>
      <w:spacing w:before="60" w:line="240" w:lineRule="atLeast"/>
      <w:ind w:left="170"/>
    </w:pPr>
    <w:rPr>
      <w:sz w:val="16"/>
    </w:rPr>
  </w:style>
  <w:style w:type="paragraph" w:customStyle="1" w:styleId="ENotesHeading1">
    <w:name w:val="ENotesHeading 1"/>
    <w:aliases w:val="Enh1"/>
    <w:basedOn w:val="OPCParaBase"/>
    <w:next w:val="Normal"/>
    <w:rsid w:val="00D51A7A"/>
    <w:pPr>
      <w:spacing w:before="120"/>
      <w:outlineLvl w:val="1"/>
    </w:pPr>
    <w:rPr>
      <w:b/>
      <w:sz w:val="28"/>
      <w:szCs w:val="28"/>
    </w:rPr>
  </w:style>
  <w:style w:type="paragraph" w:customStyle="1" w:styleId="ENotesHeading2">
    <w:name w:val="ENotesHeading 2"/>
    <w:aliases w:val="Enh2"/>
    <w:basedOn w:val="OPCParaBase"/>
    <w:next w:val="Normal"/>
    <w:rsid w:val="00D51A7A"/>
    <w:pPr>
      <w:spacing w:before="120" w:after="120"/>
      <w:outlineLvl w:val="2"/>
    </w:pPr>
    <w:rPr>
      <w:b/>
      <w:sz w:val="24"/>
      <w:szCs w:val="28"/>
    </w:rPr>
  </w:style>
  <w:style w:type="paragraph" w:customStyle="1" w:styleId="ENoteTTIndentHeading">
    <w:name w:val="ENoteTTIndentHeading"/>
    <w:aliases w:val="enTTHi"/>
    <w:basedOn w:val="OPCParaBase"/>
    <w:rsid w:val="00D51A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1A7A"/>
    <w:pPr>
      <w:spacing w:before="60" w:line="240" w:lineRule="atLeast"/>
    </w:pPr>
    <w:rPr>
      <w:sz w:val="16"/>
    </w:rPr>
  </w:style>
  <w:style w:type="paragraph" w:customStyle="1" w:styleId="MadeunderText">
    <w:name w:val="MadeunderText"/>
    <w:basedOn w:val="OPCParaBase"/>
    <w:next w:val="Normal"/>
    <w:rsid w:val="00D51A7A"/>
    <w:pPr>
      <w:spacing w:before="240"/>
    </w:pPr>
    <w:rPr>
      <w:sz w:val="24"/>
      <w:szCs w:val="24"/>
    </w:rPr>
  </w:style>
  <w:style w:type="paragraph" w:customStyle="1" w:styleId="ENotesHeading3">
    <w:name w:val="ENotesHeading 3"/>
    <w:aliases w:val="Enh3"/>
    <w:basedOn w:val="OPCParaBase"/>
    <w:next w:val="Normal"/>
    <w:rsid w:val="00D51A7A"/>
    <w:pPr>
      <w:keepNext/>
      <w:spacing w:before="120" w:line="240" w:lineRule="auto"/>
      <w:outlineLvl w:val="4"/>
    </w:pPr>
    <w:rPr>
      <w:b/>
      <w:szCs w:val="24"/>
    </w:rPr>
  </w:style>
  <w:style w:type="paragraph" w:customStyle="1" w:styleId="SubPartCASA">
    <w:name w:val="SubPart(CASA)"/>
    <w:aliases w:val="csp"/>
    <w:basedOn w:val="OPCParaBase"/>
    <w:next w:val="ActHead3"/>
    <w:rsid w:val="00D51A7A"/>
    <w:pPr>
      <w:keepNext/>
      <w:keepLines/>
      <w:spacing w:before="280"/>
      <w:outlineLvl w:val="1"/>
    </w:pPr>
    <w:rPr>
      <w:b/>
      <w:kern w:val="28"/>
      <w:sz w:val="32"/>
    </w:rPr>
  </w:style>
  <w:style w:type="character" w:customStyle="1" w:styleId="CharSubPartTextCASA">
    <w:name w:val="CharSubPartText(CASA)"/>
    <w:basedOn w:val="OPCCharBase"/>
    <w:uiPriority w:val="1"/>
    <w:rsid w:val="00D51A7A"/>
  </w:style>
  <w:style w:type="character" w:customStyle="1" w:styleId="CharSubPartNoCASA">
    <w:name w:val="CharSubPartNo(CASA)"/>
    <w:basedOn w:val="OPCCharBase"/>
    <w:uiPriority w:val="1"/>
    <w:rsid w:val="00D51A7A"/>
  </w:style>
  <w:style w:type="paragraph" w:customStyle="1" w:styleId="ENoteTTIndentHeadingSub">
    <w:name w:val="ENoteTTIndentHeadingSub"/>
    <w:aliases w:val="enTTHis"/>
    <w:basedOn w:val="OPCParaBase"/>
    <w:rsid w:val="00D51A7A"/>
    <w:pPr>
      <w:keepNext/>
      <w:spacing w:before="60" w:line="240" w:lineRule="atLeast"/>
      <w:ind w:left="340"/>
    </w:pPr>
    <w:rPr>
      <w:b/>
      <w:sz w:val="16"/>
    </w:rPr>
  </w:style>
  <w:style w:type="paragraph" w:customStyle="1" w:styleId="ENoteTTiSub">
    <w:name w:val="ENoteTTiSub"/>
    <w:aliases w:val="enttis"/>
    <w:basedOn w:val="OPCParaBase"/>
    <w:rsid w:val="00D51A7A"/>
    <w:pPr>
      <w:keepNext/>
      <w:spacing w:before="60" w:line="240" w:lineRule="atLeast"/>
      <w:ind w:left="340"/>
    </w:pPr>
    <w:rPr>
      <w:sz w:val="16"/>
    </w:rPr>
  </w:style>
  <w:style w:type="paragraph" w:customStyle="1" w:styleId="SubDivisionMigration">
    <w:name w:val="SubDivisionMigration"/>
    <w:aliases w:val="sdm"/>
    <w:basedOn w:val="OPCParaBase"/>
    <w:rsid w:val="00D51A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1A7A"/>
    <w:pPr>
      <w:keepNext/>
      <w:keepLines/>
      <w:spacing w:before="240" w:line="240" w:lineRule="auto"/>
      <w:ind w:left="1134" w:hanging="1134"/>
    </w:pPr>
    <w:rPr>
      <w:b/>
      <w:sz w:val="28"/>
    </w:rPr>
  </w:style>
  <w:style w:type="table" w:styleId="TableGrid">
    <w:name w:val="Table Grid"/>
    <w:basedOn w:val="TableNormal"/>
    <w:uiPriority w:val="59"/>
    <w:rsid w:val="00D51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D51A7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51A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51A7A"/>
    <w:rPr>
      <w:sz w:val="22"/>
    </w:rPr>
  </w:style>
  <w:style w:type="paragraph" w:customStyle="1" w:styleId="SOTextNote">
    <w:name w:val="SO TextNote"/>
    <w:aliases w:val="sont"/>
    <w:basedOn w:val="SOText"/>
    <w:qFormat/>
    <w:rsid w:val="00D51A7A"/>
    <w:pPr>
      <w:spacing w:before="122" w:line="198" w:lineRule="exact"/>
      <w:ind w:left="1843" w:hanging="709"/>
    </w:pPr>
    <w:rPr>
      <w:sz w:val="18"/>
    </w:rPr>
  </w:style>
  <w:style w:type="paragraph" w:customStyle="1" w:styleId="SOPara">
    <w:name w:val="SO Para"/>
    <w:aliases w:val="soa"/>
    <w:basedOn w:val="SOText"/>
    <w:link w:val="SOParaChar"/>
    <w:qFormat/>
    <w:rsid w:val="00D51A7A"/>
    <w:pPr>
      <w:tabs>
        <w:tab w:val="right" w:pos="1786"/>
      </w:tabs>
      <w:spacing w:before="40"/>
      <w:ind w:left="2070" w:hanging="936"/>
    </w:pPr>
  </w:style>
  <w:style w:type="character" w:customStyle="1" w:styleId="SOParaChar">
    <w:name w:val="SO Para Char"/>
    <w:aliases w:val="soa Char"/>
    <w:basedOn w:val="DefaultParagraphFont"/>
    <w:link w:val="SOPara"/>
    <w:rsid w:val="00D51A7A"/>
    <w:rPr>
      <w:sz w:val="22"/>
    </w:rPr>
  </w:style>
  <w:style w:type="paragraph" w:customStyle="1" w:styleId="FileName">
    <w:name w:val="FileName"/>
    <w:basedOn w:val="Normal"/>
    <w:rsid w:val="00D51A7A"/>
  </w:style>
  <w:style w:type="paragraph" w:customStyle="1" w:styleId="SOHeadBold">
    <w:name w:val="SO HeadBold"/>
    <w:aliases w:val="sohb"/>
    <w:basedOn w:val="SOText"/>
    <w:next w:val="SOText"/>
    <w:link w:val="SOHeadBoldChar"/>
    <w:qFormat/>
    <w:rsid w:val="00D51A7A"/>
    <w:rPr>
      <w:b/>
    </w:rPr>
  </w:style>
  <w:style w:type="character" w:customStyle="1" w:styleId="SOHeadBoldChar">
    <w:name w:val="SO HeadBold Char"/>
    <w:aliases w:val="sohb Char"/>
    <w:basedOn w:val="DefaultParagraphFont"/>
    <w:link w:val="SOHeadBold"/>
    <w:rsid w:val="00D51A7A"/>
    <w:rPr>
      <w:b/>
      <w:sz w:val="22"/>
    </w:rPr>
  </w:style>
  <w:style w:type="paragraph" w:customStyle="1" w:styleId="SOHeadItalic">
    <w:name w:val="SO HeadItalic"/>
    <w:aliases w:val="sohi"/>
    <w:basedOn w:val="SOText"/>
    <w:next w:val="SOText"/>
    <w:link w:val="SOHeadItalicChar"/>
    <w:qFormat/>
    <w:rsid w:val="00D51A7A"/>
    <w:rPr>
      <w:i/>
    </w:rPr>
  </w:style>
  <w:style w:type="character" w:customStyle="1" w:styleId="SOHeadItalicChar">
    <w:name w:val="SO HeadItalic Char"/>
    <w:aliases w:val="sohi Char"/>
    <w:basedOn w:val="DefaultParagraphFont"/>
    <w:link w:val="SOHeadItalic"/>
    <w:rsid w:val="00D51A7A"/>
    <w:rPr>
      <w:i/>
      <w:sz w:val="22"/>
    </w:rPr>
  </w:style>
  <w:style w:type="paragraph" w:customStyle="1" w:styleId="SOBullet">
    <w:name w:val="SO Bullet"/>
    <w:aliases w:val="sotb"/>
    <w:basedOn w:val="SOText"/>
    <w:link w:val="SOBulletChar"/>
    <w:qFormat/>
    <w:rsid w:val="00D51A7A"/>
    <w:pPr>
      <w:ind w:left="1559" w:hanging="425"/>
    </w:pPr>
  </w:style>
  <w:style w:type="character" w:customStyle="1" w:styleId="SOBulletChar">
    <w:name w:val="SO Bullet Char"/>
    <w:aliases w:val="sotb Char"/>
    <w:basedOn w:val="DefaultParagraphFont"/>
    <w:link w:val="SOBullet"/>
    <w:rsid w:val="00D51A7A"/>
    <w:rPr>
      <w:sz w:val="22"/>
    </w:rPr>
  </w:style>
  <w:style w:type="paragraph" w:customStyle="1" w:styleId="SOBulletNote">
    <w:name w:val="SO BulletNote"/>
    <w:aliases w:val="sonb"/>
    <w:basedOn w:val="SOTextNote"/>
    <w:link w:val="SOBulletNoteChar"/>
    <w:qFormat/>
    <w:rsid w:val="00D51A7A"/>
    <w:pPr>
      <w:tabs>
        <w:tab w:val="left" w:pos="1560"/>
      </w:tabs>
      <w:ind w:left="2268" w:hanging="1134"/>
    </w:pPr>
  </w:style>
  <w:style w:type="character" w:customStyle="1" w:styleId="SOBulletNoteChar">
    <w:name w:val="SO BulletNote Char"/>
    <w:aliases w:val="sonb Char"/>
    <w:basedOn w:val="DefaultParagraphFont"/>
    <w:link w:val="SOBulletNote"/>
    <w:rsid w:val="00D51A7A"/>
    <w:rPr>
      <w:sz w:val="18"/>
    </w:rPr>
  </w:style>
  <w:style w:type="character" w:customStyle="1" w:styleId="ItemHeadChar">
    <w:name w:val="ItemHead Char"/>
    <w:aliases w:val="ih Char"/>
    <w:basedOn w:val="DefaultParagraphFont"/>
    <w:link w:val="ItemHead"/>
    <w:rsid w:val="000902C1"/>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CC4C2E"/>
    <w:rPr>
      <w:rFonts w:eastAsia="Times New Roman" w:cs="Times New Roman"/>
      <w:sz w:val="22"/>
      <w:lang w:eastAsia="en-AU"/>
    </w:rPr>
  </w:style>
  <w:style w:type="character" w:customStyle="1" w:styleId="Heading1Char">
    <w:name w:val="Heading 1 Char"/>
    <w:basedOn w:val="DefaultParagraphFont"/>
    <w:link w:val="Heading1"/>
    <w:uiPriority w:val="9"/>
    <w:rsid w:val="00CC4C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C4C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4C2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C4C2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C4C2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C4C2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C4C2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C4C2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C4C2E"/>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D51A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51A7A"/>
    <w:rPr>
      <w:sz w:val="22"/>
    </w:rPr>
  </w:style>
  <w:style w:type="character" w:customStyle="1" w:styleId="paragraphChar">
    <w:name w:val="paragraph Char"/>
    <w:aliases w:val="a Char"/>
    <w:link w:val="paragraph"/>
    <w:rsid w:val="00AA01CC"/>
    <w:rPr>
      <w:rFonts w:eastAsia="Times New Roman" w:cs="Times New Roman"/>
      <w:sz w:val="22"/>
      <w:lang w:eastAsia="en-AU"/>
    </w:rPr>
  </w:style>
  <w:style w:type="paragraph" w:styleId="BalloonText">
    <w:name w:val="Balloon Text"/>
    <w:basedOn w:val="Normal"/>
    <w:link w:val="BalloonTextChar"/>
    <w:uiPriority w:val="99"/>
    <w:semiHidden/>
    <w:unhideWhenUsed/>
    <w:rsid w:val="004A5D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D14"/>
    <w:rPr>
      <w:rFonts w:ascii="Tahoma" w:hAnsi="Tahoma" w:cs="Tahoma"/>
      <w:sz w:val="16"/>
      <w:szCs w:val="16"/>
    </w:rPr>
  </w:style>
  <w:style w:type="paragraph" w:customStyle="1" w:styleId="ShortTP1">
    <w:name w:val="ShortTP1"/>
    <w:basedOn w:val="ShortT"/>
    <w:link w:val="ShortTP1Char"/>
    <w:rsid w:val="003C2CD6"/>
    <w:pPr>
      <w:spacing w:before="800"/>
    </w:pPr>
  </w:style>
  <w:style w:type="character" w:customStyle="1" w:styleId="OPCParaBaseChar">
    <w:name w:val="OPCParaBase Char"/>
    <w:basedOn w:val="DefaultParagraphFont"/>
    <w:link w:val="OPCParaBase"/>
    <w:rsid w:val="003C2CD6"/>
    <w:rPr>
      <w:rFonts w:eastAsia="Times New Roman" w:cs="Times New Roman"/>
      <w:sz w:val="22"/>
      <w:lang w:eastAsia="en-AU"/>
    </w:rPr>
  </w:style>
  <w:style w:type="character" w:customStyle="1" w:styleId="ShortTChar">
    <w:name w:val="ShortT Char"/>
    <w:basedOn w:val="OPCParaBaseChar"/>
    <w:link w:val="ShortT"/>
    <w:rsid w:val="003C2CD6"/>
    <w:rPr>
      <w:rFonts w:eastAsia="Times New Roman" w:cs="Times New Roman"/>
      <w:b/>
      <w:sz w:val="40"/>
      <w:lang w:eastAsia="en-AU"/>
    </w:rPr>
  </w:style>
  <w:style w:type="character" w:customStyle="1" w:styleId="ShortTP1Char">
    <w:name w:val="ShortTP1 Char"/>
    <w:basedOn w:val="ShortTChar"/>
    <w:link w:val="ShortTP1"/>
    <w:rsid w:val="003C2CD6"/>
    <w:rPr>
      <w:rFonts w:eastAsia="Times New Roman" w:cs="Times New Roman"/>
      <w:b/>
      <w:sz w:val="40"/>
      <w:lang w:eastAsia="en-AU"/>
    </w:rPr>
  </w:style>
  <w:style w:type="paragraph" w:customStyle="1" w:styleId="ActNoP1">
    <w:name w:val="ActNoP1"/>
    <w:basedOn w:val="Actno"/>
    <w:link w:val="ActNoP1Char"/>
    <w:rsid w:val="003C2CD6"/>
    <w:pPr>
      <w:spacing w:before="800"/>
    </w:pPr>
    <w:rPr>
      <w:sz w:val="28"/>
    </w:rPr>
  </w:style>
  <w:style w:type="character" w:customStyle="1" w:styleId="ActnoChar">
    <w:name w:val="Actno Char"/>
    <w:basedOn w:val="ShortTChar"/>
    <w:link w:val="Actno"/>
    <w:rsid w:val="003C2CD6"/>
    <w:rPr>
      <w:rFonts w:eastAsia="Times New Roman" w:cs="Times New Roman"/>
      <w:b/>
      <w:sz w:val="40"/>
      <w:lang w:eastAsia="en-AU"/>
    </w:rPr>
  </w:style>
  <w:style w:type="character" w:customStyle="1" w:styleId="ActNoP1Char">
    <w:name w:val="ActNoP1 Char"/>
    <w:basedOn w:val="ActnoChar"/>
    <w:link w:val="ActNoP1"/>
    <w:rsid w:val="003C2CD6"/>
    <w:rPr>
      <w:rFonts w:eastAsia="Times New Roman" w:cs="Times New Roman"/>
      <w:b/>
      <w:sz w:val="28"/>
      <w:lang w:eastAsia="en-AU"/>
    </w:rPr>
  </w:style>
  <w:style w:type="paragraph" w:customStyle="1" w:styleId="ShortTCP">
    <w:name w:val="ShortTCP"/>
    <w:basedOn w:val="ShortT"/>
    <w:link w:val="ShortTCPChar"/>
    <w:rsid w:val="003C2CD6"/>
  </w:style>
  <w:style w:type="character" w:customStyle="1" w:styleId="ShortTCPChar">
    <w:name w:val="ShortTCP Char"/>
    <w:basedOn w:val="ShortTChar"/>
    <w:link w:val="ShortTCP"/>
    <w:rsid w:val="003C2CD6"/>
    <w:rPr>
      <w:rFonts w:eastAsia="Times New Roman" w:cs="Times New Roman"/>
      <w:b/>
      <w:sz w:val="40"/>
      <w:lang w:eastAsia="en-AU"/>
    </w:rPr>
  </w:style>
  <w:style w:type="paragraph" w:customStyle="1" w:styleId="ActNoCP">
    <w:name w:val="ActNoCP"/>
    <w:basedOn w:val="Actno"/>
    <w:link w:val="ActNoCPChar"/>
    <w:rsid w:val="003C2CD6"/>
    <w:pPr>
      <w:spacing w:before="400"/>
    </w:pPr>
  </w:style>
  <w:style w:type="character" w:customStyle="1" w:styleId="ActNoCPChar">
    <w:name w:val="ActNoCP Char"/>
    <w:basedOn w:val="ActnoChar"/>
    <w:link w:val="ActNoCP"/>
    <w:rsid w:val="003C2CD6"/>
    <w:rPr>
      <w:rFonts w:eastAsia="Times New Roman" w:cs="Times New Roman"/>
      <w:b/>
      <w:sz w:val="40"/>
      <w:lang w:eastAsia="en-AU"/>
    </w:rPr>
  </w:style>
  <w:style w:type="paragraph" w:customStyle="1" w:styleId="AssentBk">
    <w:name w:val="AssentBk"/>
    <w:basedOn w:val="Normal"/>
    <w:rsid w:val="003C2CD6"/>
    <w:pPr>
      <w:spacing w:line="240" w:lineRule="auto"/>
    </w:pPr>
    <w:rPr>
      <w:rFonts w:eastAsia="Times New Roman" w:cs="Times New Roman"/>
      <w:sz w:val="20"/>
      <w:lang w:eastAsia="en-AU"/>
    </w:rPr>
  </w:style>
  <w:style w:type="paragraph" w:customStyle="1" w:styleId="AssentDt">
    <w:name w:val="AssentDt"/>
    <w:basedOn w:val="Normal"/>
    <w:rsid w:val="00E71F88"/>
    <w:pPr>
      <w:spacing w:line="240" w:lineRule="auto"/>
    </w:pPr>
    <w:rPr>
      <w:rFonts w:eastAsia="Times New Roman" w:cs="Times New Roman"/>
      <w:sz w:val="20"/>
      <w:lang w:eastAsia="en-AU"/>
    </w:rPr>
  </w:style>
  <w:style w:type="paragraph" w:customStyle="1" w:styleId="2ndRd">
    <w:name w:val="2ndRd"/>
    <w:basedOn w:val="Normal"/>
    <w:rsid w:val="00E71F88"/>
    <w:pPr>
      <w:spacing w:line="240" w:lineRule="auto"/>
    </w:pPr>
    <w:rPr>
      <w:rFonts w:eastAsia="Times New Roman" w:cs="Times New Roman"/>
      <w:sz w:val="20"/>
      <w:lang w:eastAsia="en-AU"/>
    </w:rPr>
  </w:style>
  <w:style w:type="paragraph" w:customStyle="1" w:styleId="ScalePlusRef">
    <w:name w:val="ScalePlusRef"/>
    <w:basedOn w:val="Normal"/>
    <w:rsid w:val="00E71F8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3365</Words>
  <Characters>19452</Characters>
  <Application>Microsoft Office Word</Application>
  <DocSecurity>0</DocSecurity>
  <PresentationFormat/>
  <Lines>2431</Lines>
  <Paragraphs>1521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2014-12-16T22:39:00Z</dcterms:created>
  <dcterms:modified xsi:type="dcterms:W3CDTF">2014-12-16T22:57:00Z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Tertiary Education Quality and Standards Agency Amendment Act 2014</vt:lpwstr>
  </property>
  <property fmtid="{D5CDD505-2E9C-101B-9397-08002B2CF9AE}" pid="3" name="Actno">
    <vt:lpwstr>No. 130, 2014</vt:lpwstr>
  </property>
</Properties>
</file>