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AF5298">
      <w:pPr>
        <w:spacing w:after="0"/>
      </w:pPr>
    </w:p>
    <w:p w:rsidR="00AF5298" w:rsidRPr="002209AE" w:rsidRDefault="00AF5298" w:rsidP="00AF5298">
      <w:pPr>
        <w:spacing w:after="0"/>
        <w:outlineLvl w:val="0"/>
        <w:rPr>
          <w:rFonts w:ascii="Arial" w:hAnsi="Arial" w:cs="Arial"/>
          <w:b/>
          <w:bCs/>
          <w:kern w:val="36"/>
          <w:sz w:val="24"/>
          <w:szCs w:val="24"/>
          <w:lang w:eastAsia="en-AU"/>
        </w:rPr>
      </w:pPr>
      <w:r w:rsidRPr="002209AE">
        <w:rPr>
          <w:rFonts w:ascii="Arial" w:hAnsi="Arial" w:cs="Arial"/>
          <w:b/>
          <w:bCs/>
          <w:kern w:val="36"/>
          <w:sz w:val="24"/>
          <w:szCs w:val="24"/>
          <w:lang w:eastAsia="en-AU"/>
        </w:rPr>
        <w:t>AUSTRALIAN HUMAN RIGHTS COMMISSION</w:t>
      </w:r>
      <w:r>
        <w:rPr>
          <w:rFonts w:ascii="Arial" w:hAnsi="Arial" w:cs="Arial"/>
          <w:b/>
          <w:bCs/>
          <w:kern w:val="36"/>
          <w:sz w:val="24"/>
          <w:szCs w:val="24"/>
          <w:lang w:eastAsia="en-AU"/>
        </w:rPr>
        <w:br/>
      </w:r>
    </w:p>
    <w:p w:rsidR="00AF5298" w:rsidRPr="002209AE" w:rsidRDefault="00AF5298" w:rsidP="00AF5298">
      <w:pPr>
        <w:spacing w:after="0"/>
        <w:outlineLvl w:val="0"/>
        <w:rPr>
          <w:rFonts w:ascii="Arial" w:hAnsi="Arial" w:cs="Arial"/>
          <w:b/>
          <w:bCs/>
          <w:kern w:val="36"/>
          <w:sz w:val="24"/>
          <w:szCs w:val="24"/>
          <w:lang w:eastAsia="en-AU"/>
        </w:rPr>
      </w:pPr>
      <w:r w:rsidRPr="002209AE">
        <w:rPr>
          <w:rFonts w:ascii="Arial" w:hAnsi="Arial" w:cs="Arial"/>
          <w:b/>
          <w:bCs/>
          <w:kern w:val="36"/>
          <w:sz w:val="24"/>
          <w:szCs w:val="24"/>
          <w:lang w:eastAsia="en-AU"/>
        </w:rPr>
        <w:t>DISABILITY DISCRIMINATION ACT 1992 (</w:t>
      </w:r>
      <w:proofErr w:type="spellStart"/>
      <w:r w:rsidRPr="002209AE">
        <w:rPr>
          <w:rFonts w:ascii="Arial" w:hAnsi="Arial" w:cs="Arial"/>
          <w:b/>
          <w:bCs/>
          <w:kern w:val="36"/>
          <w:sz w:val="24"/>
          <w:szCs w:val="24"/>
          <w:lang w:eastAsia="en-AU"/>
        </w:rPr>
        <w:t>Cth</w:t>
      </w:r>
      <w:proofErr w:type="spellEnd"/>
      <w:r w:rsidRPr="002209AE">
        <w:rPr>
          <w:rFonts w:ascii="Arial" w:hAnsi="Arial" w:cs="Arial"/>
          <w:b/>
          <w:bCs/>
          <w:kern w:val="36"/>
          <w:sz w:val="24"/>
          <w:szCs w:val="24"/>
          <w:lang w:eastAsia="en-AU"/>
        </w:rPr>
        <w:t>), Section 55(1)</w:t>
      </w:r>
      <w:r>
        <w:rPr>
          <w:rFonts w:ascii="Arial" w:hAnsi="Arial" w:cs="Arial"/>
          <w:b/>
          <w:bCs/>
          <w:kern w:val="36"/>
          <w:sz w:val="24"/>
          <w:szCs w:val="24"/>
          <w:lang w:eastAsia="en-AU"/>
        </w:rPr>
        <w:br/>
      </w:r>
    </w:p>
    <w:p w:rsidR="00AF5298" w:rsidRPr="002209AE" w:rsidRDefault="00AF5298" w:rsidP="00AF5298">
      <w:pPr>
        <w:spacing w:after="0"/>
        <w:outlineLvl w:val="0"/>
        <w:rPr>
          <w:rFonts w:ascii="Arial" w:hAnsi="Arial" w:cs="Arial"/>
          <w:b/>
          <w:bCs/>
          <w:kern w:val="36"/>
          <w:sz w:val="24"/>
          <w:szCs w:val="24"/>
          <w:lang w:eastAsia="en-AU"/>
        </w:rPr>
      </w:pPr>
      <w:r w:rsidRPr="002209AE">
        <w:rPr>
          <w:rFonts w:ascii="Arial" w:hAnsi="Arial" w:cs="Arial"/>
          <w:b/>
          <w:bCs/>
          <w:kern w:val="36"/>
          <w:sz w:val="24"/>
          <w:szCs w:val="24"/>
          <w:lang w:eastAsia="en-AU"/>
        </w:rPr>
        <w:t>DISABILITY STANDARDS FOR ACCESSIBLE PUBLIC TRANSPORT 2002 (</w:t>
      </w:r>
      <w:proofErr w:type="spellStart"/>
      <w:r w:rsidRPr="002209AE">
        <w:rPr>
          <w:rFonts w:ascii="Arial" w:hAnsi="Arial" w:cs="Arial"/>
          <w:b/>
          <w:bCs/>
          <w:kern w:val="36"/>
          <w:sz w:val="24"/>
          <w:szCs w:val="24"/>
          <w:lang w:eastAsia="en-AU"/>
        </w:rPr>
        <w:t>Cth</w:t>
      </w:r>
      <w:proofErr w:type="spellEnd"/>
      <w:r w:rsidRPr="002209AE">
        <w:rPr>
          <w:rFonts w:ascii="Arial" w:hAnsi="Arial" w:cs="Arial"/>
          <w:b/>
          <w:bCs/>
          <w:kern w:val="36"/>
          <w:sz w:val="24"/>
          <w:szCs w:val="24"/>
          <w:lang w:eastAsia="en-AU"/>
        </w:rPr>
        <w:t xml:space="preserve">), Section </w:t>
      </w:r>
      <w:proofErr w:type="gramStart"/>
      <w:r w:rsidRPr="002209AE">
        <w:rPr>
          <w:rFonts w:ascii="Arial" w:hAnsi="Arial" w:cs="Arial"/>
          <w:b/>
          <w:bCs/>
          <w:kern w:val="36"/>
          <w:sz w:val="24"/>
          <w:szCs w:val="24"/>
          <w:lang w:eastAsia="en-AU"/>
        </w:rPr>
        <w:t>33A.1(</w:t>
      </w:r>
      <w:proofErr w:type="gramEnd"/>
      <w:r w:rsidRPr="002209AE">
        <w:rPr>
          <w:rFonts w:ascii="Arial" w:hAnsi="Arial" w:cs="Arial"/>
          <w:b/>
          <w:bCs/>
          <w:kern w:val="36"/>
          <w:sz w:val="24"/>
          <w:szCs w:val="24"/>
          <w:lang w:eastAsia="en-AU"/>
        </w:rPr>
        <w:t>2)</w:t>
      </w:r>
      <w:r>
        <w:rPr>
          <w:rFonts w:ascii="Arial" w:hAnsi="Arial" w:cs="Arial"/>
          <w:b/>
          <w:bCs/>
          <w:kern w:val="36"/>
          <w:sz w:val="24"/>
          <w:szCs w:val="24"/>
          <w:lang w:eastAsia="en-AU"/>
        </w:rPr>
        <w:br/>
      </w:r>
    </w:p>
    <w:p w:rsidR="00AF5298" w:rsidRPr="002209AE" w:rsidRDefault="00AF5298" w:rsidP="00AF5298">
      <w:pPr>
        <w:spacing w:after="0"/>
        <w:outlineLvl w:val="0"/>
        <w:rPr>
          <w:rFonts w:ascii="Arial" w:hAnsi="Arial" w:cs="Arial"/>
          <w:b/>
          <w:bCs/>
          <w:kern w:val="36"/>
          <w:sz w:val="24"/>
          <w:szCs w:val="24"/>
          <w:lang w:eastAsia="en-AU"/>
        </w:rPr>
      </w:pPr>
      <w:r w:rsidRPr="002209AE">
        <w:rPr>
          <w:rFonts w:ascii="Arial" w:hAnsi="Arial" w:cs="Arial"/>
          <w:b/>
          <w:bCs/>
          <w:kern w:val="36"/>
          <w:sz w:val="24"/>
          <w:szCs w:val="24"/>
          <w:lang w:eastAsia="en-AU"/>
        </w:rPr>
        <w:t>NOTICE OF DECISION ON APPLICATION FOR TEMPORARY EXEMPTIONS: AUSTRALASIAN RAILWAY ASSOCIATION</w:t>
      </w:r>
      <w:r>
        <w:rPr>
          <w:rFonts w:ascii="Arial" w:hAnsi="Arial" w:cs="Arial"/>
          <w:b/>
          <w:bCs/>
          <w:kern w:val="36"/>
          <w:sz w:val="24"/>
          <w:szCs w:val="24"/>
          <w:lang w:eastAsia="en-AU"/>
        </w:rPr>
        <w:br/>
      </w:r>
    </w:p>
    <w:p w:rsidR="00AF5298" w:rsidRPr="002209AE" w:rsidRDefault="00AF5298" w:rsidP="00AF5298">
      <w:pPr>
        <w:pStyle w:val="Heading3"/>
        <w:spacing w:before="0" w:beforeAutospacing="0" w:after="0" w:afterAutospacing="0" w:line="276" w:lineRule="auto"/>
        <w:rPr>
          <w:rFonts w:ascii="Arial" w:hAnsi="Arial" w:cs="Arial"/>
          <w:b w:val="0"/>
          <w:color w:val="000000"/>
          <w:sz w:val="24"/>
          <w:szCs w:val="24"/>
        </w:rPr>
      </w:pPr>
      <w:r w:rsidRPr="002209AE">
        <w:rPr>
          <w:rFonts w:ascii="Arial" w:hAnsi="Arial" w:cs="Arial"/>
          <w:b w:val="0"/>
          <w:color w:val="000000"/>
          <w:sz w:val="24"/>
          <w:szCs w:val="24"/>
        </w:rPr>
        <w:t xml:space="preserve">By this instrument, the Australian Human Rights Commission (‘the Commission’) gives notice of its decision in relation to an application made by the Australasian Railway Association </w:t>
      </w:r>
      <w:r w:rsidRPr="002209AE">
        <w:rPr>
          <w:rFonts w:ascii="Arial" w:hAnsi="Arial" w:cs="Arial"/>
          <w:b w:val="0"/>
          <w:bCs w:val="0"/>
          <w:sz w:val="24"/>
          <w:szCs w:val="24"/>
        </w:rPr>
        <w:t>(‘the ARA’)</w:t>
      </w:r>
      <w:r w:rsidRPr="002209AE">
        <w:rPr>
          <w:rFonts w:ascii="Arial" w:hAnsi="Arial" w:cs="Arial"/>
          <w:bCs w:val="0"/>
          <w:sz w:val="24"/>
          <w:szCs w:val="24"/>
        </w:rPr>
        <w:t xml:space="preserve"> </w:t>
      </w:r>
      <w:r w:rsidRPr="002209AE">
        <w:rPr>
          <w:rFonts w:ascii="Arial" w:hAnsi="Arial" w:cs="Arial"/>
          <w:b w:val="0"/>
          <w:color w:val="000000"/>
          <w:sz w:val="24"/>
          <w:szCs w:val="24"/>
        </w:rPr>
        <w:t xml:space="preserve">for temporary exemptions pursuant to section 55(1) of the </w:t>
      </w:r>
      <w:r w:rsidRPr="002209AE">
        <w:rPr>
          <w:rFonts w:ascii="Arial" w:hAnsi="Arial" w:cs="Arial"/>
          <w:b w:val="0"/>
          <w:i/>
          <w:iCs/>
          <w:color w:val="000000"/>
          <w:sz w:val="24"/>
          <w:szCs w:val="24"/>
        </w:rPr>
        <w:t>Disability Discrimination Act 1992</w:t>
      </w:r>
      <w:r w:rsidRPr="002209AE">
        <w:rPr>
          <w:rFonts w:ascii="Arial" w:hAnsi="Arial" w:cs="Arial"/>
          <w:b w:val="0"/>
          <w:color w:val="000000"/>
          <w:sz w:val="24"/>
          <w:szCs w:val="24"/>
        </w:rPr>
        <w:t xml:space="preserve"> (</w:t>
      </w:r>
      <w:proofErr w:type="spellStart"/>
      <w:r w:rsidRPr="002209AE">
        <w:rPr>
          <w:rFonts w:ascii="Arial" w:hAnsi="Arial" w:cs="Arial"/>
          <w:b w:val="0"/>
          <w:color w:val="000000"/>
          <w:sz w:val="24"/>
          <w:szCs w:val="24"/>
        </w:rPr>
        <w:t>Cth</w:t>
      </w:r>
      <w:proofErr w:type="spellEnd"/>
      <w:r w:rsidRPr="002209AE">
        <w:rPr>
          <w:rFonts w:ascii="Arial" w:hAnsi="Arial" w:cs="Arial"/>
          <w:b w:val="0"/>
          <w:color w:val="000000"/>
          <w:sz w:val="24"/>
          <w:szCs w:val="24"/>
        </w:rPr>
        <w:t xml:space="preserve">) (‘DDA’) and section 33A.1 of the </w:t>
      </w:r>
      <w:r w:rsidRPr="002209AE">
        <w:rPr>
          <w:rFonts w:ascii="Arial" w:hAnsi="Arial" w:cs="Arial"/>
          <w:b w:val="0"/>
          <w:i/>
          <w:color w:val="000000"/>
          <w:sz w:val="24"/>
          <w:szCs w:val="24"/>
        </w:rPr>
        <w:t>Disability Standards for Accessible Public Transport 2002</w:t>
      </w:r>
      <w:r w:rsidRPr="002209AE">
        <w:rPr>
          <w:rFonts w:ascii="Arial" w:hAnsi="Arial" w:cs="Arial"/>
          <w:b w:val="0"/>
          <w:color w:val="000000"/>
          <w:sz w:val="24"/>
          <w:szCs w:val="24"/>
        </w:rPr>
        <w:t xml:space="preserve"> (</w:t>
      </w:r>
      <w:proofErr w:type="spellStart"/>
      <w:r w:rsidRPr="002209AE">
        <w:rPr>
          <w:rFonts w:ascii="Arial" w:hAnsi="Arial" w:cs="Arial"/>
          <w:b w:val="0"/>
          <w:color w:val="000000"/>
          <w:sz w:val="24"/>
          <w:szCs w:val="24"/>
        </w:rPr>
        <w:t>Cth</w:t>
      </w:r>
      <w:proofErr w:type="spellEnd"/>
      <w:r w:rsidRPr="002209AE">
        <w:rPr>
          <w:rFonts w:ascii="Arial" w:hAnsi="Arial" w:cs="Arial"/>
          <w:b w:val="0"/>
          <w:color w:val="000000"/>
          <w:sz w:val="24"/>
          <w:szCs w:val="24"/>
        </w:rPr>
        <w:t xml:space="preserve">) (‘DSAPT’).  </w:t>
      </w:r>
    </w:p>
    <w:p w:rsidR="00AF5298" w:rsidRPr="002209AE" w:rsidRDefault="00AF5298" w:rsidP="00AF5298">
      <w:pPr>
        <w:pStyle w:val="Heading3"/>
        <w:spacing w:before="0" w:beforeAutospacing="0" w:after="0" w:afterAutospacing="0" w:line="276" w:lineRule="auto"/>
        <w:rPr>
          <w:rFonts w:ascii="Arial" w:hAnsi="Arial" w:cs="Arial"/>
          <w:b w:val="0"/>
          <w:color w:val="000000"/>
          <w:sz w:val="24"/>
          <w:szCs w:val="24"/>
        </w:rPr>
      </w:pPr>
    </w:p>
    <w:p w:rsidR="00AF5298" w:rsidRPr="002209AE" w:rsidRDefault="00AF5298" w:rsidP="00AF5298">
      <w:pPr>
        <w:numPr>
          <w:ilvl w:val="0"/>
          <w:numId w:val="1"/>
        </w:numPr>
        <w:spacing w:after="0"/>
        <w:outlineLvl w:val="2"/>
        <w:rPr>
          <w:rFonts w:ascii="Arial" w:hAnsi="Arial" w:cs="Arial"/>
          <w:b/>
          <w:bCs/>
          <w:sz w:val="24"/>
          <w:szCs w:val="24"/>
          <w:lang w:eastAsia="en-AU"/>
        </w:rPr>
      </w:pPr>
      <w:r w:rsidRPr="002209AE">
        <w:rPr>
          <w:rFonts w:ascii="Arial" w:hAnsi="Arial" w:cs="Arial"/>
          <w:b/>
          <w:bCs/>
          <w:sz w:val="24"/>
          <w:szCs w:val="24"/>
          <w:lang w:eastAsia="en-AU"/>
        </w:rPr>
        <w:t>BACKGROUND</w:t>
      </w:r>
    </w:p>
    <w:p w:rsidR="00AF5298" w:rsidRPr="002209AE" w:rsidRDefault="00AF5298" w:rsidP="00AF5298">
      <w:pPr>
        <w:spacing w:after="0"/>
        <w:ind w:left="720"/>
        <w:outlineLvl w:val="2"/>
        <w:rPr>
          <w:rFonts w:ascii="Arial" w:hAnsi="Arial" w:cs="Arial"/>
          <w:b/>
          <w:bCs/>
          <w:sz w:val="24"/>
          <w:szCs w:val="24"/>
          <w:lang w:eastAsia="en-AU"/>
        </w:rPr>
      </w:pPr>
    </w:p>
    <w:p w:rsidR="00AF5298" w:rsidRPr="002209AE" w:rsidRDefault="00AF5298" w:rsidP="00AF5298">
      <w:pPr>
        <w:numPr>
          <w:ilvl w:val="1"/>
          <w:numId w:val="1"/>
        </w:numPr>
        <w:spacing w:after="0"/>
        <w:outlineLvl w:val="2"/>
        <w:rPr>
          <w:rFonts w:ascii="Arial" w:hAnsi="Arial" w:cs="Arial"/>
          <w:bCs/>
          <w:sz w:val="24"/>
          <w:szCs w:val="24"/>
          <w:lang w:eastAsia="en-AU"/>
        </w:rPr>
      </w:pPr>
      <w:r w:rsidRPr="002209AE">
        <w:rPr>
          <w:rFonts w:ascii="Arial" w:hAnsi="Arial" w:cs="Arial"/>
          <w:bCs/>
          <w:sz w:val="24"/>
          <w:szCs w:val="24"/>
          <w:lang w:eastAsia="en-AU"/>
        </w:rPr>
        <w:t xml:space="preserve">On 22 January 2007 and 5 November 2007, the Commission granted members of the ARA a number of exemptions from the DDA and the DSAPT pursuant to sections 55(1) and 55(1A) of the DDA (‘the 2007 exemptions’).  The decisions granting these exemptions (‘the 2007 decisions’) are available on the Commission website at </w:t>
      </w:r>
      <w:hyperlink r:id="rId9" w:history="1">
        <w:r>
          <w:rPr>
            <w:rStyle w:val="Hyperlink"/>
            <w:rFonts w:ascii="Arial" w:hAnsi="Arial" w:cs="Arial"/>
            <w:sz w:val="24"/>
            <w:szCs w:val="24"/>
          </w:rPr>
          <w:t>https://www.humanrights.gov.au/our-work/legal/exemptions/exemptions-under-disability-discrimination-act</w:t>
        </w:r>
      </w:hyperlink>
      <w:r>
        <w:rPr>
          <w:rFonts w:ascii="Arial" w:hAnsi="Arial" w:cs="Arial"/>
          <w:sz w:val="24"/>
          <w:szCs w:val="24"/>
        </w:rPr>
        <w:t>.</w:t>
      </w:r>
    </w:p>
    <w:p w:rsidR="00AF5298" w:rsidRPr="002209AE" w:rsidRDefault="00AF5298" w:rsidP="00AF5298">
      <w:pPr>
        <w:spacing w:after="0"/>
        <w:ind w:left="720"/>
        <w:outlineLvl w:val="2"/>
        <w:rPr>
          <w:rFonts w:ascii="Arial" w:hAnsi="Arial" w:cs="Arial"/>
          <w:bCs/>
          <w:sz w:val="24"/>
          <w:szCs w:val="24"/>
          <w:lang w:eastAsia="en-AU"/>
        </w:rPr>
      </w:pPr>
    </w:p>
    <w:p w:rsidR="00AF5298" w:rsidRPr="002209AE" w:rsidRDefault="00AF5298" w:rsidP="00AF5298">
      <w:pPr>
        <w:numPr>
          <w:ilvl w:val="1"/>
          <w:numId w:val="1"/>
        </w:numPr>
        <w:spacing w:after="0"/>
        <w:outlineLvl w:val="2"/>
        <w:rPr>
          <w:rFonts w:ascii="Arial" w:hAnsi="Arial" w:cs="Arial"/>
          <w:bCs/>
          <w:sz w:val="24"/>
          <w:szCs w:val="24"/>
          <w:lang w:eastAsia="en-AU"/>
        </w:rPr>
      </w:pPr>
      <w:r w:rsidRPr="002209AE">
        <w:rPr>
          <w:rFonts w:ascii="Arial" w:hAnsi="Arial" w:cs="Arial"/>
          <w:bCs/>
          <w:sz w:val="24"/>
          <w:szCs w:val="24"/>
          <w:lang w:eastAsia="en-AU"/>
        </w:rPr>
        <w:t xml:space="preserve">The effect of the 2007 exemptions was extended by further exemptions granted </w:t>
      </w:r>
      <w:r>
        <w:rPr>
          <w:rFonts w:ascii="Arial" w:hAnsi="Arial" w:cs="Arial"/>
          <w:bCs/>
          <w:sz w:val="24"/>
          <w:szCs w:val="24"/>
          <w:lang w:eastAsia="en-AU"/>
        </w:rPr>
        <w:t xml:space="preserve">by the Commission </w:t>
      </w:r>
      <w:r w:rsidRPr="002209AE">
        <w:rPr>
          <w:rFonts w:ascii="Arial" w:hAnsi="Arial" w:cs="Arial"/>
          <w:bCs/>
          <w:sz w:val="24"/>
          <w:szCs w:val="24"/>
          <w:lang w:eastAsia="en-AU"/>
        </w:rPr>
        <w:t xml:space="preserve">on 7 January 2010, 7 September 2010, and 1 February 2012.  </w:t>
      </w:r>
    </w:p>
    <w:p w:rsidR="00AF5298" w:rsidRPr="002209AE" w:rsidRDefault="00AF5298" w:rsidP="00AF5298">
      <w:pPr>
        <w:pStyle w:val="ListParagraph"/>
        <w:spacing w:line="276" w:lineRule="auto"/>
        <w:rPr>
          <w:rFonts w:ascii="Arial" w:hAnsi="Arial" w:cs="Arial"/>
          <w:bCs/>
          <w:sz w:val="24"/>
          <w:szCs w:val="24"/>
          <w:lang w:eastAsia="en-AU"/>
        </w:rPr>
      </w:pPr>
    </w:p>
    <w:p w:rsidR="00AF5298" w:rsidRPr="002209AE" w:rsidRDefault="00AF5298" w:rsidP="00AF5298">
      <w:pPr>
        <w:numPr>
          <w:ilvl w:val="1"/>
          <w:numId w:val="1"/>
        </w:numPr>
        <w:spacing w:after="0"/>
        <w:outlineLvl w:val="2"/>
        <w:rPr>
          <w:rFonts w:ascii="Arial" w:hAnsi="Arial" w:cs="Arial"/>
          <w:bCs/>
          <w:sz w:val="24"/>
          <w:szCs w:val="24"/>
          <w:lang w:eastAsia="en-AU"/>
        </w:rPr>
      </w:pPr>
      <w:r w:rsidRPr="002209AE">
        <w:rPr>
          <w:rFonts w:ascii="Arial" w:hAnsi="Arial" w:cs="Arial"/>
          <w:bCs/>
          <w:sz w:val="24"/>
          <w:szCs w:val="24"/>
          <w:lang w:eastAsia="en-AU"/>
        </w:rPr>
        <w:t>The exemptions granted on 1 F</w:t>
      </w:r>
      <w:r>
        <w:rPr>
          <w:rFonts w:ascii="Arial" w:hAnsi="Arial" w:cs="Arial"/>
          <w:bCs/>
          <w:sz w:val="24"/>
          <w:szCs w:val="24"/>
          <w:lang w:eastAsia="en-AU"/>
        </w:rPr>
        <w:t>ebruary 2012 will expire on 31 </w:t>
      </w:r>
      <w:r w:rsidRPr="002209AE">
        <w:rPr>
          <w:rFonts w:ascii="Arial" w:hAnsi="Arial" w:cs="Arial"/>
          <w:bCs/>
          <w:sz w:val="24"/>
          <w:szCs w:val="24"/>
          <w:lang w:eastAsia="en-AU"/>
        </w:rPr>
        <w:t xml:space="preserve">December 2013.  </w:t>
      </w:r>
    </w:p>
    <w:p w:rsidR="00AF5298" w:rsidRPr="002209AE" w:rsidRDefault="00AF5298" w:rsidP="00AF5298">
      <w:pPr>
        <w:spacing w:after="0"/>
        <w:ind w:left="720"/>
        <w:outlineLvl w:val="2"/>
        <w:rPr>
          <w:rFonts w:ascii="Arial" w:hAnsi="Arial" w:cs="Arial"/>
          <w:b/>
          <w:bCs/>
          <w:sz w:val="24"/>
          <w:szCs w:val="24"/>
          <w:lang w:eastAsia="en-AU"/>
        </w:rPr>
      </w:pPr>
    </w:p>
    <w:p w:rsidR="00AF5298" w:rsidRPr="002209AE" w:rsidRDefault="00AF5298" w:rsidP="00AF5298">
      <w:pPr>
        <w:numPr>
          <w:ilvl w:val="0"/>
          <w:numId w:val="1"/>
        </w:numPr>
        <w:spacing w:after="0"/>
        <w:outlineLvl w:val="2"/>
        <w:rPr>
          <w:rFonts w:ascii="Arial" w:hAnsi="Arial" w:cs="Arial"/>
          <w:b/>
          <w:bCs/>
          <w:sz w:val="24"/>
          <w:szCs w:val="24"/>
          <w:lang w:eastAsia="en-AU"/>
        </w:rPr>
      </w:pPr>
      <w:r w:rsidRPr="002209AE">
        <w:rPr>
          <w:rFonts w:ascii="Arial" w:hAnsi="Arial" w:cs="Arial"/>
          <w:b/>
          <w:bCs/>
          <w:sz w:val="24"/>
          <w:szCs w:val="24"/>
          <w:lang w:eastAsia="en-AU"/>
        </w:rPr>
        <w:t>THE APPLICATION</w:t>
      </w:r>
    </w:p>
    <w:p w:rsidR="00AF5298" w:rsidRPr="002209AE" w:rsidRDefault="00AF5298" w:rsidP="00AF5298">
      <w:pPr>
        <w:spacing w:after="0"/>
        <w:outlineLvl w:val="2"/>
        <w:rPr>
          <w:rFonts w:ascii="Arial" w:hAnsi="Arial" w:cs="Arial"/>
          <w:color w:val="000000"/>
          <w:sz w:val="24"/>
          <w:szCs w:val="24"/>
        </w:rPr>
      </w:pPr>
    </w:p>
    <w:p w:rsidR="00AF5298" w:rsidRPr="002209AE" w:rsidRDefault="00AF5298" w:rsidP="00AF5298">
      <w:pPr>
        <w:numPr>
          <w:ilvl w:val="1"/>
          <w:numId w:val="1"/>
        </w:numPr>
        <w:spacing w:after="0"/>
        <w:outlineLvl w:val="2"/>
        <w:rPr>
          <w:rFonts w:ascii="Arial" w:hAnsi="Arial" w:cs="Arial"/>
          <w:color w:val="000000"/>
          <w:sz w:val="24"/>
          <w:szCs w:val="24"/>
        </w:rPr>
      </w:pPr>
      <w:r w:rsidRPr="002209AE">
        <w:rPr>
          <w:rFonts w:ascii="Arial" w:hAnsi="Arial" w:cs="Arial"/>
          <w:bCs/>
          <w:sz w:val="24"/>
          <w:szCs w:val="24"/>
          <w:lang w:eastAsia="en-AU"/>
        </w:rPr>
        <w:t xml:space="preserve">The </w:t>
      </w:r>
      <w:r w:rsidRPr="002209AE">
        <w:rPr>
          <w:rFonts w:ascii="Arial" w:hAnsi="Arial" w:cs="Arial"/>
          <w:color w:val="000000"/>
          <w:sz w:val="24"/>
          <w:szCs w:val="24"/>
        </w:rPr>
        <w:t>ARA</w:t>
      </w:r>
      <w:r w:rsidRPr="002209AE">
        <w:rPr>
          <w:rFonts w:ascii="Arial" w:hAnsi="Arial" w:cs="Arial"/>
          <w:bCs/>
          <w:sz w:val="24"/>
          <w:szCs w:val="24"/>
          <w:lang w:eastAsia="en-AU"/>
        </w:rPr>
        <w:t xml:space="preserve"> has now made an application on behalf of its members (‘members of the ARA’), for temporary exemptions from the DDA and the DSAPT:</w:t>
      </w:r>
    </w:p>
    <w:p w:rsidR="00AF5298" w:rsidRPr="002209AE" w:rsidRDefault="00AF5298" w:rsidP="00AF5298">
      <w:pPr>
        <w:spacing w:after="0"/>
        <w:ind w:left="720"/>
        <w:outlineLvl w:val="2"/>
        <w:rPr>
          <w:rFonts w:ascii="Arial" w:hAnsi="Arial" w:cs="Arial"/>
          <w:color w:val="000000"/>
          <w:sz w:val="24"/>
          <w:szCs w:val="24"/>
        </w:rPr>
      </w:pPr>
    </w:p>
    <w:p w:rsidR="00AF5298" w:rsidRPr="002209AE" w:rsidRDefault="00AF5298" w:rsidP="00AF5298">
      <w:pPr>
        <w:numPr>
          <w:ilvl w:val="2"/>
          <w:numId w:val="1"/>
        </w:numPr>
        <w:spacing w:after="0"/>
        <w:ind w:left="1418" w:hanging="709"/>
        <w:outlineLvl w:val="2"/>
        <w:rPr>
          <w:rFonts w:ascii="Arial" w:hAnsi="Arial" w:cs="Arial"/>
          <w:color w:val="000000"/>
          <w:sz w:val="24"/>
          <w:szCs w:val="24"/>
        </w:rPr>
      </w:pPr>
      <w:r w:rsidRPr="002209AE">
        <w:rPr>
          <w:rFonts w:ascii="Arial" w:hAnsi="Arial" w:cs="Arial"/>
          <w:color w:val="000000"/>
          <w:sz w:val="24"/>
          <w:szCs w:val="24"/>
        </w:rPr>
        <w:t xml:space="preserve">exempting members of the ARA from the operation of the DSAPT and certain obligations arising under the DDA for a period of five years, on the condition </w:t>
      </w:r>
      <w:r w:rsidRPr="002209AE">
        <w:rPr>
          <w:rFonts w:ascii="Arial" w:hAnsi="Arial" w:cs="Arial"/>
          <w:color w:val="000000"/>
          <w:sz w:val="24"/>
          <w:szCs w:val="24"/>
        </w:rPr>
        <w:lastRenderedPageBreak/>
        <w:t>that they comply with a proposed National Code of Practice f</w:t>
      </w:r>
      <w:r>
        <w:rPr>
          <w:rFonts w:ascii="Arial" w:hAnsi="Arial" w:cs="Arial"/>
          <w:color w:val="000000"/>
          <w:sz w:val="24"/>
          <w:szCs w:val="24"/>
        </w:rPr>
        <w:t xml:space="preserve">or Accessible Rail Services;  </w:t>
      </w:r>
    </w:p>
    <w:p w:rsidR="00AF5298" w:rsidRPr="002209AE" w:rsidRDefault="00AF5298" w:rsidP="00AF5298">
      <w:pPr>
        <w:spacing w:after="0"/>
        <w:ind w:left="2041"/>
        <w:outlineLvl w:val="2"/>
        <w:rPr>
          <w:rFonts w:ascii="Arial" w:hAnsi="Arial" w:cs="Arial"/>
          <w:color w:val="000000"/>
          <w:sz w:val="24"/>
          <w:szCs w:val="24"/>
        </w:rPr>
      </w:pPr>
    </w:p>
    <w:p w:rsidR="00AF5298" w:rsidRPr="002209AE" w:rsidRDefault="00AF5298" w:rsidP="00AF5298">
      <w:pPr>
        <w:numPr>
          <w:ilvl w:val="2"/>
          <w:numId w:val="1"/>
        </w:numPr>
        <w:spacing w:after="0"/>
        <w:ind w:left="1418" w:hanging="709"/>
        <w:outlineLvl w:val="2"/>
        <w:rPr>
          <w:rFonts w:ascii="Arial" w:hAnsi="Arial" w:cs="Arial"/>
          <w:color w:val="000000"/>
          <w:sz w:val="24"/>
          <w:szCs w:val="24"/>
        </w:rPr>
      </w:pPr>
      <w:r w:rsidRPr="002209AE">
        <w:rPr>
          <w:rFonts w:ascii="Arial" w:hAnsi="Arial" w:cs="Arial"/>
          <w:bCs/>
          <w:sz w:val="24"/>
          <w:szCs w:val="24"/>
          <w:lang w:eastAsia="en-AU"/>
        </w:rPr>
        <w:t>in the alternative:</w:t>
      </w:r>
    </w:p>
    <w:p w:rsidR="00AF5298" w:rsidRPr="002209AE" w:rsidRDefault="00AF5298" w:rsidP="00AF5298">
      <w:pPr>
        <w:pStyle w:val="ListParagraph"/>
        <w:spacing w:line="276" w:lineRule="auto"/>
        <w:rPr>
          <w:rFonts w:ascii="Arial" w:hAnsi="Arial" w:cs="Arial"/>
          <w:bCs/>
          <w:sz w:val="24"/>
          <w:szCs w:val="24"/>
          <w:lang w:eastAsia="en-AU"/>
        </w:rPr>
      </w:pPr>
    </w:p>
    <w:p w:rsidR="00AF5298" w:rsidRDefault="00AF5298" w:rsidP="00AF5298">
      <w:pPr>
        <w:numPr>
          <w:ilvl w:val="3"/>
          <w:numId w:val="1"/>
        </w:numPr>
        <w:tabs>
          <w:tab w:val="clear" w:pos="720"/>
          <w:tab w:val="num" w:pos="2268"/>
        </w:tabs>
        <w:spacing w:after="0"/>
        <w:ind w:left="2268" w:hanging="850"/>
        <w:outlineLvl w:val="2"/>
        <w:rPr>
          <w:rFonts w:ascii="Arial" w:hAnsi="Arial" w:cs="Arial"/>
          <w:color w:val="000000"/>
          <w:sz w:val="24"/>
          <w:szCs w:val="24"/>
        </w:rPr>
      </w:pPr>
      <w:r w:rsidRPr="002209AE">
        <w:rPr>
          <w:rFonts w:ascii="Arial" w:hAnsi="Arial" w:cs="Arial"/>
          <w:bCs/>
          <w:sz w:val="24"/>
          <w:szCs w:val="24"/>
          <w:lang w:eastAsia="en-AU"/>
        </w:rPr>
        <w:t xml:space="preserve">extending </w:t>
      </w:r>
      <w:r w:rsidRPr="002209AE">
        <w:rPr>
          <w:rFonts w:ascii="Arial" w:hAnsi="Arial" w:cs="Arial"/>
          <w:color w:val="000000"/>
          <w:sz w:val="24"/>
          <w:szCs w:val="24"/>
        </w:rPr>
        <w:t>the effect of the exemptions that are currently in force for a period of 5 years;</w:t>
      </w:r>
    </w:p>
    <w:p w:rsidR="00AF5298" w:rsidRPr="002209AE" w:rsidRDefault="00AF5298" w:rsidP="00AF5298">
      <w:pPr>
        <w:spacing w:after="0"/>
        <w:ind w:left="2268"/>
        <w:outlineLvl w:val="2"/>
        <w:rPr>
          <w:rFonts w:ascii="Arial" w:hAnsi="Arial" w:cs="Arial"/>
          <w:color w:val="000000"/>
          <w:sz w:val="24"/>
          <w:szCs w:val="24"/>
        </w:rPr>
      </w:pPr>
    </w:p>
    <w:p w:rsidR="00AF5298" w:rsidRPr="00056A10" w:rsidRDefault="00AF5298" w:rsidP="00AF5298">
      <w:pPr>
        <w:numPr>
          <w:ilvl w:val="3"/>
          <w:numId w:val="1"/>
        </w:numPr>
        <w:tabs>
          <w:tab w:val="clear" w:pos="720"/>
          <w:tab w:val="num" w:pos="2268"/>
        </w:tabs>
        <w:spacing w:after="0"/>
        <w:ind w:left="2268" w:hanging="850"/>
        <w:outlineLvl w:val="2"/>
        <w:rPr>
          <w:rFonts w:ascii="Arial" w:hAnsi="Arial" w:cs="Arial"/>
          <w:color w:val="000000"/>
          <w:sz w:val="24"/>
          <w:szCs w:val="24"/>
        </w:rPr>
      </w:pPr>
      <w:r w:rsidRPr="002209AE">
        <w:rPr>
          <w:rFonts w:ascii="Arial" w:hAnsi="Arial" w:cs="Arial"/>
          <w:bCs/>
          <w:sz w:val="24"/>
          <w:szCs w:val="24"/>
          <w:lang w:eastAsia="en-AU"/>
        </w:rPr>
        <w:t>granting a number of exemptions previously applied for by the ARA, which the Commission decided not to grant on 22 January 2007;  and</w:t>
      </w:r>
    </w:p>
    <w:p w:rsidR="00AF5298" w:rsidRPr="002209AE" w:rsidRDefault="00AF5298" w:rsidP="00AF5298">
      <w:pPr>
        <w:spacing w:after="0"/>
        <w:outlineLvl w:val="2"/>
        <w:rPr>
          <w:rFonts w:ascii="Arial" w:hAnsi="Arial" w:cs="Arial"/>
          <w:color w:val="000000"/>
          <w:sz w:val="24"/>
          <w:szCs w:val="24"/>
        </w:rPr>
      </w:pPr>
    </w:p>
    <w:p w:rsidR="00AF5298" w:rsidRPr="002209AE" w:rsidRDefault="00AF5298" w:rsidP="00AF5298">
      <w:pPr>
        <w:numPr>
          <w:ilvl w:val="3"/>
          <w:numId w:val="1"/>
        </w:numPr>
        <w:tabs>
          <w:tab w:val="clear" w:pos="720"/>
          <w:tab w:val="num" w:pos="2268"/>
        </w:tabs>
        <w:spacing w:after="0"/>
        <w:ind w:left="2268" w:hanging="850"/>
        <w:outlineLvl w:val="2"/>
        <w:rPr>
          <w:rFonts w:ascii="Arial" w:hAnsi="Arial" w:cs="Arial"/>
          <w:color w:val="000000"/>
          <w:sz w:val="24"/>
          <w:szCs w:val="24"/>
        </w:rPr>
      </w:pPr>
      <w:r w:rsidRPr="002209AE">
        <w:rPr>
          <w:rFonts w:ascii="Arial" w:hAnsi="Arial" w:cs="Arial"/>
          <w:color w:val="000000"/>
          <w:sz w:val="24"/>
          <w:szCs w:val="24"/>
        </w:rPr>
        <w:t xml:space="preserve">granting a new exemption relating to the provision </w:t>
      </w:r>
      <w:r>
        <w:rPr>
          <w:rFonts w:ascii="Arial" w:hAnsi="Arial" w:cs="Arial"/>
          <w:color w:val="000000"/>
          <w:sz w:val="24"/>
          <w:szCs w:val="24"/>
        </w:rPr>
        <w:t>of boarding devices at accessible entrances to trains;</w:t>
      </w:r>
    </w:p>
    <w:p w:rsidR="00AF5298" w:rsidRPr="002209AE" w:rsidRDefault="00AF5298" w:rsidP="00AF5298">
      <w:pPr>
        <w:pStyle w:val="ListParagraph"/>
        <w:spacing w:line="276" w:lineRule="auto"/>
        <w:rPr>
          <w:rFonts w:ascii="Arial" w:hAnsi="Arial" w:cs="Arial"/>
          <w:color w:val="000000"/>
          <w:sz w:val="24"/>
          <w:szCs w:val="24"/>
        </w:rPr>
      </w:pPr>
    </w:p>
    <w:p w:rsidR="00AF5298" w:rsidRPr="002209AE" w:rsidRDefault="00AF5298" w:rsidP="00AF5298">
      <w:pPr>
        <w:pStyle w:val="ListParagraph"/>
        <w:spacing w:line="276" w:lineRule="auto"/>
        <w:rPr>
          <w:rFonts w:ascii="Arial" w:hAnsi="Arial" w:cs="Arial"/>
          <w:color w:val="000000"/>
          <w:sz w:val="24"/>
          <w:szCs w:val="24"/>
        </w:rPr>
      </w:pPr>
      <w:r w:rsidRPr="002209AE">
        <w:rPr>
          <w:rFonts w:ascii="Arial" w:hAnsi="Arial" w:cs="Arial"/>
          <w:color w:val="000000"/>
          <w:sz w:val="24"/>
          <w:szCs w:val="24"/>
        </w:rPr>
        <w:t>(</w:t>
      </w:r>
      <w:proofErr w:type="gramStart"/>
      <w:r>
        <w:rPr>
          <w:rFonts w:ascii="Arial" w:hAnsi="Arial" w:cs="Arial"/>
          <w:color w:val="000000"/>
          <w:sz w:val="24"/>
          <w:szCs w:val="24"/>
        </w:rPr>
        <w:t>collectively</w:t>
      </w:r>
      <w:proofErr w:type="gramEnd"/>
      <w:r>
        <w:rPr>
          <w:rFonts w:ascii="Arial" w:hAnsi="Arial" w:cs="Arial"/>
          <w:color w:val="000000"/>
          <w:sz w:val="24"/>
          <w:szCs w:val="24"/>
        </w:rPr>
        <w:t xml:space="preserve">, </w:t>
      </w:r>
      <w:r w:rsidRPr="002209AE">
        <w:rPr>
          <w:rFonts w:ascii="Arial" w:hAnsi="Arial" w:cs="Arial"/>
          <w:color w:val="000000"/>
          <w:sz w:val="24"/>
          <w:szCs w:val="24"/>
        </w:rPr>
        <w:t xml:space="preserve">the ‘primary application’).  </w:t>
      </w:r>
    </w:p>
    <w:p w:rsidR="00AF5298" w:rsidRPr="002209AE" w:rsidRDefault="00AF5298" w:rsidP="00AF5298">
      <w:pPr>
        <w:pStyle w:val="ListParagraph"/>
        <w:spacing w:line="276" w:lineRule="auto"/>
        <w:rPr>
          <w:rFonts w:ascii="Arial" w:hAnsi="Arial" w:cs="Arial"/>
          <w:color w:val="000000"/>
          <w:sz w:val="24"/>
          <w:szCs w:val="24"/>
        </w:rPr>
      </w:pPr>
    </w:p>
    <w:p w:rsidR="00AF5298" w:rsidRPr="002209AE" w:rsidRDefault="00AF5298" w:rsidP="00AF5298">
      <w:pPr>
        <w:numPr>
          <w:ilvl w:val="1"/>
          <w:numId w:val="1"/>
        </w:numPr>
        <w:spacing w:after="0"/>
        <w:outlineLvl w:val="2"/>
        <w:rPr>
          <w:rFonts w:ascii="Arial" w:hAnsi="Arial" w:cs="Arial"/>
          <w:color w:val="000000"/>
          <w:sz w:val="24"/>
          <w:szCs w:val="24"/>
        </w:rPr>
      </w:pPr>
      <w:r w:rsidRPr="002209AE">
        <w:rPr>
          <w:rFonts w:ascii="Arial" w:hAnsi="Arial" w:cs="Arial"/>
          <w:color w:val="000000"/>
          <w:sz w:val="24"/>
          <w:szCs w:val="24"/>
        </w:rPr>
        <w:t>The Commission has advised the ARA that no decision in relation to the primary application will be made before</w:t>
      </w:r>
      <w:r>
        <w:rPr>
          <w:rFonts w:ascii="Arial" w:hAnsi="Arial" w:cs="Arial"/>
          <w:color w:val="000000"/>
          <w:sz w:val="24"/>
          <w:szCs w:val="24"/>
        </w:rPr>
        <w:t xml:space="preserve"> 31 December 2013 when</w:t>
      </w:r>
      <w:r w:rsidRPr="002209AE">
        <w:rPr>
          <w:rFonts w:ascii="Arial" w:hAnsi="Arial" w:cs="Arial"/>
          <w:color w:val="000000"/>
          <w:sz w:val="24"/>
          <w:szCs w:val="24"/>
        </w:rPr>
        <w:t xml:space="preserve"> the exemptions </w:t>
      </w:r>
      <w:r>
        <w:rPr>
          <w:rFonts w:ascii="Arial" w:hAnsi="Arial" w:cs="Arial"/>
          <w:color w:val="000000"/>
          <w:sz w:val="24"/>
          <w:szCs w:val="24"/>
        </w:rPr>
        <w:t>granted on 1 February 2012</w:t>
      </w:r>
      <w:r w:rsidRPr="002209AE">
        <w:rPr>
          <w:rFonts w:ascii="Arial" w:hAnsi="Arial" w:cs="Arial"/>
          <w:color w:val="000000"/>
          <w:sz w:val="24"/>
          <w:szCs w:val="24"/>
        </w:rPr>
        <w:t xml:space="preserve"> expire.  That is because:</w:t>
      </w:r>
    </w:p>
    <w:p w:rsidR="00AF5298" w:rsidRPr="002209AE" w:rsidRDefault="00AF5298" w:rsidP="00AF5298">
      <w:pPr>
        <w:spacing w:after="0"/>
        <w:ind w:left="720"/>
        <w:outlineLvl w:val="2"/>
        <w:rPr>
          <w:rFonts w:ascii="Arial" w:hAnsi="Arial" w:cs="Arial"/>
          <w:color w:val="000000"/>
          <w:sz w:val="24"/>
          <w:szCs w:val="24"/>
        </w:rPr>
      </w:pPr>
    </w:p>
    <w:p w:rsidR="00AF5298" w:rsidRDefault="00AF5298" w:rsidP="00AF5298">
      <w:pPr>
        <w:numPr>
          <w:ilvl w:val="2"/>
          <w:numId w:val="1"/>
        </w:numPr>
        <w:spacing w:after="0"/>
        <w:ind w:left="1418" w:hanging="709"/>
        <w:outlineLvl w:val="2"/>
        <w:rPr>
          <w:rFonts w:ascii="Arial" w:hAnsi="Arial" w:cs="Arial"/>
          <w:color w:val="000000"/>
          <w:sz w:val="24"/>
          <w:szCs w:val="24"/>
        </w:rPr>
      </w:pPr>
      <w:proofErr w:type="gramStart"/>
      <w:r>
        <w:rPr>
          <w:rFonts w:ascii="Arial" w:hAnsi="Arial" w:cs="Arial"/>
          <w:color w:val="000000"/>
          <w:sz w:val="24"/>
          <w:szCs w:val="24"/>
        </w:rPr>
        <w:t>t</w:t>
      </w:r>
      <w:r w:rsidRPr="002209AE">
        <w:rPr>
          <w:rFonts w:ascii="Arial" w:hAnsi="Arial" w:cs="Arial"/>
          <w:color w:val="000000"/>
          <w:sz w:val="24"/>
          <w:szCs w:val="24"/>
        </w:rPr>
        <w:t>he</w:t>
      </w:r>
      <w:proofErr w:type="gramEnd"/>
      <w:r w:rsidRPr="002209AE">
        <w:rPr>
          <w:rFonts w:ascii="Arial" w:hAnsi="Arial" w:cs="Arial"/>
          <w:color w:val="000000"/>
          <w:sz w:val="24"/>
          <w:szCs w:val="24"/>
        </w:rPr>
        <w:t xml:space="preserve"> Commission has requested that the ARA supply a substantial amount of supporting material.  It will take the ARA time to collate and provide that information</w:t>
      </w:r>
      <w:r>
        <w:rPr>
          <w:rFonts w:ascii="Arial" w:hAnsi="Arial" w:cs="Arial"/>
          <w:color w:val="000000"/>
          <w:sz w:val="24"/>
          <w:szCs w:val="24"/>
        </w:rPr>
        <w:t>;</w:t>
      </w:r>
    </w:p>
    <w:p w:rsidR="00AF5298" w:rsidRPr="002209AE" w:rsidRDefault="00AF5298" w:rsidP="00AF5298">
      <w:pPr>
        <w:spacing w:after="0"/>
        <w:outlineLvl w:val="2"/>
        <w:rPr>
          <w:rFonts w:ascii="Arial" w:hAnsi="Arial" w:cs="Arial"/>
          <w:color w:val="000000"/>
          <w:sz w:val="24"/>
          <w:szCs w:val="24"/>
        </w:rPr>
      </w:pPr>
    </w:p>
    <w:p w:rsidR="00AF5298" w:rsidRPr="002209AE" w:rsidRDefault="00AF5298" w:rsidP="00AF5298">
      <w:pPr>
        <w:numPr>
          <w:ilvl w:val="2"/>
          <w:numId w:val="1"/>
        </w:numPr>
        <w:spacing w:after="0"/>
        <w:ind w:left="1418" w:hanging="709"/>
        <w:outlineLvl w:val="2"/>
        <w:rPr>
          <w:rFonts w:ascii="Arial" w:hAnsi="Arial" w:cs="Arial"/>
          <w:color w:val="000000"/>
          <w:sz w:val="24"/>
          <w:szCs w:val="24"/>
        </w:rPr>
      </w:pPr>
      <w:proofErr w:type="gramStart"/>
      <w:r>
        <w:rPr>
          <w:rFonts w:ascii="Arial" w:hAnsi="Arial" w:cs="Arial"/>
          <w:color w:val="000000"/>
          <w:sz w:val="24"/>
          <w:szCs w:val="24"/>
        </w:rPr>
        <w:t>t</w:t>
      </w:r>
      <w:r w:rsidRPr="002209AE">
        <w:rPr>
          <w:rFonts w:ascii="Arial" w:hAnsi="Arial" w:cs="Arial"/>
          <w:color w:val="000000"/>
          <w:sz w:val="24"/>
          <w:szCs w:val="24"/>
        </w:rPr>
        <w:t>he</w:t>
      </w:r>
      <w:proofErr w:type="gramEnd"/>
      <w:r w:rsidRPr="002209AE">
        <w:rPr>
          <w:rFonts w:ascii="Arial" w:hAnsi="Arial" w:cs="Arial"/>
          <w:color w:val="000000"/>
          <w:sz w:val="24"/>
          <w:szCs w:val="24"/>
        </w:rPr>
        <w:t xml:space="preserve"> Commission considers it desirable to conduct public consultations with respect to the primary application.  On the basis of the Commission’s experience in conducting public consultations prior to the grant of the 2007 exemptions, the Commission expects </w:t>
      </w:r>
      <w:r>
        <w:rPr>
          <w:rFonts w:ascii="Arial" w:hAnsi="Arial" w:cs="Arial"/>
          <w:color w:val="000000"/>
          <w:sz w:val="24"/>
          <w:szCs w:val="24"/>
        </w:rPr>
        <w:t>the</w:t>
      </w:r>
      <w:r w:rsidRPr="002209AE">
        <w:rPr>
          <w:rFonts w:ascii="Arial" w:hAnsi="Arial" w:cs="Arial"/>
          <w:color w:val="000000"/>
          <w:sz w:val="24"/>
          <w:szCs w:val="24"/>
        </w:rPr>
        <w:t xml:space="preserve"> consultation process will take </w:t>
      </w:r>
      <w:r>
        <w:rPr>
          <w:rFonts w:ascii="Arial" w:hAnsi="Arial" w:cs="Arial"/>
          <w:color w:val="000000"/>
          <w:sz w:val="24"/>
          <w:szCs w:val="24"/>
        </w:rPr>
        <w:t>some</w:t>
      </w:r>
      <w:r w:rsidRPr="002209AE">
        <w:rPr>
          <w:rFonts w:ascii="Arial" w:hAnsi="Arial" w:cs="Arial"/>
          <w:color w:val="000000"/>
          <w:sz w:val="24"/>
          <w:szCs w:val="24"/>
        </w:rPr>
        <w:t xml:space="preserve"> time.  </w:t>
      </w:r>
    </w:p>
    <w:p w:rsidR="00AF5298" w:rsidRPr="002209AE" w:rsidRDefault="00AF5298" w:rsidP="00AF5298">
      <w:pPr>
        <w:spacing w:after="0"/>
        <w:ind w:left="720"/>
        <w:outlineLvl w:val="2"/>
        <w:rPr>
          <w:rFonts w:ascii="Arial" w:hAnsi="Arial" w:cs="Arial"/>
          <w:color w:val="000000"/>
          <w:sz w:val="24"/>
          <w:szCs w:val="24"/>
        </w:rPr>
      </w:pPr>
    </w:p>
    <w:p w:rsidR="00AF5298" w:rsidRPr="002209AE" w:rsidRDefault="00AF5298" w:rsidP="00AF5298">
      <w:pPr>
        <w:numPr>
          <w:ilvl w:val="1"/>
          <w:numId w:val="1"/>
        </w:numPr>
        <w:spacing w:after="0"/>
        <w:outlineLvl w:val="2"/>
        <w:rPr>
          <w:rFonts w:ascii="Arial" w:hAnsi="Arial" w:cs="Arial"/>
          <w:color w:val="000000"/>
          <w:sz w:val="24"/>
          <w:szCs w:val="24"/>
        </w:rPr>
      </w:pPr>
      <w:r w:rsidRPr="002209AE">
        <w:rPr>
          <w:rFonts w:ascii="Arial" w:hAnsi="Arial" w:cs="Arial"/>
          <w:color w:val="000000"/>
          <w:sz w:val="24"/>
          <w:szCs w:val="24"/>
        </w:rPr>
        <w:t xml:space="preserve">Following the receipt of </w:t>
      </w:r>
      <w:r>
        <w:rPr>
          <w:rFonts w:ascii="Arial" w:hAnsi="Arial" w:cs="Arial"/>
          <w:color w:val="000000"/>
          <w:sz w:val="24"/>
          <w:szCs w:val="24"/>
        </w:rPr>
        <w:t>the Commission’s</w:t>
      </w:r>
      <w:r w:rsidRPr="002209AE">
        <w:rPr>
          <w:rFonts w:ascii="Arial" w:hAnsi="Arial" w:cs="Arial"/>
          <w:color w:val="000000"/>
          <w:sz w:val="24"/>
          <w:szCs w:val="24"/>
        </w:rPr>
        <w:t xml:space="preserve"> advice, the ARA made a second application for temporary exemptions (the ‘interim application’).  </w:t>
      </w:r>
      <w:r>
        <w:rPr>
          <w:rFonts w:ascii="Arial" w:hAnsi="Arial" w:cs="Arial"/>
          <w:color w:val="000000"/>
          <w:sz w:val="24"/>
          <w:szCs w:val="24"/>
        </w:rPr>
        <w:t xml:space="preserve">In this application, the ARA has asked the </w:t>
      </w:r>
      <w:r w:rsidRPr="002209AE">
        <w:rPr>
          <w:rFonts w:ascii="Arial" w:hAnsi="Arial" w:cs="Arial"/>
          <w:color w:val="000000"/>
          <w:sz w:val="24"/>
          <w:szCs w:val="24"/>
        </w:rPr>
        <w:t xml:space="preserve">Commission to grant new exemptions in the same form as the 2007 exemptions, to continue in force until such time as the Commission makes a decision with respect to the primary application.  </w:t>
      </w:r>
    </w:p>
    <w:p w:rsidR="00AF5298" w:rsidRPr="002209AE" w:rsidRDefault="00AF5298" w:rsidP="00AF5298">
      <w:pPr>
        <w:spacing w:after="0"/>
        <w:ind w:left="720"/>
        <w:outlineLvl w:val="2"/>
        <w:rPr>
          <w:rFonts w:ascii="Arial" w:hAnsi="Arial" w:cs="Arial"/>
          <w:color w:val="000000"/>
          <w:sz w:val="24"/>
          <w:szCs w:val="24"/>
        </w:rPr>
      </w:pPr>
    </w:p>
    <w:p w:rsidR="00AF5298" w:rsidRPr="002209AE" w:rsidRDefault="00AF5298" w:rsidP="00AF5298">
      <w:pPr>
        <w:numPr>
          <w:ilvl w:val="1"/>
          <w:numId w:val="1"/>
        </w:numPr>
        <w:spacing w:after="0"/>
        <w:outlineLvl w:val="2"/>
        <w:rPr>
          <w:rFonts w:ascii="Arial" w:hAnsi="Arial" w:cs="Arial"/>
          <w:color w:val="000000"/>
          <w:sz w:val="24"/>
          <w:szCs w:val="24"/>
        </w:rPr>
      </w:pPr>
      <w:r w:rsidRPr="002209AE">
        <w:rPr>
          <w:rFonts w:ascii="Arial" w:hAnsi="Arial" w:cs="Arial"/>
          <w:color w:val="000000"/>
          <w:sz w:val="24"/>
          <w:szCs w:val="24"/>
        </w:rPr>
        <w:t xml:space="preserve">For the reasons below, the Commission has decided to grant the exemptions sought in the interim application for a period of six months.  </w:t>
      </w:r>
    </w:p>
    <w:p w:rsidR="00AF5298" w:rsidRPr="002209AE" w:rsidRDefault="00AF5298" w:rsidP="00AF5298">
      <w:pPr>
        <w:spacing w:after="0"/>
        <w:outlineLvl w:val="2"/>
        <w:rPr>
          <w:rFonts w:ascii="Arial" w:hAnsi="Arial" w:cs="Arial"/>
          <w:color w:val="000000"/>
          <w:sz w:val="24"/>
          <w:szCs w:val="24"/>
        </w:rPr>
      </w:pPr>
    </w:p>
    <w:p w:rsidR="00AF5298" w:rsidRPr="002209AE" w:rsidRDefault="00AF5298" w:rsidP="00AF5298">
      <w:pPr>
        <w:numPr>
          <w:ilvl w:val="0"/>
          <w:numId w:val="1"/>
        </w:numPr>
        <w:spacing w:after="0"/>
        <w:outlineLvl w:val="2"/>
        <w:rPr>
          <w:rFonts w:ascii="Arial" w:hAnsi="Arial" w:cs="Arial"/>
          <w:b/>
          <w:bCs/>
          <w:sz w:val="24"/>
          <w:szCs w:val="24"/>
          <w:lang w:eastAsia="en-AU"/>
        </w:rPr>
      </w:pPr>
      <w:r w:rsidRPr="002209AE">
        <w:rPr>
          <w:rFonts w:ascii="Arial" w:hAnsi="Arial" w:cs="Arial"/>
          <w:b/>
          <w:bCs/>
          <w:sz w:val="24"/>
          <w:szCs w:val="24"/>
          <w:lang w:eastAsia="en-AU"/>
        </w:rPr>
        <w:t>DECISION OF THE COMMISSION</w:t>
      </w:r>
    </w:p>
    <w:p w:rsidR="00AF5298" w:rsidRPr="002209AE" w:rsidRDefault="00AF5298" w:rsidP="00AF5298">
      <w:pPr>
        <w:spacing w:after="0"/>
        <w:outlineLvl w:val="2"/>
        <w:rPr>
          <w:rFonts w:ascii="Arial" w:hAnsi="Arial" w:cs="Arial"/>
          <w:b/>
          <w:bCs/>
          <w:sz w:val="24"/>
          <w:szCs w:val="24"/>
          <w:lang w:eastAsia="en-AU"/>
        </w:rPr>
      </w:pPr>
    </w:p>
    <w:p w:rsidR="00AF5298" w:rsidRPr="002209AE" w:rsidRDefault="00AF5298" w:rsidP="00AF5298">
      <w:pPr>
        <w:pStyle w:val="Heading3"/>
        <w:numPr>
          <w:ilvl w:val="1"/>
          <w:numId w:val="1"/>
        </w:numPr>
        <w:spacing w:before="0" w:beforeAutospacing="0" w:after="0" w:afterAutospacing="0" w:line="276" w:lineRule="auto"/>
        <w:rPr>
          <w:rStyle w:val="Strong"/>
          <w:rFonts w:ascii="Arial" w:hAnsi="Arial" w:cs="Arial"/>
          <w:bCs/>
          <w:sz w:val="24"/>
          <w:szCs w:val="24"/>
        </w:rPr>
      </w:pPr>
      <w:r w:rsidRPr="002209AE">
        <w:rPr>
          <w:rStyle w:val="Strong"/>
          <w:rFonts w:ascii="Arial" w:hAnsi="Arial" w:cs="Arial"/>
          <w:bCs/>
          <w:sz w:val="24"/>
          <w:szCs w:val="24"/>
        </w:rPr>
        <w:t>The Commission has decided to grant to members of the ARA a number of temporary exemptions as follows:</w:t>
      </w:r>
    </w:p>
    <w:p w:rsidR="00AF5298" w:rsidRPr="002209AE" w:rsidRDefault="00AF5298" w:rsidP="00AF5298">
      <w:pPr>
        <w:pStyle w:val="Heading3"/>
        <w:spacing w:before="0" w:beforeAutospacing="0" w:after="0" w:afterAutospacing="0" w:line="276" w:lineRule="auto"/>
        <w:ind w:left="720"/>
        <w:rPr>
          <w:rStyle w:val="Strong"/>
          <w:rFonts w:ascii="Arial" w:hAnsi="Arial" w:cs="Arial"/>
          <w:bCs/>
          <w:sz w:val="24"/>
          <w:szCs w:val="24"/>
        </w:rPr>
      </w:pPr>
    </w:p>
    <w:p w:rsidR="00AF5298" w:rsidRPr="002209AE" w:rsidRDefault="00AF5298" w:rsidP="00AF5298">
      <w:pPr>
        <w:pStyle w:val="Heading3"/>
        <w:numPr>
          <w:ilvl w:val="2"/>
          <w:numId w:val="1"/>
        </w:numPr>
        <w:spacing w:before="0" w:beforeAutospacing="0" w:after="0" w:afterAutospacing="0" w:line="276" w:lineRule="auto"/>
        <w:ind w:left="1418" w:hanging="709"/>
        <w:rPr>
          <w:rStyle w:val="Strong"/>
          <w:rFonts w:ascii="Arial" w:hAnsi="Arial" w:cs="Arial"/>
          <w:bCs/>
          <w:sz w:val="24"/>
          <w:szCs w:val="24"/>
        </w:rPr>
      </w:pPr>
      <w:r>
        <w:rPr>
          <w:rStyle w:val="Strong"/>
          <w:rFonts w:ascii="Arial" w:hAnsi="Arial" w:cs="Arial"/>
          <w:bCs/>
          <w:sz w:val="24"/>
          <w:szCs w:val="24"/>
        </w:rPr>
        <w:t>P</w:t>
      </w:r>
      <w:r w:rsidRPr="002209AE">
        <w:rPr>
          <w:rStyle w:val="Strong"/>
          <w:rFonts w:ascii="Arial" w:hAnsi="Arial" w:cs="Arial"/>
          <w:bCs/>
          <w:sz w:val="24"/>
          <w:szCs w:val="24"/>
        </w:rPr>
        <w:t>ursuant to</w:t>
      </w:r>
      <w:r>
        <w:rPr>
          <w:rStyle w:val="Strong"/>
          <w:rFonts w:ascii="Arial" w:hAnsi="Arial" w:cs="Arial"/>
          <w:bCs/>
          <w:sz w:val="24"/>
          <w:szCs w:val="24"/>
        </w:rPr>
        <w:t xml:space="preserve"> </w:t>
      </w:r>
      <w:r w:rsidRPr="002209AE">
        <w:rPr>
          <w:rStyle w:val="Strong"/>
          <w:rFonts w:ascii="Arial" w:hAnsi="Arial" w:cs="Arial"/>
          <w:bCs/>
          <w:sz w:val="24"/>
          <w:szCs w:val="24"/>
        </w:rPr>
        <w:t>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proofErr w:type="gramStart"/>
      <w:r w:rsidRPr="002209AE">
        <w:rPr>
          <w:rStyle w:val="Strong"/>
          <w:rFonts w:ascii="Arial" w:hAnsi="Arial" w:cs="Arial"/>
          <w:bCs/>
          <w:sz w:val="24"/>
          <w:szCs w:val="24"/>
        </w:rPr>
        <w:t>33A.1(</w:t>
      </w:r>
      <w:proofErr w:type="gramEnd"/>
      <w:r w:rsidRPr="002209AE">
        <w:rPr>
          <w:rStyle w:val="Strong"/>
          <w:rFonts w:ascii="Arial" w:hAnsi="Arial" w:cs="Arial"/>
          <w:bCs/>
          <w:sz w:val="24"/>
          <w:szCs w:val="24"/>
        </w:rPr>
        <w:t xml:space="preserve">2) of the DSAPT, the Commission grants </w:t>
      </w:r>
      <w:r>
        <w:rPr>
          <w:rStyle w:val="Strong"/>
          <w:rFonts w:ascii="Arial" w:hAnsi="Arial" w:cs="Arial"/>
          <w:bCs/>
          <w:sz w:val="24"/>
          <w:szCs w:val="24"/>
        </w:rPr>
        <w:t xml:space="preserve">members of </w:t>
      </w:r>
      <w:r w:rsidRPr="002209AE">
        <w:rPr>
          <w:rStyle w:val="Strong"/>
          <w:rFonts w:ascii="Arial" w:hAnsi="Arial" w:cs="Arial"/>
          <w:bCs/>
          <w:sz w:val="24"/>
          <w:szCs w:val="24"/>
        </w:rPr>
        <w:t xml:space="preserve">the ARA temporary exemptions from the operation of sections 23 and 24 of the DDA and from the DSAPT in the same terms as the exemptions set out in Schedule One of its decision dated 22 January 2007 (available at </w:t>
      </w:r>
      <w:hyperlink r:id="rId10" w:history="1">
        <w:r w:rsidRPr="007D38D1">
          <w:rPr>
            <w:rStyle w:val="Hyperlink"/>
            <w:rFonts w:ascii="Arial" w:hAnsi="Arial" w:cs="Arial"/>
            <w:b w:val="0"/>
            <w:sz w:val="24"/>
            <w:szCs w:val="24"/>
          </w:rPr>
          <w:t>https://www.humanrights.gov.au/australasian-railways-association</w:t>
        </w:r>
      </w:hyperlink>
      <w:r>
        <w:rPr>
          <w:rStyle w:val="Strong"/>
          <w:rFonts w:ascii="Arial" w:hAnsi="Arial" w:cs="Arial"/>
          <w:bCs/>
          <w:sz w:val="24"/>
          <w:szCs w:val="24"/>
        </w:rPr>
        <w:t>).</w:t>
      </w:r>
    </w:p>
    <w:p w:rsidR="00AF5298" w:rsidRPr="002209AE" w:rsidRDefault="00AF5298" w:rsidP="00AF5298">
      <w:pPr>
        <w:pStyle w:val="Heading3"/>
        <w:spacing w:before="0" w:beforeAutospacing="0" w:after="0" w:afterAutospacing="0" w:line="276" w:lineRule="auto"/>
        <w:ind w:left="1418"/>
        <w:rPr>
          <w:rStyle w:val="Strong"/>
          <w:rFonts w:ascii="Arial" w:hAnsi="Arial" w:cs="Arial"/>
          <w:bCs/>
          <w:sz w:val="24"/>
          <w:szCs w:val="24"/>
        </w:rPr>
      </w:pPr>
    </w:p>
    <w:p w:rsidR="00AF5298" w:rsidRPr="00DF5836" w:rsidRDefault="00AF5298" w:rsidP="00AF5298">
      <w:pPr>
        <w:pStyle w:val="Heading3"/>
        <w:numPr>
          <w:ilvl w:val="2"/>
          <w:numId w:val="1"/>
        </w:numPr>
        <w:spacing w:before="0" w:beforeAutospacing="0" w:after="0" w:afterAutospacing="0" w:line="276" w:lineRule="auto"/>
        <w:ind w:left="1418" w:hanging="709"/>
        <w:rPr>
          <w:rStyle w:val="Strong"/>
          <w:rFonts w:ascii="Arial" w:hAnsi="Arial" w:cs="Arial"/>
          <w:bCs/>
          <w:sz w:val="24"/>
          <w:szCs w:val="24"/>
        </w:rPr>
      </w:pPr>
      <w:r w:rsidRPr="002209AE">
        <w:rPr>
          <w:rStyle w:val="Strong"/>
          <w:rFonts w:ascii="Arial" w:hAnsi="Arial" w:cs="Arial"/>
          <w:bCs/>
          <w:sz w:val="24"/>
          <w:szCs w:val="24"/>
        </w:rPr>
        <w:t>Pursuant to 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r w:rsidRPr="002209AE">
        <w:rPr>
          <w:rStyle w:val="Strong"/>
          <w:rFonts w:ascii="Arial" w:hAnsi="Arial" w:cs="Arial"/>
          <w:bCs/>
          <w:sz w:val="24"/>
          <w:szCs w:val="24"/>
        </w:rPr>
        <w:t xml:space="preserve">33A.1(2) of the DSAPT, the Commission grants </w:t>
      </w:r>
      <w:r>
        <w:rPr>
          <w:rStyle w:val="Strong"/>
          <w:rFonts w:ascii="Arial" w:hAnsi="Arial" w:cs="Arial"/>
          <w:bCs/>
          <w:sz w:val="24"/>
          <w:szCs w:val="24"/>
        </w:rPr>
        <w:t xml:space="preserve">members of </w:t>
      </w:r>
      <w:r w:rsidRPr="002209AE">
        <w:rPr>
          <w:rStyle w:val="Strong"/>
          <w:rFonts w:ascii="Arial" w:hAnsi="Arial" w:cs="Arial"/>
          <w:bCs/>
          <w:sz w:val="24"/>
          <w:szCs w:val="24"/>
        </w:rPr>
        <w:t xml:space="preserve">the ARA temporary exemptions from the operation of sections 23 and 24 of the DDA and from the DSAPT in the same terms as the exemptions set out in Schedule 1 of its decision dated 5 November 2007 (relating to “Carriage and Stowage of Mobility Aids”) (available at </w:t>
      </w:r>
      <w:hyperlink r:id="rId11" w:history="1">
        <w:r w:rsidRPr="00225759">
          <w:rPr>
            <w:rStyle w:val="Hyperlink"/>
            <w:rFonts w:ascii="Arial" w:hAnsi="Arial" w:cs="Arial"/>
            <w:b w:val="0"/>
            <w:sz w:val="24"/>
            <w:szCs w:val="24"/>
          </w:rPr>
          <w:t>https://www.humanrights.gov.au/australasian-railways-association-carriage-and-stowage-mobility-aids-and-transfer-and-mobility-aids</w:t>
        </w:r>
      </w:hyperlink>
      <w:r w:rsidRPr="00225759">
        <w:rPr>
          <w:rStyle w:val="Strong"/>
          <w:rFonts w:ascii="Arial" w:hAnsi="Arial" w:cs="Arial"/>
          <w:bCs/>
          <w:sz w:val="24"/>
          <w:szCs w:val="24"/>
        </w:rPr>
        <w:t>).</w:t>
      </w:r>
    </w:p>
    <w:p w:rsidR="00AF5298" w:rsidRPr="002209AE" w:rsidRDefault="00AF5298" w:rsidP="00AF5298">
      <w:pPr>
        <w:pStyle w:val="Heading3"/>
        <w:spacing w:before="0" w:beforeAutospacing="0" w:after="0" w:afterAutospacing="0" w:line="276" w:lineRule="auto"/>
        <w:rPr>
          <w:rStyle w:val="Strong"/>
          <w:rFonts w:ascii="Arial" w:hAnsi="Arial" w:cs="Arial"/>
          <w:bCs/>
          <w:sz w:val="24"/>
          <w:szCs w:val="24"/>
        </w:rPr>
      </w:pPr>
    </w:p>
    <w:p w:rsidR="00AF5298" w:rsidRPr="002209AE" w:rsidRDefault="00AF5298" w:rsidP="00AF5298">
      <w:pPr>
        <w:pStyle w:val="Heading3"/>
        <w:numPr>
          <w:ilvl w:val="2"/>
          <w:numId w:val="1"/>
        </w:numPr>
        <w:spacing w:before="0" w:beforeAutospacing="0" w:after="0" w:afterAutospacing="0" w:line="276" w:lineRule="auto"/>
        <w:ind w:left="1418" w:hanging="709"/>
        <w:rPr>
          <w:rStyle w:val="Strong"/>
          <w:rFonts w:ascii="Arial" w:hAnsi="Arial" w:cs="Arial"/>
          <w:bCs/>
          <w:sz w:val="24"/>
          <w:szCs w:val="24"/>
        </w:rPr>
      </w:pPr>
      <w:r w:rsidRPr="002209AE">
        <w:rPr>
          <w:rStyle w:val="Strong"/>
          <w:rFonts w:ascii="Arial" w:hAnsi="Arial" w:cs="Arial"/>
          <w:bCs/>
          <w:sz w:val="24"/>
          <w:szCs w:val="24"/>
        </w:rPr>
        <w:t>Pursuant to s</w:t>
      </w:r>
      <w:r>
        <w:rPr>
          <w:rStyle w:val="Strong"/>
          <w:rFonts w:ascii="Arial" w:hAnsi="Arial" w:cs="Arial"/>
          <w:bCs/>
          <w:sz w:val="24"/>
          <w:szCs w:val="24"/>
        </w:rPr>
        <w:t xml:space="preserve">ection </w:t>
      </w:r>
      <w:r w:rsidRPr="002209AE">
        <w:rPr>
          <w:rStyle w:val="Strong"/>
          <w:rFonts w:ascii="Arial" w:hAnsi="Arial" w:cs="Arial"/>
          <w:bCs/>
          <w:sz w:val="24"/>
          <w:szCs w:val="24"/>
        </w:rPr>
        <w:t>55(1) of the DDA and s</w:t>
      </w:r>
      <w:r>
        <w:rPr>
          <w:rStyle w:val="Strong"/>
          <w:rFonts w:ascii="Arial" w:hAnsi="Arial" w:cs="Arial"/>
          <w:bCs/>
          <w:sz w:val="24"/>
          <w:szCs w:val="24"/>
        </w:rPr>
        <w:t xml:space="preserve">ection </w:t>
      </w:r>
      <w:r w:rsidRPr="002209AE">
        <w:rPr>
          <w:rStyle w:val="Strong"/>
          <w:rFonts w:ascii="Arial" w:hAnsi="Arial" w:cs="Arial"/>
          <w:bCs/>
          <w:sz w:val="24"/>
          <w:szCs w:val="24"/>
        </w:rPr>
        <w:t>33A.1(2) of the DSAPT, the Commission grants</w:t>
      </w:r>
      <w:r>
        <w:rPr>
          <w:rStyle w:val="Strong"/>
          <w:rFonts w:ascii="Arial" w:hAnsi="Arial" w:cs="Arial"/>
          <w:bCs/>
          <w:sz w:val="24"/>
          <w:szCs w:val="24"/>
        </w:rPr>
        <w:t xml:space="preserve"> members of</w:t>
      </w:r>
      <w:r w:rsidRPr="002209AE">
        <w:rPr>
          <w:rStyle w:val="Strong"/>
          <w:rFonts w:ascii="Arial" w:hAnsi="Arial" w:cs="Arial"/>
          <w:bCs/>
          <w:sz w:val="24"/>
          <w:szCs w:val="24"/>
        </w:rPr>
        <w:t xml:space="preserve"> the ARA a temporary exemption from the operation of sections 23 and 24 of the DDA and from the DSAPT in the same terms as the exemption set out in Schedule 1 of its decision dated</w:t>
      </w:r>
      <w:r>
        <w:rPr>
          <w:rStyle w:val="Strong"/>
          <w:rFonts w:ascii="Arial" w:hAnsi="Arial" w:cs="Arial"/>
          <w:bCs/>
          <w:sz w:val="24"/>
          <w:szCs w:val="24"/>
        </w:rPr>
        <w:t xml:space="preserve"> 5 </w:t>
      </w:r>
      <w:r w:rsidRPr="002209AE">
        <w:rPr>
          <w:rStyle w:val="Strong"/>
          <w:rFonts w:ascii="Arial" w:hAnsi="Arial" w:cs="Arial"/>
          <w:bCs/>
          <w:sz w:val="24"/>
          <w:szCs w:val="24"/>
        </w:rPr>
        <w:t xml:space="preserve">November 2007 (relating to “Direct Assistance in Ascending and Descending Boarding Ramps”) (available at </w:t>
      </w:r>
      <w:hyperlink r:id="rId12" w:history="1">
        <w:r w:rsidRPr="00225759">
          <w:rPr>
            <w:rStyle w:val="Hyperlink"/>
            <w:rFonts w:ascii="Arial" w:hAnsi="Arial" w:cs="Arial"/>
            <w:b w:val="0"/>
            <w:sz w:val="24"/>
            <w:szCs w:val="24"/>
          </w:rPr>
          <w:t>https://www.humanrights.gov.au/australasian-railways-association-direct-assistance-ascending-and-descending-boarding-ramps</w:t>
        </w:r>
      </w:hyperlink>
      <w:r w:rsidRPr="00225759">
        <w:rPr>
          <w:rStyle w:val="Strong"/>
          <w:rFonts w:ascii="Arial" w:hAnsi="Arial" w:cs="Arial"/>
          <w:bCs/>
          <w:sz w:val="24"/>
          <w:szCs w:val="24"/>
        </w:rPr>
        <w:t>)</w:t>
      </w:r>
      <w:r>
        <w:rPr>
          <w:rStyle w:val="Strong"/>
          <w:rFonts w:ascii="Arial" w:hAnsi="Arial" w:cs="Arial"/>
          <w:bCs/>
          <w:sz w:val="24"/>
          <w:szCs w:val="24"/>
        </w:rPr>
        <w:t>.</w:t>
      </w:r>
    </w:p>
    <w:p w:rsidR="00AF5298" w:rsidRPr="002209AE" w:rsidRDefault="00AF5298" w:rsidP="00AF5298">
      <w:pPr>
        <w:pStyle w:val="Heading3"/>
        <w:spacing w:before="0" w:beforeAutospacing="0" w:after="0" w:afterAutospacing="0" w:line="276" w:lineRule="auto"/>
        <w:rPr>
          <w:rStyle w:val="Strong"/>
          <w:rFonts w:ascii="Arial" w:hAnsi="Arial" w:cs="Arial"/>
          <w:bCs/>
          <w:sz w:val="24"/>
          <w:szCs w:val="24"/>
        </w:rPr>
      </w:pPr>
    </w:p>
    <w:p w:rsidR="00AF5298" w:rsidRPr="002209AE" w:rsidRDefault="00AF5298" w:rsidP="00AF5298">
      <w:pPr>
        <w:pStyle w:val="Heading3"/>
        <w:numPr>
          <w:ilvl w:val="2"/>
          <w:numId w:val="1"/>
        </w:numPr>
        <w:spacing w:before="0" w:beforeAutospacing="0" w:after="0" w:afterAutospacing="0" w:line="276" w:lineRule="auto"/>
        <w:ind w:left="1418" w:hanging="709"/>
        <w:rPr>
          <w:rStyle w:val="Strong"/>
          <w:rFonts w:ascii="Arial" w:hAnsi="Arial" w:cs="Arial"/>
          <w:bCs/>
          <w:sz w:val="24"/>
          <w:szCs w:val="24"/>
        </w:rPr>
      </w:pPr>
      <w:r w:rsidRPr="002209AE">
        <w:rPr>
          <w:rStyle w:val="Strong"/>
          <w:rFonts w:ascii="Arial" w:hAnsi="Arial" w:cs="Arial"/>
          <w:bCs/>
          <w:sz w:val="24"/>
          <w:szCs w:val="24"/>
        </w:rPr>
        <w:t>Regardless of any time periods expressed in the 20</w:t>
      </w:r>
      <w:r>
        <w:rPr>
          <w:rStyle w:val="Strong"/>
          <w:rFonts w:ascii="Arial" w:hAnsi="Arial" w:cs="Arial"/>
          <w:bCs/>
          <w:sz w:val="24"/>
          <w:szCs w:val="24"/>
        </w:rPr>
        <w:t>07 decisions, the</w:t>
      </w:r>
      <w:r w:rsidRPr="002209AE">
        <w:rPr>
          <w:rStyle w:val="Strong"/>
          <w:rFonts w:ascii="Arial" w:hAnsi="Arial" w:cs="Arial"/>
          <w:bCs/>
          <w:sz w:val="24"/>
          <w:szCs w:val="24"/>
        </w:rPr>
        <w:t xml:space="preserve"> exemptions</w:t>
      </w:r>
      <w:r>
        <w:rPr>
          <w:rStyle w:val="Strong"/>
          <w:rFonts w:ascii="Arial" w:hAnsi="Arial" w:cs="Arial"/>
          <w:bCs/>
          <w:sz w:val="24"/>
          <w:szCs w:val="24"/>
        </w:rPr>
        <w:t xml:space="preserve"> granted in this decision</w:t>
      </w:r>
      <w:r w:rsidRPr="002209AE">
        <w:rPr>
          <w:rStyle w:val="Strong"/>
          <w:rFonts w:ascii="Arial" w:hAnsi="Arial" w:cs="Arial"/>
          <w:bCs/>
          <w:sz w:val="24"/>
          <w:szCs w:val="24"/>
        </w:rPr>
        <w:t xml:space="preserve"> are granted for a period of six months, commencing on 1 </w:t>
      </w:r>
      <w:r>
        <w:rPr>
          <w:rStyle w:val="Strong"/>
          <w:rFonts w:ascii="Arial" w:hAnsi="Arial" w:cs="Arial"/>
          <w:bCs/>
          <w:sz w:val="24"/>
          <w:szCs w:val="24"/>
        </w:rPr>
        <w:t>January 2014</w:t>
      </w:r>
      <w:r w:rsidRPr="002209AE">
        <w:rPr>
          <w:rStyle w:val="Strong"/>
          <w:rFonts w:ascii="Arial" w:hAnsi="Arial" w:cs="Arial"/>
          <w:bCs/>
          <w:sz w:val="24"/>
          <w:szCs w:val="24"/>
        </w:rPr>
        <w:t xml:space="preserve"> and expiring on 30 June 2014.  </w:t>
      </w:r>
      <w:r>
        <w:rPr>
          <w:rStyle w:val="Strong"/>
          <w:rFonts w:ascii="Arial" w:hAnsi="Arial" w:cs="Arial"/>
          <w:bCs/>
          <w:sz w:val="24"/>
          <w:szCs w:val="24"/>
        </w:rPr>
        <w:t xml:space="preserve">However, in the event a decision is made with respect to the primary application prior to 30 June 2014, the exemptions granted in this decision will cease to have effect at that time.  </w:t>
      </w:r>
    </w:p>
    <w:p w:rsidR="00AF5298" w:rsidRPr="002209AE" w:rsidRDefault="00AF5298" w:rsidP="00AF5298">
      <w:pPr>
        <w:pStyle w:val="Heading3"/>
        <w:spacing w:before="0" w:beforeAutospacing="0" w:after="0" w:afterAutospacing="0" w:line="276" w:lineRule="auto"/>
        <w:rPr>
          <w:rStyle w:val="Strong"/>
          <w:rFonts w:ascii="Arial" w:hAnsi="Arial" w:cs="Arial"/>
          <w:bCs/>
          <w:sz w:val="24"/>
          <w:szCs w:val="24"/>
        </w:rPr>
      </w:pPr>
    </w:p>
    <w:p w:rsidR="00AF5298" w:rsidRPr="002209AE" w:rsidRDefault="00AF5298" w:rsidP="00AF5298">
      <w:pPr>
        <w:numPr>
          <w:ilvl w:val="0"/>
          <w:numId w:val="1"/>
        </w:numPr>
        <w:spacing w:after="0"/>
        <w:outlineLvl w:val="2"/>
        <w:rPr>
          <w:rFonts w:ascii="Arial" w:hAnsi="Arial" w:cs="Arial"/>
          <w:b/>
          <w:bCs/>
          <w:sz w:val="24"/>
          <w:szCs w:val="24"/>
          <w:lang w:eastAsia="en-AU"/>
        </w:rPr>
      </w:pPr>
      <w:r w:rsidRPr="002209AE">
        <w:rPr>
          <w:rStyle w:val="Strong"/>
          <w:rFonts w:ascii="Arial" w:hAnsi="Arial" w:cs="Arial"/>
          <w:bCs w:val="0"/>
          <w:sz w:val="24"/>
          <w:szCs w:val="24"/>
        </w:rPr>
        <w:t>CONSIDERATION</w:t>
      </w:r>
      <w:r w:rsidRPr="002209AE">
        <w:rPr>
          <w:rFonts w:ascii="Arial" w:hAnsi="Arial" w:cs="Arial"/>
          <w:b/>
          <w:bCs/>
          <w:sz w:val="24"/>
          <w:szCs w:val="24"/>
          <w:lang w:eastAsia="en-AU"/>
        </w:rPr>
        <w:t xml:space="preserve"> AND REASONS</w:t>
      </w:r>
    </w:p>
    <w:p w:rsidR="00AF5298" w:rsidRPr="002209AE" w:rsidRDefault="00AF5298" w:rsidP="00AF5298">
      <w:pPr>
        <w:spacing w:after="0"/>
        <w:outlineLvl w:val="2"/>
        <w:rPr>
          <w:rFonts w:ascii="Arial" w:hAnsi="Arial" w:cs="Arial"/>
          <w:b/>
          <w:bCs/>
          <w:sz w:val="24"/>
          <w:szCs w:val="24"/>
          <w:lang w:eastAsia="en-AU"/>
        </w:rPr>
      </w:pPr>
    </w:p>
    <w:p w:rsidR="00AF5298" w:rsidRPr="002209AE" w:rsidRDefault="00AF5298" w:rsidP="00AF5298">
      <w:pPr>
        <w:numPr>
          <w:ilvl w:val="1"/>
          <w:numId w:val="1"/>
        </w:numPr>
        <w:spacing w:after="0"/>
        <w:rPr>
          <w:rFonts w:ascii="Arial" w:hAnsi="Arial" w:cs="Arial"/>
          <w:color w:val="000000"/>
          <w:sz w:val="24"/>
          <w:szCs w:val="24"/>
          <w:lang w:eastAsia="en-AU"/>
        </w:rPr>
      </w:pPr>
      <w:r w:rsidRPr="002209AE">
        <w:rPr>
          <w:rFonts w:ascii="Arial" w:hAnsi="Arial" w:cs="Arial"/>
          <w:color w:val="000000"/>
          <w:sz w:val="24"/>
          <w:szCs w:val="24"/>
          <w:lang w:eastAsia="en-AU"/>
        </w:rPr>
        <w:t>In making its decision, the Commission had regard to the following:</w:t>
      </w:r>
    </w:p>
    <w:p w:rsidR="00AF5298" w:rsidRPr="002209AE" w:rsidRDefault="00AF5298" w:rsidP="00AF5298">
      <w:pPr>
        <w:spacing w:after="0"/>
        <w:rPr>
          <w:rFonts w:ascii="Arial" w:hAnsi="Arial" w:cs="Arial"/>
          <w:color w:val="000000"/>
          <w:sz w:val="24"/>
          <w:szCs w:val="24"/>
          <w:lang w:eastAsia="en-AU"/>
        </w:rPr>
      </w:pPr>
    </w:p>
    <w:p w:rsidR="00AF5298" w:rsidRPr="002209AE" w:rsidRDefault="00AF5298" w:rsidP="00AF5298">
      <w:pPr>
        <w:numPr>
          <w:ilvl w:val="2"/>
          <w:numId w:val="1"/>
        </w:numPr>
        <w:spacing w:after="0"/>
        <w:rPr>
          <w:rFonts w:ascii="Arial" w:hAnsi="Arial" w:cs="Arial"/>
          <w:color w:val="000000"/>
          <w:sz w:val="24"/>
          <w:szCs w:val="24"/>
          <w:lang w:eastAsia="en-AU"/>
        </w:rPr>
      </w:pPr>
      <w:r w:rsidRPr="002209AE">
        <w:rPr>
          <w:rFonts w:ascii="Arial" w:hAnsi="Arial" w:cs="Arial"/>
          <w:color w:val="000000"/>
          <w:sz w:val="24"/>
          <w:szCs w:val="24"/>
          <w:lang w:eastAsia="en-AU"/>
        </w:rPr>
        <w:t>the terms and objects of the DDA;</w:t>
      </w:r>
    </w:p>
    <w:p w:rsidR="00AF5298" w:rsidRPr="002209AE" w:rsidRDefault="00AF5298" w:rsidP="00AF5298">
      <w:pPr>
        <w:spacing w:after="0"/>
        <w:ind w:left="720"/>
        <w:rPr>
          <w:rFonts w:ascii="Arial" w:hAnsi="Arial" w:cs="Arial"/>
          <w:color w:val="000000"/>
          <w:sz w:val="24"/>
          <w:szCs w:val="24"/>
          <w:lang w:eastAsia="en-AU"/>
        </w:rPr>
      </w:pPr>
    </w:p>
    <w:p w:rsidR="00AF5298" w:rsidRPr="002209AE" w:rsidRDefault="00AF5298" w:rsidP="00AF5298">
      <w:pPr>
        <w:numPr>
          <w:ilvl w:val="2"/>
          <w:numId w:val="1"/>
        </w:numPr>
        <w:spacing w:after="0"/>
        <w:rPr>
          <w:rFonts w:ascii="Arial" w:hAnsi="Arial" w:cs="Arial"/>
          <w:color w:val="000000"/>
          <w:sz w:val="24"/>
          <w:szCs w:val="24"/>
          <w:lang w:eastAsia="en-AU"/>
        </w:rPr>
      </w:pPr>
      <w:r w:rsidRPr="002209AE">
        <w:rPr>
          <w:rFonts w:ascii="Arial" w:hAnsi="Arial" w:cs="Arial"/>
          <w:color w:val="000000"/>
          <w:sz w:val="24"/>
          <w:szCs w:val="24"/>
          <w:lang w:eastAsia="en-AU"/>
        </w:rPr>
        <w:t>the DSAPT; and</w:t>
      </w:r>
    </w:p>
    <w:p w:rsidR="00AF5298" w:rsidRPr="002209AE" w:rsidRDefault="00AF5298" w:rsidP="00AF5298">
      <w:pPr>
        <w:spacing w:after="0"/>
        <w:rPr>
          <w:rFonts w:ascii="Arial" w:hAnsi="Arial" w:cs="Arial"/>
          <w:color w:val="000000"/>
          <w:sz w:val="24"/>
          <w:szCs w:val="24"/>
          <w:lang w:eastAsia="en-AU"/>
        </w:rPr>
      </w:pPr>
    </w:p>
    <w:p w:rsidR="00AF5298" w:rsidRPr="002209AE" w:rsidRDefault="00AF5298" w:rsidP="00AF5298">
      <w:pPr>
        <w:numPr>
          <w:ilvl w:val="2"/>
          <w:numId w:val="1"/>
        </w:numPr>
        <w:spacing w:after="0"/>
        <w:ind w:left="1418" w:hanging="698"/>
        <w:rPr>
          <w:rFonts w:ascii="Arial" w:hAnsi="Arial" w:cs="Arial"/>
          <w:color w:val="000000"/>
          <w:sz w:val="24"/>
          <w:szCs w:val="24"/>
          <w:lang w:eastAsia="en-AU"/>
        </w:rPr>
      </w:pPr>
      <w:proofErr w:type="gramStart"/>
      <w:r w:rsidRPr="002209AE">
        <w:rPr>
          <w:rFonts w:ascii="Arial" w:hAnsi="Arial" w:cs="Arial"/>
          <w:iCs/>
          <w:sz w:val="24"/>
          <w:szCs w:val="24"/>
        </w:rPr>
        <w:t>the</w:t>
      </w:r>
      <w:proofErr w:type="gramEnd"/>
      <w:r w:rsidRPr="002209AE">
        <w:rPr>
          <w:rFonts w:ascii="Arial" w:hAnsi="Arial" w:cs="Arial"/>
          <w:iCs/>
          <w:sz w:val="24"/>
          <w:szCs w:val="24"/>
        </w:rPr>
        <w:t xml:space="preserve"> Disability Standards for Accessible Public Transport Guidelines 2004 (No 3)</w:t>
      </w:r>
      <w:r w:rsidRPr="002209AE">
        <w:rPr>
          <w:rFonts w:ascii="Arial" w:hAnsi="Arial" w:cs="Arial"/>
          <w:color w:val="000000"/>
          <w:sz w:val="24"/>
          <w:szCs w:val="24"/>
          <w:lang w:eastAsia="en-AU"/>
        </w:rPr>
        <w:t>.</w:t>
      </w:r>
    </w:p>
    <w:p w:rsidR="00AF5298" w:rsidRPr="002209AE" w:rsidRDefault="00AF5298" w:rsidP="00AF5298">
      <w:pPr>
        <w:spacing w:after="0"/>
        <w:rPr>
          <w:rFonts w:ascii="Arial" w:hAnsi="Arial" w:cs="Arial"/>
          <w:color w:val="000000"/>
          <w:sz w:val="24"/>
          <w:szCs w:val="24"/>
          <w:lang w:eastAsia="en-AU"/>
        </w:rPr>
      </w:pPr>
    </w:p>
    <w:p w:rsidR="00AF5298" w:rsidRPr="002209AE" w:rsidRDefault="00AF5298" w:rsidP="00AF5298">
      <w:pPr>
        <w:numPr>
          <w:ilvl w:val="1"/>
          <w:numId w:val="1"/>
        </w:numPr>
        <w:spacing w:after="0"/>
        <w:rPr>
          <w:rFonts w:ascii="Arial" w:hAnsi="Arial" w:cs="Arial"/>
          <w:color w:val="000000"/>
          <w:sz w:val="24"/>
          <w:szCs w:val="24"/>
          <w:lang w:eastAsia="en-AU"/>
        </w:rPr>
      </w:pPr>
      <w:r w:rsidRPr="002209AE">
        <w:rPr>
          <w:rFonts w:ascii="Arial" w:hAnsi="Arial" w:cs="Arial"/>
          <w:color w:val="000000"/>
          <w:sz w:val="24"/>
          <w:szCs w:val="24"/>
          <w:lang w:eastAsia="en-AU"/>
        </w:rPr>
        <w:t xml:space="preserve">Pursuant to section </w:t>
      </w:r>
      <w:proofErr w:type="gramStart"/>
      <w:r w:rsidRPr="002209AE">
        <w:rPr>
          <w:rFonts w:ascii="Arial" w:hAnsi="Arial" w:cs="Arial"/>
          <w:color w:val="000000"/>
          <w:sz w:val="24"/>
          <w:szCs w:val="24"/>
          <w:lang w:eastAsia="en-AU"/>
        </w:rPr>
        <w:t>33A.1(</w:t>
      </w:r>
      <w:proofErr w:type="gramEnd"/>
      <w:r w:rsidRPr="002209AE">
        <w:rPr>
          <w:rFonts w:ascii="Arial" w:hAnsi="Arial" w:cs="Arial"/>
          <w:color w:val="000000"/>
          <w:sz w:val="24"/>
          <w:szCs w:val="24"/>
          <w:lang w:eastAsia="en-AU"/>
        </w:rPr>
        <w:t>4)</w:t>
      </w:r>
      <w:r>
        <w:rPr>
          <w:rFonts w:ascii="Arial" w:hAnsi="Arial" w:cs="Arial"/>
          <w:color w:val="000000"/>
          <w:sz w:val="24"/>
          <w:szCs w:val="24"/>
          <w:lang w:eastAsia="en-AU"/>
        </w:rPr>
        <w:t xml:space="preserve"> of the DSAPT</w:t>
      </w:r>
      <w:r w:rsidRPr="002209AE">
        <w:rPr>
          <w:rFonts w:ascii="Arial" w:hAnsi="Arial" w:cs="Arial"/>
          <w:color w:val="000000"/>
          <w:sz w:val="24"/>
          <w:szCs w:val="24"/>
          <w:lang w:eastAsia="en-AU"/>
        </w:rPr>
        <w:t>, the Commission has consulted the Accessible Public Transport Jurisdictional Committee about the interim application.  On 12 December 2013, the Accessible Public Transport Jurisdictional Committ</w:t>
      </w:r>
      <w:r>
        <w:rPr>
          <w:rFonts w:ascii="Arial" w:hAnsi="Arial" w:cs="Arial"/>
          <w:color w:val="000000"/>
          <w:sz w:val="24"/>
          <w:szCs w:val="24"/>
          <w:lang w:eastAsia="en-AU"/>
        </w:rPr>
        <w:t>ee advised that it supports the grant of the exemptions sought in that application</w:t>
      </w:r>
      <w:r w:rsidRPr="002209AE">
        <w:rPr>
          <w:rFonts w:ascii="Arial" w:hAnsi="Arial" w:cs="Arial"/>
          <w:color w:val="000000"/>
          <w:sz w:val="24"/>
          <w:szCs w:val="24"/>
          <w:lang w:eastAsia="en-AU"/>
        </w:rPr>
        <w:t xml:space="preserve">.  </w:t>
      </w:r>
    </w:p>
    <w:p w:rsidR="00AF5298" w:rsidRPr="002209AE" w:rsidRDefault="00AF5298" w:rsidP="00AF5298">
      <w:pPr>
        <w:spacing w:after="0"/>
        <w:rPr>
          <w:rFonts w:ascii="Arial" w:hAnsi="Arial" w:cs="Arial"/>
          <w:color w:val="000000"/>
          <w:sz w:val="24"/>
          <w:szCs w:val="24"/>
          <w:lang w:eastAsia="en-AU"/>
        </w:rPr>
      </w:pPr>
    </w:p>
    <w:p w:rsidR="00AF5298" w:rsidRDefault="00AF5298" w:rsidP="00AF5298">
      <w:pPr>
        <w:numPr>
          <w:ilvl w:val="1"/>
          <w:numId w:val="1"/>
        </w:numPr>
        <w:spacing w:after="0"/>
        <w:rPr>
          <w:rFonts w:ascii="Arial" w:hAnsi="Arial" w:cs="Arial"/>
          <w:color w:val="000000"/>
          <w:sz w:val="24"/>
          <w:szCs w:val="24"/>
          <w:lang w:eastAsia="en-AU"/>
        </w:rPr>
      </w:pPr>
      <w:r>
        <w:rPr>
          <w:rFonts w:ascii="Arial" w:hAnsi="Arial" w:cs="Arial"/>
          <w:color w:val="000000"/>
          <w:sz w:val="24"/>
          <w:szCs w:val="24"/>
          <w:lang w:eastAsia="en-AU"/>
        </w:rPr>
        <w:t xml:space="preserve">The Commission intends to undertake a comprehensive public consultation process with respect to the primary application.  For that reason the Commission has determined that it is not necessary to conduct further consultations with respect to the interim application.  In all the circumstances, the Commission considered that it was not reasonably practicable to do so.  </w:t>
      </w:r>
    </w:p>
    <w:p w:rsidR="00AF5298" w:rsidRDefault="00AF5298" w:rsidP="00AF5298">
      <w:pPr>
        <w:pStyle w:val="ListParagraph"/>
        <w:spacing w:line="276" w:lineRule="auto"/>
        <w:rPr>
          <w:rFonts w:ascii="Arial" w:hAnsi="Arial" w:cs="Arial"/>
          <w:color w:val="000000"/>
          <w:sz w:val="24"/>
          <w:szCs w:val="24"/>
          <w:lang w:eastAsia="en-AU"/>
        </w:rPr>
      </w:pPr>
    </w:p>
    <w:p w:rsidR="00AF5298" w:rsidRDefault="00AF5298" w:rsidP="00AF5298">
      <w:pPr>
        <w:numPr>
          <w:ilvl w:val="1"/>
          <w:numId w:val="1"/>
        </w:numPr>
        <w:spacing w:after="0"/>
        <w:rPr>
          <w:rFonts w:ascii="Arial" w:hAnsi="Arial" w:cs="Arial"/>
          <w:color w:val="000000"/>
          <w:sz w:val="24"/>
          <w:szCs w:val="24"/>
          <w:lang w:eastAsia="en-AU"/>
        </w:rPr>
      </w:pPr>
      <w:r>
        <w:rPr>
          <w:rFonts w:ascii="Arial" w:hAnsi="Arial" w:cs="Arial"/>
          <w:color w:val="000000"/>
          <w:sz w:val="24"/>
          <w:szCs w:val="24"/>
          <w:lang w:eastAsia="en-AU"/>
        </w:rPr>
        <w:t>The Commission notes that extensive consultations were conducted with respect to the 2007 exemptions, and relies on those consultations for the purposes of this interim application.  Those consultations are described in:</w:t>
      </w:r>
    </w:p>
    <w:p w:rsidR="00AF5298" w:rsidRDefault="00AF5298" w:rsidP="00AF5298">
      <w:pPr>
        <w:pStyle w:val="ListParagraph"/>
        <w:spacing w:line="276" w:lineRule="auto"/>
        <w:rPr>
          <w:rFonts w:ascii="Arial" w:hAnsi="Arial" w:cs="Arial"/>
          <w:color w:val="000000"/>
          <w:sz w:val="24"/>
          <w:szCs w:val="24"/>
          <w:lang w:eastAsia="en-AU"/>
        </w:rPr>
      </w:pPr>
    </w:p>
    <w:p w:rsidR="00AF5298" w:rsidRDefault="00AF5298" w:rsidP="00AF5298">
      <w:pPr>
        <w:numPr>
          <w:ilvl w:val="2"/>
          <w:numId w:val="1"/>
        </w:numPr>
        <w:spacing w:after="0"/>
        <w:ind w:left="1418" w:hanging="698"/>
        <w:rPr>
          <w:rFonts w:ascii="Arial" w:hAnsi="Arial" w:cs="Arial"/>
          <w:color w:val="000000"/>
          <w:sz w:val="24"/>
          <w:szCs w:val="24"/>
          <w:lang w:eastAsia="en-AU"/>
        </w:rPr>
      </w:pPr>
      <w:r>
        <w:rPr>
          <w:rFonts w:ascii="Arial" w:hAnsi="Arial" w:cs="Arial"/>
          <w:color w:val="000000"/>
          <w:sz w:val="24"/>
          <w:szCs w:val="24"/>
          <w:lang w:eastAsia="en-AU"/>
        </w:rPr>
        <w:t>Schedule 3 of the Commission’s decision of 22 January 2007;</w:t>
      </w:r>
    </w:p>
    <w:p w:rsidR="00AF5298" w:rsidRDefault="00AF5298" w:rsidP="00AF5298">
      <w:pPr>
        <w:spacing w:after="0"/>
        <w:ind w:left="1418"/>
        <w:rPr>
          <w:rFonts w:ascii="Arial" w:hAnsi="Arial" w:cs="Arial"/>
          <w:color w:val="000000"/>
          <w:sz w:val="24"/>
          <w:szCs w:val="24"/>
          <w:lang w:eastAsia="en-AU"/>
        </w:rPr>
      </w:pPr>
    </w:p>
    <w:p w:rsidR="00AF5298" w:rsidRDefault="00AF5298" w:rsidP="00AF5298">
      <w:pPr>
        <w:numPr>
          <w:ilvl w:val="2"/>
          <w:numId w:val="1"/>
        </w:numPr>
        <w:spacing w:after="0"/>
        <w:ind w:left="1418" w:hanging="698"/>
        <w:rPr>
          <w:rFonts w:ascii="Arial" w:hAnsi="Arial" w:cs="Arial"/>
          <w:color w:val="000000"/>
          <w:sz w:val="24"/>
          <w:szCs w:val="24"/>
          <w:lang w:eastAsia="en-AU"/>
        </w:rPr>
      </w:pPr>
      <w:r>
        <w:rPr>
          <w:rFonts w:ascii="Arial" w:hAnsi="Arial" w:cs="Arial"/>
          <w:color w:val="000000"/>
          <w:sz w:val="24"/>
          <w:szCs w:val="24"/>
          <w:lang w:eastAsia="en-AU"/>
        </w:rPr>
        <w:t xml:space="preserve">Schedule 2 of the Commission’s decision of </w:t>
      </w:r>
      <w:r w:rsidRPr="00F7214B">
        <w:rPr>
          <w:rFonts w:ascii="Arial" w:hAnsi="Arial" w:cs="Arial"/>
          <w:color w:val="000000"/>
          <w:sz w:val="24"/>
          <w:szCs w:val="24"/>
          <w:lang w:eastAsia="en-AU"/>
        </w:rPr>
        <w:t>5 November 2007 (relating to “Direct Assistance in Ascending and Descending Boarding Ramps”)</w:t>
      </w:r>
      <w:r>
        <w:rPr>
          <w:rFonts w:ascii="Arial" w:hAnsi="Arial" w:cs="Arial"/>
          <w:color w:val="000000"/>
          <w:sz w:val="24"/>
          <w:szCs w:val="24"/>
          <w:lang w:eastAsia="en-AU"/>
        </w:rPr>
        <w:t>;</w:t>
      </w:r>
    </w:p>
    <w:p w:rsidR="00AF5298" w:rsidRDefault="00AF5298" w:rsidP="00AF5298">
      <w:pPr>
        <w:spacing w:after="0"/>
        <w:rPr>
          <w:rFonts w:ascii="Arial" w:hAnsi="Arial" w:cs="Arial"/>
          <w:color w:val="000000"/>
          <w:sz w:val="24"/>
          <w:szCs w:val="24"/>
          <w:lang w:eastAsia="en-AU"/>
        </w:rPr>
      </w:pPr>
    </w:p>
    <w:p w:rsidR="00AF5298" w:rsidRPr="004839E6" w:rsidRDefault="00AF5298" w:rsidP="00AF5298">
      <w:pPr>
        <w:numPr>
          <w:ilvl w:val="2"/>
          <w:numId w:val="1"/>
        </w:numPr>
        <w:spacing w:after="0"/>
        <w:ind w:left="1418" w:hanging="698"/>
        <w:rPr>
          <w:rFonts w:ascii="Arial" w:hAnsi="Arial" w:cs="Arial"/>
          <w:color w:val="000000"/>
          <w:sz w:val="24"/>
          <w:szCs w:val="24"/>
          <w:lang w:eastAsia="en-AU"/>
        </w:rPr>
      </w:pPr>
      <w:r w:rsidRPr="00F7214B">
        <w:rPr>
          <w:rFonts w:ascii="Arial" w:hAnsi="Arial" w:cs="Arial"/>
          <w:color w:val="000000"/>
          <w:sz w:val="24"/>
          <w:szCs w:val="24"/>
          <w:lang w:eastAsia="en-AU"/>
        </w:rPr>
        <w:t>Schedule 2 of the Commission’s decision of 5 November 2007</w:t>
      </w:r>
      <w:r>
        <w:rPr>
          <w:rFonts w:ascii="Arial" w:hAnsi="Arial" w:cs="Arial"/>
          <w:color w:val="000000"/>
          <w:sz w:val="24"/>
          <w:szCs w:val="24"/>
          <w:lang w:eastAsia="en-AU"/>
        </w:rPr>
        <w:t xml:space="preserve"> </w:t>
      </w:r>
      <w:r w:rsidRPr="00F7214B">
        <w:rPr>
          <w:rFonts w:ascii="Arial" w:hAnsi="Arial" w:cs="Arial"/>
          <w:color w:val="000000"/>
          <w:sz w:val="24"/>
          <w:szCs w:val="24"/>
          <w:lang w:eastAsia="en-AU"/>
        </w:rPr>
        <w:t>(relating to “Direct Assistance in Ascending and Descending Boarding Ramps”)</w:t>
      </w:r>
      <w:r>
        <w:rPr>
          <w:rFonts w:ascii="Arial" w:hAnsi="Arial" w:cs="Arial"/>
          <w:color w:val="000000"/>
          <w:sz w:val="24"/>
          <w:szCs w:val="24"/>
          <w:lang w:eastAsia="en-AU"/>
        </w:rPr>
        <w:t xml:space="preserve">.  </w:t>
      </w:r>
    </w:p>
    <w:p w:rsidR="00AF5298" w:rsidRPr="002209AE" w:rsidRDefault="00AF5298" w:rsidP="00AF5298">
      <w:pPr>
        <w:spacing w:after="0"/>
        <w:rPr>
          <w:rFonts w:ascii="Arial" w:hAnsi="Arial" w:cs="Arial"/>
          <w:color w:val="000000"/>
          <w:sz w:val="24"/>
          <w:szCs w:val="24"/>
          <w:lang w:eastAsia="en-AU"/>
        </w:rPr>
      </w:pPr>
    </w:p>
    <w:p w:rsidR="00AF5298" w:rsidRDefault="00AF5298" w:rsidP="00AF5298">
      <w:pPr>
        <w:numPr>
          <w:ilvl w:val="1"/>
          <w:numId w:val="1"/>
        </w:numPr>
        <w:spacing w:after="0"/>
        <w:rPr>
          <w:rFonts w:ascii="Arial" w:hAnsi="Arial" w:cs="Arial"/>
          <w:color w:val="000000"/>
          <w:sz w:val="24"/>
          <w:szCs w:val="24"/>
          <w:lang w:eastAsia="en-AU"/>
        </w:rPr>
      </w:pPr>
      <w:r w:rsidRPr="00851AD9">
        <w:rPr>
          <w:rFonts w:ascii="Arial" w:hAnsi="Arial" w:cs="Arial"/>
          <w:color w:val="000000"/>
          <w:sz w:val="24"/>
          <w:szCs w:val="24"/>
          <w:lang w:eastAsia="en-AU"/>
        </w:rPr>
        <w:t xml:space="preserve">The Commission considers that the grant of the exemptions will provide increased certainty of obligations </w:t>
      </w:r>
      <w:r>
        <w:rPr>
          <w:rFonts w:ascii="Arial" w:hAnsi="Arial" w:cs="Arial"/>
          <w:color w:val="000000"/>
          <w:sz w:val="24"/>
          <w:szCs w:val="24"/>
          <w:lang w:eastAsia="en-AU"/>
        </w:rPr>
        <w:t>of members of the ARA pending the Commission’s decision with respect to the primary application.</w:t>
      </w:r>
    </w:p>
    <w:p w:rsidR="00AF5298" w:rsidRDefault="00AF5298" w:rsidP="00AF5298">
      <w:pPr>
        <w:pStyle w:val="ListParagraph"/>
        <w:spacing w:line="276" w:lineRule="auto"/>
        <w:rPr>
          <w:rFonts w:ascii="Arial" w:hAnsi="Arial" w:cs="Arial"/>
          <w:color w:val="000000"/>
          <w:sz w:val="24"/>
          <w:szCs w:val="24"/>
          <w:lang w:eastAsia="en-AU"/>
        </w:rPr>
      </w:pPr>
    </w:p>
    <w:p w:rsidR="00AF5298" w:rsidRPr="002209AE" w:rsidRDefault="00AF5298" w:rsidP="00AF5298">
      <w:pPr>
        <w:numPr>
          <w:ilvl w:val="0"/>
          <w:numId w:val="1"/>
        </w:numPr>
        <w:spacing w:after="0"/>
        <w:outlineLvl w:val="2"/>
        <w:rPr>
          <w:rFonts w:ascii="Arial" w:hAnsi="Arial" w:cs="Arial"/>
          <w:b/>
          <w:color w:val="000000"/>
          <w:sz w:val="24"/>
          <w:szCs w:val="24"/>
          <w:lang w:eastAsia="en-AU"/>
        </w:rPr>
      </w:pPr>
      <w:r w:rsidRPr="002209AE">
        <w:rPr>
          <w:rFonts w:ascii="Arial" w:hAnsi="Arial" w:cs="Arial"/>
          <w:b/>
          <w:color w:val="000000"/>
          <w:sz w:val="24"/>
          <w:szCs w:val="24"/>
          <w:lang w:eastAsia="en-AU"/>
        </w:rPr>
        <w:t>REVIEW OF DECISION</w:t>
      </w:r>
    </w:p>
    <w:p w:rsidR="00AF5298" w:rsidRPr="002209AE" w:rsidRDefault="00AF5298" w:rsidP="00AF5298">
      <w:pPr>
        <w:spacing w:after="0"/>
        <w:outlineLvl w:val="2"/>
        <w:rPr>
          <w:rFonts w:ascii="Arial" w:hAnsi="Arial" w:cs="Arial"/>
          <w:color w:val="000000"/>
          <w:sz w:val="24"/>
          <w:szCs w:val="24"/>
          <w:lang w:eastAsia="en-AU"/>
        </w:rPr>
      </w:pPr>
    </w:p>
    <w:p w:rsidR="00AF5298" w:rsidRPr="002209AE" w:rsidRDefault="00AF5298" w:rsidP="00AF5298">
      <w:pPr>
        <w:numPr>
          <w:ilvl w:val="1"/>
          <w:numId w:val="1"/>
        </w:numPr>
        <w:spacing w:after="0"/>
        <w:outlineLvl w:val="2"/>
        <w:rPr>
          <w:rFonts w:ascii="Arial" w:hAnsi="Arial" w:cs="Arial"/>
          <w:b/>
          <w:bCs/>
          <w:sz w:val="24"/>
          <w:szCs w:val="24"/>
          <w:lang w:eastAsia="en-AU"/>
        </w:rPr>
      </w:pPr>
      <w:r w:rsidRPr="002209AE">
        <w:rPr>
          <w:rFonts w:ascii="Arial" w:hAnsi="Arial" w:cs="Arial"/>
          <w:color w:val="000000"/>
          <w:sz w:val="24"/>
          <w:szCs w:val="24"/>
          <w:lang w:eastAsia="en-AU"/>
        </w:rPr>
        <w:t>Subject to the</w:t>
      </w:r>
      <w:r w:rsidRPr="002209AE">
        <w:rPr>
          <w:rFonts w:ascii="Arial" w:hAnsi="Arial" w:cs="Arial"/>
          <w:i/>
          <w:iCs/>
          <w:color w:val="000000"/>
          <w:sz w:val="24"/>
          <w:szCs w:val="24"/>
          <w:lang w:eastAsia="en-AU"/>
        </w:rPr>
        <w:t xml:space="preserve"> Administrative Appeals Tribunal Act 1975</w:t>
      </w:r>
      <w:r w:rsidRPr="002209AE">
        <w:rPr>
          <w:rFonts w:ascii="Arial" w:hAnsi="Arial" w:cs="Arial"/>
          <w:color w:val="000000"/>
          <w:sz w:val="24"/>
          <w:szCs w:val="24"/>
          <w:lang w:eastAsia="en-AU"/>
        </w:rPr>
        <w:t>, application may be made to the Administrative Appeals Tribunal for a review of the decision to which this notice relates by or on behalf of any person or persons whose interests are affected by the decision.</w:t>
      </w:r>
    </w:p>
    <w:p w:rsidR="00AF5298" w:rsidRPr="002209AE" w:rsidRDefault="00AF5298" w:rsidP="00AF5298">
      <w:pPr>
        <w:pStyle w:val="Heading3"/>
        <w:spacing w:before="0" w:beforeAutospacing="0" w:after="0" w:afterAutospacing="0" w:line="276" w:lineRule="auto"/>
        <w:rPr>
          <w:rStyle w:val="Strong"/>
          <w:rFonts w:ascii="Arial" w:hAnsi="Arial" w:cs="Arial"/>
          <w:b/>
          <w:bCs/>
          <w:sz w:val="24"/>
          <w:szCs w:val="24"/>
        </w:rPr>
      </w:pPr>
    </w:p>
    <w:p w:rsidR="00AF5298" w:rsidRPr="002209AE" w:rsidRDefault="001F4A4A" w:rsidP="00AF5298">
      <w:pPr>
        <w:pStyle w:val="Heading3"/>
        <w:spacing w:before="0" w:beforeAutospacing="0" w:after="0" w:afterAutospacing="0" w:line="276" w:lineRule="auto"/>
        <w:rPr>
          <w:rStyle w:val="Strong"/>
          <w:rFonts w:ascii="Arial" w:hAnsi="Arial" w:cs="Arial"/>
          <w:bCs/>
          <w:sz w:val="24"/>
          <w:szCs w:val="24"/>
        </w:rPr>
      </w:pPr>
      <w:r>
        <w:rPr>
          <w:rStyle w:val="Strong"/>
          <w:rFonts w:ascii="Arial" w:hAnsi="Arial" w:cs="Arial"/>
          <w:bCs/>
          <w:sz w:val="24"/>
          <w:szCs w:val="24"/>
        </w:rPr>
        <w:br/>
      </w:r>
      <w:bookmarkStart w:id="0" w:name="_GoBack"/>
      <w:bookmarkEnd w:id="0"/>
      <w:r w:rsidR="00AF5298" w:rsidRPr="002209AE">
        <w:rPr>
          <w:rStyle w:val="Strong"/>
          <w:rFonts w:ascii="Arial" w:hAnsi="Arial" w:cs="Arial"/>
          <w:bCs/>
          <w:sz w:val="24"/>
          <w:szCs w:val="24"/>
        </w:rPr>
        <w:t xml:space="preserve">Dated this </w:t>
      </w:r>
      <w:r w:rsidR="00AF5298">
        <w:rPr>
          <w:rStyle w:val="Strong"/>
          <w:rFonts w:ascii="Arial" w:hAnsi="Arial" w:cs="Arial"/>
          <w:bCs/>
          <w:sz w:val="24"/>
          <w:szCs w:val="24"/>
        </w:rPr>
        <w:t>19</w:t>
      </w:r>
      <w:r w:rsidR="00AF5298" w:rsidRPr="002209AE">
        <w:rPr>
          <w:rStyle w:val="Strong"/>
          <w:rFonts w:ascii="Arial" w:hAnsi="Arial" w:cs="Arial"/>
          <w:bCs/>
          <w:sz w:val="24"/>
          <w:szCs w:val="24"/>
        </w:rPr>
        <w:t xml:space="preserve"> day of December 2013</w:t>
      </w:r>
    </w:p>
    <w:p w:rsidR="00AF5298" w:rsidRPr="002209AE" w:rsidRDefault="00AF5298" w:rsidP="00AF5298">
      <w:pPr>
        <w:pStyle w:val="Heading3"/>
        <w:spacing w:before="0" w:beforeAutospacing="0" w:after="0" w:afterAutospacing="0" w:line="276" w:lineRule="auto"/>
        <w:rPr>
          <w:rStyle w:val="Strong"/>
          <w:rFonts w:ascii="Arial" w:hAnsi="Arial" w:cs="Arial"/>
          <w:b/>
          <w:bCs/>
          <w:sz w:val="24"/>
          <w:szCs w:val="24"/>
        </w:rPr>
      </w:pPr>
    </w:p>
    <w:p w:rsidR="00AF5298" w:rsidRPr="002209AE" w:rsidRDefault="00AF5298" w:rsidP="00AF5298">
      <w:pPr>
        <w:pStyle w:val="Heading3"/>
        <w:spacing w:before="0" w:beforeAutospacing="0" w:after="0" w:afterAutospacing="0" w:line="276" w:lineRule="auto"/>
        <w:rPr>
          <w:rStyle w:val="Strong"/>
          <w:rFonts w:ascii="Arial" w:hAnsi="Arial" w:cs="Arial"/>
          <w:b/>
          <w:bCs/>
          <w:sz w:val="24"/>
          <w:szCs w:val="24"/>
        </w:rPr>
      </w:pPr>
    </w:p>
    <w:p w:rsidR="00AF5298" w:rsidRPr="002209AE" w:rsidRDefault="00AF5298" w:rsidP="00AF5298">
      <w:pPr>
        <w:pStyle w:val="Heading3"/>
        <w:spacing w:before="0" w:beforeAutospacing="0" w:after="0" w:afterAutospacing="0" w:line="276" w:lineRule="auto"/>
        <w:rPr>
          <w:rStyle w:val="Strong"/>
          <w:rFonts w:ascii="Arial" w:hAnsi="Arial" w:cs="Arial"/>
          <w:b/>
          <w:bCs/>
          <w:sz w:val="24"/>
          <w:szCs w:val="24"/>
        </w:rPr>
      </w:pPr>
    </w:p>
    <w:p w:rsidR="00AF5298" w:rsidRPr="002209AE" w:rsidRDefault="00AF5298" w:rsidP="00AF5298">
      <w:pPr>
        <w:pStyle w:val="Heading3"/>
        <w:spacing w:before="0" w:beforeAutospacing="0" w:after="0" w:afterAutospacing="0" w:line="276" w:lineRule="auto"/>
        <w:rPr>
          <w:rStyle w:val="Strong"/>
          <w:rFonts w:ascii="Arial" w:hAnsi="Arial" w:cs="Arial"/>
          <w:b/>
          <w:bCs/>
          <w:sz w:val="24"/>
          <w:szCs w:val="24"/>
        </w:rPr>
      </w:pPr>
    </w:p>
    <w:p w:rsidR="00AF5298" w:rsidRPr="002209AE" w:rsidRDefault="00AF5298" w:rsidP="00AF5298">
      <w:pPr>
        <w:pStyle w:val="Heading3"/>
        <w:spacing w:before="0" w:beforeAutospacing="0" w:after="0" w:afterAutospacing="0" w:line="276" w:lineRule="auto"/>
        <w:rPr>
          <w:rStyle w:val="Strong"/>
          <w:rFonts w:ascii="Arial" w:hAnsi="Arial" w:cs="Arial"/>
          <w:b/>
          <w:bCs/>
          <w:sz w:val="24"/>
          <w:szCs w:val="24"/>
        </w:rPr>
      </w:pPr>
    </w:p>
    <w:p w:rsidR="00AF5298" w:rsidRPr="002209AE" w:rsidRDefault="00AF5298" w:rsidP="00AF5298">
      <w:pPr>
        <w:pStyle w:val="Heading3"/>
        <w:spacing w:before="0" w:beforeAutospacing="0" w:after="0" w:afterAutospacing="0" w:line="276" w:lineRule="auto"/>
        <w:rPr>
          <w:rStyle w:val="Strong"/>
          <w:rFonts w:ascii="Arial" w:hAnsi="Arial" w:cs="Arial"/>
          <w:b/>
          <w:bCs/>
          <w:sz w:val="24"/>
          <w:szCs w:val="24"/>
        </w:rPr>
      </w:pPr>
    </w:p>
    <w:p w:rsidR="00AF5298" w:rsidRPr="002209AE" w:rsidRDefault="00AF5298" w:rsidP="00AF5298">
      <w:pPr>
        <w:spacing w:after="0"/>
        <w:rPr>
          <w:rFonts w:ascii="Arial" w:hAnsi="Arial" w:cs="Arial"/>
          <w:sz w:val="24"/>
          <w:szCs w:val="24"/>
        </w:rPr>
      </w:pPr>
      <w:r w:rsidRPr="002209AE">
        <w:rPr>
          <w:rFonts w:ascii="Arial" w:hAnsi="Arial" w:cs="Arial"/>
          <w:sz w:val="24"/>
          <w:szCs w:val="24"/>
        </w:rPr>
        <w:t xml:space="preserve">Signed by </w:t>
      </w:r>
      <w:r w:rsidRPr="007C7015">
        <w:rPr>
          <w:rFonts w:ascii="Arial" w:hAnsi="Arial" w:cs="Arial"/>
          <w:sz w:val="24"/>
          <w:szCs w:val="24"/>
        </w:rPr>
        <w:t>the President, Professor Gillian Triggs,</w:t>
      </w:r>
      <w:r w:rsidRPr="002209AE">
        <w:rPr>
          <w:rFonts w:ascii="Arial" w:hAnsi="Arial" w:cs="Arial"/>
          <w:sz w:val="24"/>
          <w:szCs w:val="24"/>
        </w:rPr>
        <w:t xml:space="preserve"> on behalf of the Commission.</w:t>
      </w:r>
    </w:p>
    <w:p w:rsidR="00AF5298" w:rsidRPr="002209AE" w:rsidRDefault="00AF5298" w:rsidP="00AF5298">
      <w:pPr>
        <w:spacing w:after="0"/>
        <w:rPr>
          <w:rFonts w:ascii="Arial" w:hAnsi="Arial" w:cs="Arial"/>
          <w:b/>
          <w:bCs/>
          <w:sz w:val="24"/>
          <w:szCs w:val="24"/>
        </w:rPr>
      </w:pPr>
    </w:p>
    <w:p w:rsidR="00AF5298" w:rsidRPr="00424B97" w:rsidRDefault="00AF5298" w:rsidP="00AF5298">
      <w:pPr>
        <w:spacing w:after="0"/>
      </w:pPr>
    </w:p>
    <w:sectPr w:rsidR="00AF5298" w:rsidRPr="00424B9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97484"/>
    <w:multiLevelType w:val="multilevel"/>
    <w:tmpl w:val="3E26BF9C"/>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4A4A"/>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F5298"/>
    <w:rsid w:val="00B84226"/>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AF529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AF5298"/>
    <w:rPr>
      <w:rFonts w:ascii="Times New Roman" w:eastAsia="Times New Roman" w:hAnsi="Times New Roman" w:cs="Times New Roman"/>
      <w:b/>
      <w:bCs/>
      <w:sz w:val="27"/>
      <w:szCs w:val="27"/>
      <w:lang w:eastAsia="en-AU"/>
    </w:rPr>
  </w:style>
  <w:style w:type="character" w:styleId="Strong">
    <w:name w:val="Strong"/>
    <w:qFormat/>
    <w:rsid w:val="00AF5298"/>
    <w:rPr>
      <w:b/>
      <w:bCs/>
    </w:rPr>
  </w:style>
  <w:style w:type="character" w:styleId="Hyperlink">
    <w:name w:val="Hyperlink"/>
    <w:uiPriority w:val="99"/>
    <w:rsid w:val="00AF5298"/>
    <w:rPr>
      <w:color w:val="0000FF"/>
      <w:u w:val="single"/>
    </w:rPr>
  </w:style>
  <w:style w:type="paragraph" w:styleId="ListParagraph">
    <w:name w:val="List Paragraph"/>
    <w:basedOn w:val="Normal"/>
    <w:uiPriority w:val="34"/>
    <w:qFormat/>
    <w:rsid w:val="00AF5298"/>
    <w:pPr>
      <w:spacing w:after="0" w:line="240" w:lineRule="auto"/>
      <w:ind w:left="72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AF529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AF5298"/>
    <w:rPr>
      <w:rFonts w:ascii="Times New Roman" w:eastAsia="Times New Roman" w:hAnsi="Times New Roman" w:cs="Times New Roman"/>
      <w:b/>
      <w:bCs/>
      <w:sz w:val="27"/>
      <w:szCs w:val="27"/>
      <w:lang w:eastAsia="en-AU"/>
    </w:rPr>
  </w:style>
  <w:style w:type="character" w:styleId="Strong">
    <w:name w:val="Strong"/>
    <w:qFormat/>
    <w:rsid w:val="00AF5298"/>
    <w:rPr>
      <w:b/>
      <w:bCs/>
    </w:rPr>
  </w:style>
  <w:style w:type="character" w:styleId="Hyperlink">
    <w:name w:val="Hyperlink"/>
    <w:uiPriority w:val="99"/>
    <w:rsid w:val="00AF5298"/>
    <w:rPr>
      <w:color w:val="0000FF"/>
      <w:u w:val="single"/>
    </w:rPr>
  </w:style>
  <w:style w:type="paragraph" w:styleId="ListParagraph">
    <w:name w:val="List Paragraph"/>
    <w:basedOn w:val="Normal"/>
    <w:uiPriority w:val="34"/>
    <w:qFormat/>
    <w:rsid w:val="00AF5298"/>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umanrights.gov.au/australasian-railways-association-direct-assistance-ascending-and-descending-boarding-ram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manrights.gov.au/australasian-railways-association-carriage-and-stowage-mobility-aids-and-transfer-and-mobility-ai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umanrights.gov.au/australasian-railways-association" TargetMode="External"/><Relationship Id="rId4" Type="http://schemas.microsoft.com/office/2007/relationships/stylesWithEffects" Target="stylesWithEffects.xml"/><Relationship Id="rId9" Type="http://schemas.openxmlformats.org/officeDocument/2006/relationships/hyperlink" Target="https://www.humanrights.gov.au/our-work/legal/exemptions/exemptions-under-disability-discrimination-a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39DC-8EF6-4E64-B761-7F14D767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Lara Emery</cp:lastModifiedBy>
  <cp:revision>2</cp:revision>
  <cp:lastPrinted>2013-06-24T01:35:00Z</cp:lastPrinted>
  <dcterms:created xsi:type="dcterms:W3CDTF">2014-01-03T05:34:00Z</dcterms:created>
  <dcterms:modified xsi:type="dcterms:W3CDTF">2014-01-03T05:34:00Z</dcterms:modified>
</cp:coreProperties>
</file>